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4FBE" w:rsidRPr="002B224F" w:rsidRDefault="002B224F" w:rsidP="002B224F">
      <w:pPr>
        <w:spacing w:after="0" w:line="240" w:lineRule="auto"/>
        <w:jc w:val="center"/>
        <w:rPr>
          <w:rFonts w:ascii="Calisto MT" w:hAnsi="Calisto MT"/>
          <w:b/>
          <w:sz w:val="32"/>
          <w:szCs w:val="32"/>
        </w:rPr>
      </w:pPr>
      <w:r w:rsidRPr="002B224F">
        <w:rPr>
          <w:rFonts w:ascii="Calisto MT" w:hAnsi="Calisto MT"/>
          <w:b/>
          <w:sz w:val="32"/>
          <w:szCs w:val="32"/>
        </w:rPr>
        <w:t>COMPANIES BILL 2012 – FEW HIGHLIGHTS FOR</w:t>
      </w:r>
    </w:p>
    <w:p w:rsidR="002B224F" w:rsidRDefault="002B224F" w:rsidP="002B224F">
      <w:pPr>
        <w:spacing w:after="0" w:line="240" w:lineRule="auto"/>
        <w:jc w:val="center"/>
        <w:rPr>
          <w:rFonts w:ascii="Calisto MT" w:hAnsi="Calisto MT"/>
          <w:b/>
          <w:sz w:val="32"/>
          <w:szCs w:val="32"/>
        </w:rPr>
      </w:pPr>
      <w:r w:rsidRPr="002B224F">
        <w:rPr>
          <w:rFonts w:ascii="Calisto MT" w:hAnsi="Calisto MT"/>
          <w:b/>
          <w:sz w:val="32"/>
          <w:szCs w:val="32"/>
        </w:rPr>
        <w:t>PRACTISING PROFESSIONALS</w:t>
      </w:r>
    </w:p>
    <w:p w:rsidR="00B44763" w:rsidRPr="002B224F" w:rsidRDefault="00B44763" w:rsidP="002B224F">
      <w:pPr>
        <w:spacing w:after="0" w:line="240" w:lineRule="auto"/>
        <w:jc w:val="center"/>
        <w:rPr>
          <w:rFonts w:ascii="Calisto MT" w:hAnsi="Calisto MT"/>
          <w:b/>
          <w:sz w:val="32"/>
          <w:szCs w:val="32"/>
        </w:rPr>
      </w:pPr>
      <w:r>
        <w:rPr>
          <w:rFonts w:ascii="Calisto MT" w:hAnsi="Calisto MT"/>
          <w:b/>
          <w:sz w:val="32"/>
          <w:szCs w:val="32"/>
        </w:rPr>
        <w:t>-Amit Jha-</w:t>
      </w:r>
    </w:p>
    <w:p w:rsidR="00604FBE" w:rsidRDefault="00604FBE" w:rsidP="00D87D0C">
      <w:pPr>
        <w:spacing w:after="0"/>
        <w:jc w:val="both"/>
      </w:pPr>
    </w:p>
    <w:p w:rsidR="00604FBE" w:rsidRPr="00EE01CC" w:rsidRDefault="00EE01CC" w:rsidP="00D87D0C">
      <w:pPr>
        <w:jc w:val="both"/>
        <w:rPr>
          <w:rFonts w:asciiTheme="majorHAnsi" w:hAnsiTheme="majorHAnsi"/>
        </w:rPr>
      </w:pPr>
      <w:r w:rsidRPr="00EE01CC">
        <w:rPr>
          <w:rFonts w:asciiTheme="majorHAnsi" w:hAnsiTheme="majorHAnsi"/>
        </w:rPr>
        <w:t>The new bill has 29 chapters, 470 clauses and 7 schedules. A substantial part of the bill will be in the form of rules which, which will be prescribed separately. Few highlights of the bill which may useful for practicing professionals are penned below.</w:t>
      </w:r>
    </w:p>
    <w:p w:rsidR="00BA4E01" w:rsidRDefault="00BA4E01" w:rsidP="00D87D0C">
      <w:pPr>
        <w:pStyle w:val="ListParagraph"/>
        <w:numPr>
          <w:ilvl w:val="0"/>
          <w:numId w:val="1"/>
        </w:numPr>
        <w:jc w:val="both"/>
        <w:rPr>
          <w:rFonts w:asciiTheme="majorHAnsi" w:hAnsiTheme="majorHAnsi"/>
        </w:rPr>
        <w:sectPr w:rsidR="00BA4E01" w:rsidSect="00881FA8">
          <w:pgSz w:w="12240" w:h="15840"/>
          <w:pgMar w:top="720" w:right="720" w:bottom="720" w:left="720" w:header="720" w:footer="720" w:gutter="0"/>
          <w:cols w:space="720"/>
          <w:docGrid w:linePitch="360"/>
        </w:sectPr>
      </w:pPr>
    </w:p>
    <w:p w:rsidR="00EE01CC" w:rsidRDefault="00107549" w:rsidP="00D87D0C">
      <w:pPr>
        <w:pStyle w:val="ListParagraph"/>
        <w:numPr>
          <w:ilvl w:val="0"/>
          <w:numId w:val="1"/>
        </w:numPr>
        <w:jc w:val="both"/>
        <w:rPr>
          <w:rFonts w:asciiTheme="majorHAnsi" w:hAnsiTheme="majorHAnsi"/>
        </w:rPr>
      </w:pPr>
      <w:r>
        <w:rPr>
          <w:rFonts w:asciiTheme="majorHAnsi" w:hAnsiTheme="majorHAnsi"/>
        </w:rPr>
        <w:lastRenderedPageBreak/>
        <w:t>At least 4 Board meeting should be held each year. There is no requirement of holding the meeting every quarter. The only requirement is that not more than 120 days shall elapse between two consecutive meetings.</w:t>
      </w:r>
    </w:p>
    <w:p w:rsidR="00107549" w:rsidRDefault="00107549" w:rsidP="00D87D0C">
      <w:pPr>
        <w:pStyle w:val="ListParagraph"/>
        <w:numPr>
          <w:ilvl w:val="0"/>
          <w:numId w:val="1"/>
        </w:numPr>
        <w:jc w:val="both"/>
        <w:rPr>
          <w:rFonts w:asciiTheme="majorHAnsi" w:hAnsiTheme="majorHAnsi"/>
        </w:rPr>
      </w:pPr>
      <w:r>
        <w:rPr>
          <w:rFonts w:asciiTheme="majorHAnsi" w:hAnsiTheme="majorHAnsi"/>
        </w:rPr>
        <w:t>First Annual General Meeting of the Company shall be held within the period of 9 month from closure of its first financial year instead of 18 month from the date of the incorporation.</w:t>
      </w:r>
    </w:p>
    <w:p w:rsidR="00107549" w:rsidRDefault="00107549" w:rsidP="00D87D0C">
      <w:pPr>
        <w:pStyle w:val="ListParagraph"/>
        <w:numPr>
          <w:ilvl w:val="0"/>
          <w:numId w:val="1"/>
        </w:numPr>
        <w:jc w:val="both"/>
        <w:rPr>
          <w:rFonts w:asciiTheme="majorHAnsi" w:hAnsiTheme="majorHAnsi"/>
        </w:rPr>
      </w:pPr>
      <w:r>
        <w:rPr>
          <w:rFonts w:asciiTheme="majorHAnsi" w:hAnsiTheme="majorHAnsi"/>
        </w:rPr>
        <w:t xml:space="preserve">The limit of political contribution by company has been changes as against 5% in the </w:t>
      </w:r>
      <w:r w:rsidR="003353EE">
        <w:rPr>
          <w:rFonts w:asciiTheme="majorHAnsi" w:hAnsiTheme="majorHAnsi"/>
        </w:rPr>
        <w:t>companies’</w:t>
      </w:r>
      <w:r>
        <w:rPr>
          <w:rFonts w:asciiTheme="majorHAnsi" w:hAnsiTheme="majorHAnsi"/>
        </w:rPr>
        <w:t xml:space="preserve"> act </w:t>
      </w:r>
      <w:r w:rsidR="003353EE">
        <w:rPr>
          <w:rFonts w:asciiTheme="majorHAnsi" w:hAnsiTheme="majorHAnsi"/>
        </w:rPr>
        <w:t>1956;</w:t>
      </w:r>
      <w:r>
        <w:rPr>
          <w:rFonts w:asciiTheme="majorHAnsi" w:hAnsiTheme="majorHAnsi"/>
        </w:rPr>
        <w:t xml:space="preserve"> contribution shall not exceed 7.5% of the average net profits of the company during 3 immediately prece</w:t>
      </w:r>
      <w:r w:rsidR="001932A4">
        <w:rPr>
          <w:rFonts w:asciiTheme="majorHAnsi" w:hAnsiTheme="majorHAnsi"/>
        </w:rPr>
        <w:t>ding Financial Year.</w:t>
      </w:r>
    </w:p>
    <w:p w:rsidR="001932A4" w:rsidRDefault="001932A4" w:rsidP="00D87D0C">
      <w:pPr>
        <w:pStyle w:val="ListParagraph"/>
        <w:numPr>
          <w:ilvl w:val="0"/>
          <w:numId w:val="1"/>
        </w:numPr>
        <w:jc w:val="both"/>
        <w:rPr>
          <w:rFonts w:asciiTheme="majorHAnsi" w:hAnsiTheme="majorHAnsi"/>
        </w:rPr>
      </w:pPr>
      <w:r>
        <w:rPr>
          <w:rFonts w:asciiTheme="majorHAnsi" w:hAnsiTheme="majorHAnsi"/>
        </w:rPr>
        <w:t>A Company can make buyback even if it had at any time defaulted to bank or any financial institution but that such default must have been remedied and a period of 3 years must have lapsed after such default ceased to subsist.</w:t>
      </w:r>
    </w:p>
    <w:p w:rsidR="001932A4" w:rsidRDefault="00040BCA" w:rsidP="00D87D0C">
      <w:pPr>
        <w:pStyle w:val="ListParagraph"/>
        <w:numPr>
          <w:ilvl w:val="0"/>
          <w:numId w:val="1"/>
        </w:numPr>
        <w:jc w:val="both"/>
        <w:rPr>
          <w:rFonts w:asciiTheme="majorHAnsi" w:hAnsiTheme="majorHAnsi"/>
        </w:rPr>
      </w:pPr>
      <w:r>
        <w:rPr>
          <w:rFonts w:asciiTheme="majorHAnsi" w:hAnsiTheme="majorHAnsi"/>
        </w:rPr>
        <w:t>NBFCs are not covered by the provision relating to acceptance of deposits and they will be governed under rules issued by Reserve Bank of India relating to acceptance of deposit.</w:t>
      </w:r>
    </w:p>
    <w:p w:rsidR="00040BCA" w:rsidRDefault="00040BCA" w:rsidP="00D87D0C">
      <w:pPr>
        <w:pStyle w:val="ListParagraph"/>
        <w:numPr>
          <w:ilvl w:val="0"/>
          <w:numId w:val="1"/>
        </w:numPr>
        <w:jc w:val="both"/>
        <w:rPr>
          <w:rFonts w:asciiTheme="majorHAnsi" w:hAnsiTheme="majorHAnsi"/>
        </w:rPr>
      </w:pPr>
      <w:r>
        <w:rPr>
          <w:rFonts w:asciiTheme="majorHAnsi" w:hAnsiTheme="majorHAnsi"/>
        </w:rPr>
        <w:t>In the Memorandum of Association of a Company, there is no requirement as to bifurcation of the object clause into main ancillary and other objects. Only the objects for which Company is incorporated should be mentioned in object clause.</w:t>
      </w:r>
    </w:p>
    <w:p w:rsidR="00040BCA" w:rsidRDefault="003E7BCD" w:rsidP="00D87D0C">
      <w:pPr>
        <w:pStyle w:val="ListParagraph"/>
        <w:numPr>
          <w:ilvl w:val="0"/>
          <w:numId w:val="1"/>
        </w:numPr>
        <w:jc w:val="both"/>
        <w:rPr>
          <w:rFonts w:asciiTheme="majorHAnsi" w:hAnsiTheme="majorHAnsi"/>
        </w:rPr>
      </w:pPr>
      <w:r>
        <w:rPr>
          <w:rFonts w:asciiTheme="majorHAnsi" w:hAnsiTheme="majorHAnsi"/>
        </w:rPr>
        <w:t>Articles of</w:t>
      </w:r>
      <w:r w:rsidR="00040BCA">
        <w:rPr>
          <w:rFonts w:asciiTheme="majorHAnsi" w:hAnsiTheme="majorHAnsi"/>
        </w:rPr>
        <w:t xml:space="preserve"> Association of the Company may contain provision with respect to entrenchment whereby the specified provisions of the Article can be altered only if the more restrictive condition or </w:t>
      </w:r>
      <w:r>
        <w:rPr>
          <w:rFonts w:asciiTheme="majorHAnsi" w:hAnsiTheme="majorHAnsi"/>
        </w:rPr>
        <w:t xml:space="preserve">procedure as compared to those </w:t>
      </w:r>
      <w:r>
        <w:rPr>
          <w:rFonts w:asciiTheme="majorHAnsi" w:hAnsiTheme="majorHAnsi"/>
        </w:rPr>
        <w:lastRenderedPageBreak/>
        <w:t>applicable in case of Special Resolution has</w:t>
      </w:r>
      <w:r w:rsidR="00040BCA">
        <w:rPr>
          <w:rFonts w:asciiTheme="majorHAnsi" w:hAnsiTheme="majorHAnsi"/>
        </w:rPr>
        <w:t xml:space="preserve"> been met with.</w:t>
      </w:r>
    </w:p>
    <w:p w:rsidR="003E7BCD" w:rsidRDefault="00040BCA" w:rsidP="00D87D0C">
      <w:pPr>
        <w:pStyle w:val="ListParagraph"/>
        <w:numPr>
          <w:ilvl w:val="0"/>
          <w:numId w:val="1"/>
        </w:numPr>
        <w:jc w:val="both"/>
        <w:rPr>
          <w:rFonts w:asciiTheme="majorHAnsi" w:hAnsiTheme="majorHAnsi"/>
        </w:rPr>
      </w:pPr>
      <w:r>
        <w:rPr>
          <w:rFonts w:asciiTheme="majorHAnsi" w:hAnsiTheme="majorHAnsi"/>
        </w:rPr>
        <w:t xml:space="preserve">A Company shall unless otherwise </w:t>
      </w:r>
      <w:r w:rsidR="003E7BCD">
        <w:rPr>
          <w:rFonts w:asciiTheme="majorHAnsi" w:hAnsiTheme="majorHAnsi"/>
        </w:rPr>
        <w:t>prescribed,</w:t>
      </w:r>
      <w:r>
        <w:rPr>
          <w:rFonts w:asciiTheme="majorHAnsi" w:hAnsiTheme="majorHAnsi"/>
        </w:rPr>
        <w:t xml:space="preserve"> cannot make investment through more than </w:t>
      </w:r>
      <w:proofErr w:type="spellStart"/>
      <w:r>
        <w:rPr>
          <w:rFonts w:asciiTheme="majorHAnsi" w:hAnsiTheme="majorHAnsi"/>
        </w:rPr>
        <w:t>teo</w:t>
      </w:r>
      <w:proofErr w:type="spellEnd"/>
      <w:r>
        <w:rPr>
          <w:rFonts w:asciiTheme="majorHAnsi" w:hAnsiTheme="majorHAnsi"/>
        </w:rPr>
        <w:t xml:space="preserve"> layers of investment companies subject to certain exemptions</w:t>
      </w:r>
      <w:r w:rsidR="003E7BCD">
        <w:rPr>
          <w:rFonts w:asciiTheme="majorHAnsi" w:hAnsiTheme="majorHAnsi"/>
        </w:rPr>
        <w:t>.</w:t>
      </w:r>
    </w:p>
    <w:p w:rsidR="00040BCA" w:rsidRDefault="003E7BCD" w:rsidP="00D87D0C">
      <w:pPr>
        <w:pStyle w:val="ListParagraph"/>
        <w:numPr>
          <w:ilvl w:val="0"/>
          <w:numId w:val="1"/>
        </w:numPr>
        <w:jc w:val="both"/>
        <w:rPr>
          <w:rFonts w:asciiTheme="majorHAnsi" w:hAnsiTheme="majorHAnsi"/>
        </w:rPr>
      </w:pPr>
      <w:r>
        <w:rPr>
          <w:rFonts w:asciiTheme="majorHAnsi" w:hAnsiTheme="majorHAnsi"/>
        </w:rPr>
        <w:t>The Financial Year of any company can be only from April to March and only certain Companies complying with certain condition can have a different financial year with the approval of the National Company Law Tribunal(NCLT)</w:t>
      </w:r>
    </w:p>
    <w:p w:rsidR="003E7BCD" w:rsidRDefault="003E7BCD" w:rsidP="00D87D0C">
      <w:pPr>
        <w:pStyle w:val="ListParagraph"/>
        <w:numPr>
          <w:ilvl w:val="0"/>
          <w:numId w:val="1"/>
        </w:numPr>
        <w:jc w:val="both"/>
        <w:rPr>
          <w:rFonts w:asciiTheme="majorHAnsi" w:hAnsiTheme="majorHAnsi"/>
        </w:rPr>
      </w:pPr>
      <w:r>
        <w:rPr>
          <w:rFonts w:asciiTheme="majorHAnsi" w:hAnsiTheme="majorHAnsi"/>
        </w:rPr>
        <w:t xml:space="preserve">The maximum number of members, which Private </w:t>
      </w:r>
      <w:r w:rsidR="008A775F">
        <w:rPr>
          <w:rFonts w:asciiTheme="majorHAnsi" w:hAnsiTheme="majorHAnsi"/>
        </w:rPr>
        <w:t>Company can have,</w:t>
      </w:r>
      <w:r>
        <w:rPr>
          <w:rFonts w:asciiTheme="majorHAnsi" w:hAnsiTheme="majorHAnsi"/>
        </w:rPr>
        <w:t xml:space="preserve"> </w:t>
      </w:r>
      <w:r w:rsidR="008A775F">
        <w:rPr>
          <w:rFonts w:asciiTheme="majorHAnsi" w:hAnsiTheme="majorHAnsi"/>
        </w:rPr>
        <w:t>i</w:t>
      </w:r>
      <w:r>
        <w:rPr>
          <w:rFonts w:asciiTheme="majorHAnsi" w:hAnsiTheme="majorHAnsi"/>
        </w:rPr>
        <w:t>s increases from 50 as provided in the Companies Act 1956 to 200.</w:t>
      </w:r>
    </w:p>
    <w:p w:rsidR="003E7BCD" w:rsidRDefault="008A775F" w:rsidP="00D87D0C">
      <w:pPr>
        <w:pStyle w:val="ListParagraph"/>
        <w:numPr>
          <w:ilvl w:val="0"/>
          <w:numId w:val="1"/>
        </w:numPr>
        <w:jc w:val="both"/>
        <w:rPr>
          <w:rFonts w:asciiTheme="majorHAnsi" w:hAnsiTheme="majorHAnsi"/>
        </w:rPr>
      </w:pPr>
      <w:r>
        <w:rPr>
          <w:rFonts w:asciiTheme="majorHAnsi" w:hAnsiTheme="majorHAnsi"/>
        </w:rPr>
        <w:t xml:space="preserve">The concept of </w:t>
      </w:r>
      <w:r w:rsidR="003353EE">
        <w:rPr>
          <w:rFonts w:asciiTheme="majorHAnsi" w:hAnsiTheme="majorHAnsi"/>
        </w:rPr>
        <w:t>one</w:t>
      </w:r>
      <w:r>
        <w:rPr>
          <w:rFonts w:asciiTheme="majorHAnsi" w:hAnsiTheme="majorHAnsi"/>
        </w:rPr>
        <w:t xml:space="preserve"> person Company has been </w:t>
      </w:r>
      <w:r w:rsidR="003353EE">
        <w:rPr>
          <w:rFonts w:asciiTheme="majorHAnsi" w:hAnsiTheme="majorHAnsi"/>
        </w:rPr>
        <w:t>introduced</w:t>
      </w:r>
      <w:r>
        <w:rPr>
          <w:rFonts w:asciiTheme="majorHAnsi" w:hAnsiTheme="majorHAnsi"/>
        </w:rPr>
        <w:t xml:space="preserve"> and the said company will be formed as a Private Limited Company.</w:t>
      </w:r>
    </w:p>
    <w:p w:rsidR="008A775F" w:rsidRDefault="008A775F" w:rsidP="00D87D0C">
      <w:pPr>
        <w:pStyle w:val="ListParagraph"/>
        <w:numPr>
          <w:ilvl w:val="0"/>
          <w:numId w:val="1"/>
        </w:numPr>
        <w:jc w:val="both"/>
        <w:rPr>
          <w:rFonts w:asciiTheme="majorHAnsi" w:hAnsiTheme="majorHAnsi"/>
        </w:rPr>
      </w:pPr>
      <w:r>
        <w:rPr>
          <w:rFonts w:asciiTheme="majorHAnsi" w:hAnsiTheme="majorHAnsi"/>
        </w:rPr>
        <w:t>A Company cannot issue share at a discount otherwise than as sweat Equity.</w:t>
      </w:r>
    </w:p>
    <w:p w:rsidR="007C63E0" w:rsidRDefault="007C63E0" w:rsidP="00D87D0C">
      <w:pPr>
        <w:pStyle w:val="ListParagraph"/>
        <w:numPr>
          <w:ilvl w:val="0"/>
          <w:numId w:val="1"/>
        </w:numPr>
        <w:jc w:val="both"/>
        <w:rPr>
          <w:rFonts w:asciiTheme="majorHAnsi" w:hAnsiTheme="majorHAnsi"/>
        </w:rPr>
      </w:pPr>
      <w:r>
        <w:rPr>
          <w:rFonts w:asciiTheme="majorHAnsi" w:hAnsiTheme="majorHAnsi"/>
        </w:rPr>
        <w:t>Company cannot declare interim dividend at a rate higher than the average dividends declared by the Company during the immediately preceding 3 financial years.</w:t>
      </w:r>
    </w:p>
    <w:p w:rsidR="007C63E0" w:rsidRDefault="001F7312" w:rsidP="00D87D0C">
      <w:pPr>
        <w:pStyle w:val="ListParagraph"/>
        <w:numPr>
          <w:ilvl w:val="0"/>
          <w:numId w:val="1"/>
        </w:numPr>
        <w:jc w:val="both"/>
        <w:rPr>
          <w:rFonts w:asciiTheme="majorHAnsi" w:hAnsiTheme="majorHAnsi"/>
        </w:rPr>
      </w:pPr>
      <w:r>
        <w:rPr>
          <w:rFonts w:asciiTheme="majorHAnsi" w:hAnsiTheme="majorHAnsi"/>
        </w:rPr>
        <w:t xml:space="preserve">The requirement of attaching the Balance Sheet Profit &amp; Loss Account Report of Board of Directors, Auditor Report, </w:t>
      </w:r>
      <w:r w:rsidR="005F4AA1">
        <w:rPr>
          <w:rFonts w:asciiTheme="majorHAnsi" w:hAnsiTheme="majorHAnsi"/>
        </w:rPr>
        <w:t>and Statement</w:t>
      </w:r>
      <w:r>
        <w:rPr>
          <w:rFonts w:asciiTheme="majorHAnsi" w:hAnsiTheme="majorHAnsi"/>
        </w:rPr>
        <w:t xml:space="preserve"> of the Holding Company’s interest in the subsidiary and other reports as required section 212 of the Companies Act 1956 has been dispensed with.</w:t>
      </w:r>
    </w:p>
    <w:p w:rsidR="005F4AA1" w:rsidRDefault="005F4AA1" w:rsidP="00D87D0C">
      <w:pPr>
        <w:pStyle w:val="ListParagraph"/>
        <w:numPr>
          <w:ilvl w:val="0"/>
          <w:numId w:val="1"/>
        </w:numPr>
        <w:jc w:val="both"/>
        <w:rPr>
          <w:rFonts w:asciiTheme="majorHAnsi" w:hAnsiTheme="majorHAnsi"/>
        </w:rPr>
      </w:pPr>
      <w:r>
        <w:rPr>
          <w:rFonts w:asciiTheme="majorHAnsi" w:hAnsiTheme="majorHAnsi"/>
        </w:rPr>
        <w:t>Out of All Directors, at least one director shall be a person who has stayed in India for a total period of not less than 182 days in the previous calendar year</w:t>
      </w:r>
    </w:p>
    <w:p w:rsidR="005A2573" w:rsidRPr="00107549" w:rsidRDefault="005A2573" w:rsidP="00D87D0C">
      <w:pPr>
        <w:pStyle w:val="ListParagraph"/>
        <w:numPr>
          <w:ilvl w:val="0"/>
          <w:numId w:val="1"/>
        </w:numPr>
        <w:jc w:val="both"/>
        <w:rPr>
          <w:rFonts w:asciiTheme="majorHAnsi" w:hAnsiTheme="majorHAnsi"/>
        </w:rPr>
      </w:pPr>
      <w:r>
        <w:rPr>
          <w:rFonts w:asciiTheme="majorHAnsi" w:hAnsiTheme="majorHAnsi"/>
        </w:rPr>
        <w:t>The maximum limit of Directors in the Company has been increased to 15 from the 12</w:t>
      </w:r>
    </w:p>
    <w:p w:rsidR="00BA4E01" w:rsidRDefault="00BA4E01" w:rsidP="00D87D0C">
      <w:pPr>
        <w:jc w:val="both"/>
        <w:rPr>
          <w:rFonts w:asciiTheme="majorHAnsi" w:hAnsiTheme="majorHAnsi"/>
        </w:rPr>
        <w:sectPr w:rsidR="00BA4E01" w:rsidSect="00BA4E01">
          <w:type w:val="continuous"/>
          <w:pgSz w:w="12240" w:h="15840"/>
          <w:pgMar w:top="720" w:right="720" w:bottom="720" w:left="720" w:header="720" w:footer="720" w:gutter="0"/>
          <w:cols w:num="2" w:space="360"/>
          <w:docGrid w:linePitch="360"/>
        </w:sectPr>
      </w:pPr>
    </w:p>
    <w:p w:rsidR="00604FBE" w:rsidRPr="00EE01CC" w:rsidRDefault="00604FBE" w:rsidP="00D87D0C">
      <w:pPr>
        <w:jc w:val="both"/>
        <w:rPr>
          <w:rFonts w:asciiTheme="majorHAnsi" w:hAnsiTheme="majorHAnsi"/>
        </w:rPr>
      </w:pPr>
    </w:p>
    <w:sectPr w:rsidR="00604FBE" w:rsidRPr="00EE01CC" w:rsidSect="00BA4E01">
      <w:type w:val="continuous"/>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9.75pt;height:9pt" o:bullet="t">
        <v:imagedata r:id="rId1" o:title="BD21297_"/>
      </v:shape>
    </w:pict>
  </w:numPicBullet>
  <w:abstractNum w:abstractNumId="0">
    <w:nsid w:val="60794587"/>
    <w:multiLevelType w:val="hybridMultilevel"/>
    <w:tmpl w:val="3E06D9B6"/>
    <w:lvl w:ilvl="0" w:tplc="DE32BE7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604FBE"/>
    <w:rsid w:val="00040BCA"/>
    <w:rsid w:val="00107549"/>
    <w:rsid w:val="001932A4"/>
    <w:rsid w:val="001F7312"/>
    <w:rsid w:val="002B224F"/>
    <w:rsid w:val="003353EE"/>
    <w:rsid w:val="003E78CD"/>
    <w:rsid w:val="003E7BCD"/>
    <w:rsid w:val="005A2573"/>
    <w:rsid w:val="005F4AA1"/>
    <w:rsid w:val="00604FBE"/>
    <w:rsid w:val="00717948"/>
    <w:rsid w:val="007C63E0"/>
    <w:rsid w:val="00881FA8"/>
    <w:rsid w:val="008A775F"/>
    <w:rsid w:val="00B44763"/>
    <w:rsid w:val="00BA4E01"/>
    <w:rsid w:val="00D87D0C"/>
    <w:rsid w:val="00EE01CC"/>
    <w:rsid w:val="00F762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8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4FBE"/>
    <w:rPr>
      <w:color w:val="0000FF" w:themeColor="hyperlink"/>
      <w:u w:val="single"/>
    </w:rPr>
  </w:style>
  <w:style w:type="paragraph" w:styleId="ListParagraph">
    <w:name w:val="List Paragraph"/>
    <w:basedOn w:val="Normal"/>
    <w:uiPriority w:val="34"/>
    <w:qFormat/>
    <w:rsid w:val="0010754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2F2F2"/>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77D73-3E63-418F-B5EE-292BF75A2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487</Words>
  <Characters>2781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BOSS</dc:creator>
  <cp:keywords/>
  <dc:description/>
  <cp:lastModifiedBy>BOSS</cp:lastModifiedBy>
  <cp:revision>34</cp:revision>
  <dcterms:created xsi:type="dcterms:W3CDTF">2012-12-28T11:18:00Z</dcterms:created>
  <dcterms:modified xsi:type="dcterms:W3CDTF">2013-02-16T03:40:00Z</dcterms:modified>
</cp:coreProperties>
</file>