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6807" w:rsidRPr="00656807" w:rsidRDefault="00656807" w:rsidP="00656807">
      <w:pPr>
        <w:pStyle w:val="NormalWeb"/>
        <w:shd w:val="clear" w:color="auto" w:fill="FFFFFF"/>
        <w:spacing w:before="0" w:beforeAutospacing="0" w:after="0" w:afterAutospacing="0" w:line="300" w:lineRule="atLeast"/>
        <w:jc w:val="center"/>
        <w:rPr>
          <w:rFonts w:asciiTheme="minorHAnsi" w:hAnsiTheme="minorHAnsi" w:cstheme="minorHAnsi"/>
          <w:b/>
          <w:sz w:val="32"/>
          <w:szCs w:val="20"/>
          <w:u w:val="single"/>
        </w:rPr>
      </w:pPr>
      <w:bookmarkStart w:id="0" w:name="_GoBack"/>
      <w:bookmarkEnd w:id="0"/>
      <w:r w:rsidRPr="00656807">
        <w:rPr>
          <w:rFonts w:asciiTheme="minorHAnsi" w:hAnsiTheme="minorHAnsi" w:cstheme="minorHAnsi"/>
          <w:b/>
          <w:sz w:val="32"/>
          <w:szCs w:val="20"/>
          <w:u w:val="single"/>
        </w:rPr>
        <w:t>Some of Silent features of Companies Bill 2011</w:t>
      </w:r>
    </w:p>
    <w:p w:rsidR="00656807" w:rsidRDefault="00656807" w:rsidP="00656807">
      <w:pPr>
        <w:pStyle w:val="NormalWeb"/>
        <w:shd w:val="clear" w:color="auto" w:fill="FFFFFF"/>
        <w:spacing w:before="0" w:beforeAutospacing="0" w:after="0" w:afterAutospacing="0" w:line="300" w:lineRule="atLeast"/>
        <w:jc w:val="both"/>
        <w:rPr>
          <w:rFonts w:asciiTheme="minorHAnsi" w:hAnsiTheme="minorHAnsi" w:cstheme="minorHAnsi"/>
          <w:sz w:val="22"/>
          <w:szCs w:val="20"/>
        </w:rPr>
      </w:pPr>
    </w:p>
    <w:p w:rsidR="00656807" w:rsidRDefault="00656807" w:rsidP="00656807">
      <w:pPr>
        <w:pStyle w:val="NormalWeb"/>
        <w:shd w:val="clear" w:color="auto" w:fill="FFFFFF"/>
        <w:spacing w:before="0" w:beforeAutospacing="0" w:after="0" w:afterAutospacing="0" w:line="300" w:lineRule="atLeast"/>
        <w:jc w:val="both"/>
        <w:rPr>
          <w:rFonts w:asciiTheme="minorHAnsi" w:hAnsiTheme="minorHAnsi" w:cstheme="minorHAnsi"/>
          <w:sz w:val="22"/>
          <w:szCs w:val="20"/>
        </w:rPr>
      </w:pPr>
    </w:p>
    <w:p w:rsidR="00656807" w:rsidRPr="00656807" w:rsidRDefault="00656807" w:rsidP="00656807">
      <w:pPr>
        <w:pStyle w:val="NormalWeb"/>
        <w:shd w:val="clear" w:color="auto" w:fill="FFFFFF"/>
        <w:spacing w:before="0" w:beforeAutospacing="0" w:after="0" w:afterAutospacing="0" w:line="300" w:lineRule="atLeast"/>
        <w:jc w:val="both"/>
        <w:rPr>
          <w:rFonts w:asciiTheme="minorHAnsi" w:hAnsiTheme="minorHAnsi" w:cstheme="minorHAnsi"/>
          <w:sz w:val="22"/>
          <w:szCs w:val="20"/>
        </w:rPr>
      </w:pPr>
      <w:r w:rsidRPr="00656807">
        <w:rPr>
          <w:rFonts w:asciiTheme="minorHAnsi" w:hAnsiTheme="minorHAnsi" w:cstheme="minorHAnsi"/>
          <w:sz w:val="22"/>
          <w:szCs w:val="20"/>
        </w:rPr>
        <w:t>The Companies</w:t>
      </w:r>
      <w:r w:rsidRPr="00656807">
        <w:rPr>
          <w:rStyle w:val="apple-converted-space"/>
          <w:rFonts w:asciiTheme="minorHAnsi" w:hAnsiTheme="minorHAnsi" w:cstheme="minorHAnsi"/>
          <w:sz w:val="22"/>
          <w:szCs w:val="20"/>
        </w:rPr>
        <w:t> </w:t>
      </w:r>
      <w:r w:rsidRPr="00656807">
        <w:rPr>
          <w:rStyle w:val="ilad"/>
          <w:rFonts w:asciiTheme="minorHAnsi" w:hAnsiTheme="minorHAnsi" w:cstheme="minorHAnsi"/>
          <w:sz w:val="22"/>
          <w:szCs w:val="20"/>
        </w:rPr>
        <w:t>Bill</w:t>
      </w:r>
      <w:r w:rsidRPr="00656807">
        <w:rPr>
          <w:rFonts w:asciiTheme="minorHAnsi" w:hAnsiTheme="minorHAnsi" w:cstheme="minorHAnsi"/>
          <w:sz w:val="22"/>
          <w:szCs w:val="20"/>
        </w:rPr>
        <w:t xml:space="preserve">, 2011, which was passed by the </w:t>
      </w:r>
      <w:proofErr w:type="spellStart"/>
      <w:r w:rsidRPr="00656807">
        <w:rPr>
          <w:rFonts w:asciiTheme="minorHAnsi" w:hAnsiTheme="minorHAnsi" w:cstheme="minorHAnsi"/>
          <w:sz w:val="22"/>
          <w:szCs w:val="20"/>
        </w:rPr>
        <w:t>Lok</w:t>
      </w:r>
      <w:proofErr w:type="spellEnd"/>
      <w:r w:rsidRPr="00656807">
        <w:rPr>
          <w:rFonts w:asciiTheme="minorHAnsi" w:hAnsiTheme="minorHAnsi" w:cstheme="minorHAnsi"/>
          <w:sz w:val="22"/>
          <w:szCs w:val="20"/>
        </w:rPr>
        <w:t xml:space="preserve"> </w:t>
      </w:r>
      <w:proofErr w:type="spellStart"/>
      <w:r w:rsidRPr="00656807">
        <w:rPr>
          <w:rFonts w:asciiTheme="minorHAnsi" w:hAnsiTheme="minorHAnsi" w:cstheme="minorHAnsi"/>
          <w:sz w:val="22"/>
          <w:szCs w:val="20"/>
        </w:rPr>
        <w:t>Sabha</w:t>
      </w:r>
      <w:proofErr w:type="spellEnd"/>
      <w:r w:rsidRPr="00656807">
        <w:rPr>
          <w:rFonts w:asciiTheme="minorHAnsi" w:hAnsiTheme="minorHAnsi" w:cstheme="minorHAnsi"/>
          <w:sz w:val="22"/>
          <w:szCs w:val="20"/>
        </w:rPr>
        <w:t xml:space="preserve"> </w:t>
      </w:r>
      <w:r>
        <w:rPr>
          <w:rFonts w:asciiTheme="minorHAnsi" w:hAnsiTheme="minorHAnsi" w:cstheme="minorHAnsi"/>
          <w:sz w:val="22"/>
          <w:szCs w:val="20"/>
        </w:rPr>
        <w:t>on 19</w:t>
      </w:r>
      <w:r w:rsidRPr="00656807">
        <w:rPr>
          <w:rFonts w:asciiTheme="minorHAnsi" w:hAnsiTheme="minorHAnsi" w:cstheme="minorHAnsi"/>
          <w:sz w:val="22"/>
          <w:szCs w:val="20"/>
          <w:vertAlign w:val="superscript"/>
        </w:rPr>
        <w:t>th</w:t>
      </w:r>
      <w:r>
        <w:rPr>
          <w:rFonts w:asciiTheme="minorHAnsi" w:hAnsiTheme="minorHAnsi" w:cstheme="minorHAnsi"/>
          <w:sz w:val="22"/>
          <w:szCs w:val="20"/>
        </w:rPr>
        <w:t xml:space="preserve"> Dec 2012</w:t>
      </w:r>
      <w:r w:rsidRPr="00656807">
        <w:rPr>
          <w:rFonts w:asciiTheme="minorHAnsi" w:hAnsiTheme="minorHAnsi" w:cstheme="minorHAnsi"/>
          <w:sz w:val="22"/>
          <w:szCs w:val="20"/>
        </w:rPr>
        <w:t>, on its enactment will allow the country to have a modern legislation for growth and regulation of corporate sector in India. The existing statute for regulation of companies in the country, viz. the Companies Act, 1956 had been under consideration for quite long for comprehensive revision in view of the changing economic and commercial environment</w:t>
      </w:r>
      <w:r w:rsidRPr="00656807">
        <w:rPr>
          <w:rStyle w:val="apple-converted-space"/>
          <w:rFonts w:asciiTheme="minorHAnsi" w:hAnsiTheme="minorHAnsi" w:cstheme="minorHAnsi"/>
          <w:sz w:val="22"/>
          <w:szCs w:val="20"/>
        </w:rPr>
        <w:t> </w:t>
      </w:r>
      <w:r w:rsidRPr="00656807">
        <w:rPr>
          <w:rStyle w:val="ilad"/>
          <w:rFonts w:asciiTheme="minorHAnsi" w:hAnsiTheme="minorHAnsi" w:cstheme="minorHAnsi"/>
          <w:sz w:val="22"/>
          <w:szCs w:val="20"/>
        </w:rPr>
        <w:t>nationally</w:t>
      </w:r>
      <w:r w:rsidRPr="00656807">
        <w:rPr>
          <w:rStyle w:val="apple-converted-space"/>
          <w:rFonts w:asciiTheme="minorHAnsi" w:hAnsiTheme="minorHAnsi" w:cstheme="minorHAnsi"/>
          <w:sz w:val="22"/>
          <w:szCs w:val="20"/>
        </w:rPr>
        <w:t> </w:t>
      </w:r>
      <w:r w:rsidRPr="00656807">
        <w:rPr>
          <w:rFonts w:asciiTheme="minorHAnsi" w:hAnsiTheme="minorHAnsi" w:cstheme="minorHAnsi"/>
          <w:sz w:val="22"/>
          <w:szCs w:val="20"/>
        </w:rPr>
        <w:t>as well as internationally. In view of various reformatory and contemporary provisions proposed in the Companies</w:t>
      </w:r>
      <w:r w:rsidRPr="00656807">
        <w:rPr>
          <w:rStyle w:val="apple-converted-space"/>
          <w:rFonts w:asciiTheme="minorHAnsi" w:hAnsiTheme="minorHAnsi" w:cstheme="minorHAnsi"/>
          <w:sz w:val="22"/>
          <w:szCs w:val="20"/>
        </w:rPr>
        <w:t> </w:t>
      </w:r>
      <w:r w:rsidRPr="00656807">
        <w:rPr>
          <w:rFonts w:asciiTheme="minorHAnsi" w:hAnsiTheme="minorHAnsi" w:cstheme="minorHAnsi"/>
          <w:sz w:val="22"/>
          <w:szCs w:val="20"/>
        </w:rPr>
        <w:t>Bill, 2011, together with omission of existing unwanted and obsolete compliance requirements, the companies in the country will be able to comply with the requirements of the proposed Companies Act in a better and more effective manner.</w:t>
      </w:r>
    </w:p>
    <w:p w:rsidR="00656807" w:rsidRDefault="00656807" w:rsidP="00656807">
      <w:pPr>
        <w:pStyle w:val="NormalWeb"/>
        <w:shd w:val="clear" w:color="auto" w:fill="FFFFFF"/>
        <w:spacing w:before="150" w:beforeAutospacing="0" w:after="0" w:afterAutospacing="0" w:line="300" w:lineRule="atLeast"/>
        <w:jc w:val="both"/>
        <w:rPr>
          <w:rFonts w:asciiTheme="minorHAnsi" w:hAnsiTheme="minorHAnsi" w:cstheme="minorHAnsi"/>
          <w:sz w:val="22"/>
          <w:szCs w:val="20"/>
        </w:rPr>
      </w:pPr>
      <w:r w:rsidRPr="00656807">
        <w:rPr>
          <w:rFonts w:asciiTheme="minorHAnsi" w:hAnsiTheme="minorHAnsi" w:cstheme="minorHAnsi"/>
          <w:sz w:val="22"/>
          <w:szCs w:val="20"/>
        </w:rPr>
        <w:t>The Salient features of the Companies</w:t>
      </w:r>
      <w:r w:rsidRPr="00656807">
        <w:rPr>
          <w:rStyle w:val="apple-converted-space"/>
          <w:rFonts w:asciiTheme="minorHAnsi" w:hAnsiTheme="minorHAnsi" w:cstheme="minorHAnsi"/>
          <w:sz w:val="22"/>
          <w:szCs w:val="20"/>
        </w:rPr>
        <w:t> </w:t>
      </w:r>
      <w:r w:rsidRPr="00656807">
        <w:rPr>
          <w:rFonts w:asciiTheme="minorHAnsi" w:hAnsiTheme="minorHAnsi" w:cstheme="minorHAnsi"/>
          <w:sz w:val="22"/>
          <w:szCs w:val="20"/>
        </w:rPr>
        <w:t>Bill</w:t>
      </w:r>
      <w:r w:rsidRPr="00656807">
        <w:rPr>
          <w:rStyle w:val="apple-converted-space"/>
          <w:rFonts w:asciiTheme="minorHAnsi" w:hAnsiTheme="minorHAnsi" w:cstheme="minorHAnsi"/>
          <w:sz w:val="22"/>
          <w:szCs w:val="20"/>
        </w:rPr>
        <w:t> </w:t>
      </w:r>
      <w:r w:rsidRPr="00656807">
        <w:rPr>
          <w:rFonts w:asciiTheme="minorHAnsi" w:hAnsiTheme="minorHAnsi" w:cstheme="minorHAnsi"/>
          <w:sz w:val="22"/>
          <w:szCs w:val="20"/>
        </w:rPr>
        <w:t>2011 are as follows:</w:t>
      </w:r>
    </w:p>
    <w:p w:rsidR="00656807" w:rsidRPr="00656807" w:rsidRDefault="00656807" w:rsidP="00656807">
      <w:pPr>
        <w:pStyle w:val="NormalWeb"/>
        <w:shd w:val="clear" w:color="auto" w:fill="FFFFFF"/>
        <w:spacing w:before="150" w:beforeAutospacing="0" w:after="0" w:afterAutospacing="0" w:line="300" w:lineRule="atLeast"/>
        <w:jc w:val="both"/>
        <w:rPr>
          <w:rFonts w:asciiTheme="minorHAnsi" w:hAnsiTheme="minorHAnsi" w:cstheme="minorHAnsi"/>
          <w:sz w:val="22"/>
          <w:szCs w:val="20"/>
        </w:rPr>
      </w:pPr>
    </w:p>
    <w:p w:rsidR="00656807" w:rsidRPr="00656807" w:rsidRDefault="00656807" w:rsidP="00656807">
      <w:pPr>
        <w:pStyle w:val="NormalWeb"/>
        <w:shd w:val="clear" w:color="auto" w:fill="FFFFFF"/>
        <w:spacing w:before="0" w:beforeAutospacing="0" w:after="0" w:afterAutospacing="0" w:line="300" w:lineRule="atLeast"/>
        <w:jc w:val="both"/>
        <w:rPr>
          <w:rFonts w:asciiTheme="minorHAnsi" w:hAnsiTheme="minorHAnsi" w:cstheme="minorHAnsi"/>
          <w:sz w:val="22"/>
          <w:szCs w:val="20"/>
        </w:rPr>
      </w:pPr>
      <w:r w:rsidRPr="00656807">
        <w:rPr>
          <w:rFonts w:asciiTheme="minorHAnsi" w:hAnsiTheme="minorHAnsi" w:cstheme="minorHAnsi"/>
          <w:sz w:val="22"/>
          <w:szCs w:val="20"/>
        </w:rPr>
        <w:t>1. (</w:t>
      </w:r>
      <w:r w:rsidRPr="00656807">
        <w:rPr>
          <w:rStyle w:val="ilad"/>
          <w:rFonts w:asciiTheme="minorHAnsi" w:hAnsiTheme="minorHAnsi" w:cstheme="minorHAnsi"/>
          <w:sz w:val="22"/>
          <w:szCs w:val="20"/>
        </w:rPr>
        <w:t>Amendment</w:t>
      </w:r>
      <w:r w:rsidRPr="00656807">
        <w:rPr>
          <w:rStyle w:val="apple-converted-space"/>
          <w:rFonts w:asciiTheme="minorHAnsi" w:hAnsiTheme="minorHAnsi" w:cstheme="minorHAnsi"/>
          <w:sz w:val="22"/>
          <w:szCs w:val="20"/>
        </w:rPr>
        <w:t> </w:t>
      </w:r>
      <w:r w:rsidRPr="00656807">
        <w:rPr>
          <w:rFonts w:asciiTheme="minorHAnsi" w:hAnsiTheme="minorHAnsi" w:cstheme="minorHAnsi"/>
          <w:sz w:val="22"/>
          <w:szCs w:val="20"/>
        </w:rPr>
        <w:t xml:space="preserve">in Clause 135): In the Section on </w:t>
      </w:r>
      <w:r w:rsidRPr="00656807">
        <w:rPr>
          <w:rFonts w:asciiTheme="minorHAnsi" w:hAnsiTheme="minorHAnsi" w:cstheme="minorHAnsi"/>
          <w:b/>
          <w:color w:val="FF0000"/>
          <w:sz w:val="22"/>
          <w:szCs w:val="20"/>
        </w:rPr>
        <w:t>Corporate Social Responsibility</w:t>
      </w:r>
      <w:r w:rsidRPr="00656807">
        <w:rPr>
          <w:rFonts w:asciiTheme="minorHAnsi" w:hAnsiTheme="minorHAnsi" w:cstheme="minorHAnsi"/>
          <w:sz w:val="22"/>
          <w:szCs w:val="20"/>
        </w:rPr>
        <w:t xml:space="preserve"> (Section135), which is being introduced as a statutory provision</w:t>
      </w:r>
      <w:r w:rsidRPr="00656807">
        <w:rPr>
          <w:rStyle w:val="apple-converted-space"/>
          <w:rFonts w:asciiTheme="minorHAnsi" w:hAnsiTheme="minorHAnsi" w:cstheme="minorHAnsi"/>
          <w:sz w:val="22"/>
          <w:szCs w:val="20"/>
        </w:rPr>
        <w:t> </w:t>
      </w:r>
      <w:r w:rsidRPr="00656807">
        <w:rPr>
          <w:rStyle w:val="ilad"/>
          <w:rFonts w:asciiTheme="minorHAnsi" w:hAnsiTheme="minorHAnsi" w:cstheme="minorHAnsi"/>
          <w:sz w:val="22"/>
          <w:szCs w:val="20"/>
        </w:rPr>
        <w:t>for the first time</w:t>
      </w:r>
      <w:r w:rsidRPr="00656807">
        <w:rPr>
          <w:rFonts w:asciiTheme="minorHAnsi" w:hAnsiTheme="minorHAnsi" w:cstheme="minorHAnsi"/>
          <w:sz w:val="22"/>
          <w:szCs w:val="20"/>
        </w:rPr>
        <w:t xml:space="preserve">, the words ‘make every </w:t>
      </w:r>
      <w:proofErr w:type="spellStart"/>
      <w:r w:rsidRPr="00656807">
        <w:rPr>
          <w:rFonts w:asciiTheme="minorHAnsi" w:hAnsiTheme="minorHAnsi" w:cstheme="minorHAnsi"/>
          <w:sz w:val="22"/>
          <w:szCs w:val="20"/>
        </w:rPr>
        <w:t>endeavour</w:t>
      </w:r>
      <w:proofErr w:type="spellEnd"/>
      <w:r w:rsidRPr="00656807">
        <w:rPr>
          <w:rFonts w:asciiTheme="minorHAnsi" w:hAnsiTheme="minorHAnsi" w:cstheme="minorHAnsi"/>
          <w:sz w:val="22"/>
          <w:szCs w:val="20"/>
        </w:rPr>
        <w:t xml:space="preserve"> to’ have been omitted from its Sub-clause (5). So that the first </w:t>
      </w:r>
      <w:proofErr w:type="spellStart"/>
      <w:r w:rsidRPr="00656807">
        <w:rPr>
          <w:rFonts w:asciiTheme="minorHAnsi" w:hAnsiTheme="minorHAnsi" w:cstheme="minorHAnsi"/>
          <w:sz w:val="22"/>
          <w:szCs w:val="20"/>
        </w:rPr>
        <w:t>para</w:t>
      </w:r>
      <w:proofErr w:type="spellEnd"/>
      <w:r w:rsidRPr="00656807">
        <w:rPr>
          <w:rFonts w:asciiTheme="minorHAnsi" w:hAnsiTheme="minorHAnsi" w:cstheme="minorHAnsi"/>
          <w:sz w:val="22"/>
          <w:szCs w:val="20"/>
        </w:rPr>
        <w:t xml:space="preserve"> of Sub-clause (5) of Clause 135 now reads as follows: “The Board of every company referred to in sub-section (1), shall ensure that the company </w:t>
      </w:r>
      <w:r w:rsidRPr="00656807">
        <w:rPr>
          <w:rFonts w:asciiTheme="minorHAnsi" w:hAnsiTheme="minorHAnsi" w:cstheme="minorHAnsi"/>
          <w:b/>
          <w:sz w:val="22"/>
          <w:szCs w:val="20"/>
        </w:rPr>
        <w:t>spends in every</w:t>
      </w:r>
      <w:r w:rsidRPr="00656807">
        <w:rPr>
          <w:rStyle w:val="apple-converted-space"/>
          <w:rFonts w:asciiTheme="minorHAnsi" w:hAnsiTheme="minorHAnsi" w:cstheme="minorHAnsi"/>
          <w:b/>
          <w:sz w:val="22"/>
          <w:szCs w:val="20"/>
        </w:rPr>
        <w:t> </w:t>
      </w:r>
      <w:r w:rsidRPr="00656807">
        <w:rPr>
          <w:rStyle w:val="ilad"/>
          <w:rFonts w:asciiTheme="minorHAnsi" w:hAnsiTheme="minorHAnsi" w:cstheme="minorHAnsi"/>
          <w:b/>
          <w:sz w:val="22"/>
          <w:szCs w:val="20"/>
        </w:rPr>
        <w:t>financial year</w:t>
      </w:r>
      <w:r w:rsidRPr="00656807">
        <w:rPr>
          <w:rFonts w:asciiTheme="minorHAnsi" w:hAnsiTheme="minorHAnsi" w:cstheme="minorHAnsi"/>
          <w:b/>
          <w:sz w:val="22"/>
          <w:szCs w:val="20"/>
        </w:rPr>
        <w:t>, at least two per cent of the average net profits of the company made during the three immediately preceding financial years</w:t>
      </w:r>
      <w:r w:rsidRPr="00656807">
        <w:rPr>
          <w:rFonts w:asciiTheme="minorHAnsi" w:hAnsiTheme="minorHAnsi" w:cstheme="minorHAnsi"/>
          <w:sz w:val="22"/>
          <w:szCs w:val="20"/>
        </w:rPr>
        <w:t>, in pursuance of its Corporate Social Responsibility Policy.”</w:t>
      </w:r>
    </w:p>
    <w:p w:rsidR="00656807" w:rsidRDefault="00656807" w:rsidP="00656807">
      <w:pPr>
        <w:pStyle w:val="NormalWeb"/>
        <w:shd w:val="clear" w:color="auto" w:fill="FFFFFF"/>
        <w:spacing w:before="150" w:beforeAutospacing="0" w:after="0" w:afterAutospacing="0" w:line="300" w:lineRule="atLeast"/>
        <w:jc w:val="both"/>
        <w:rPr>
          <w:rFonts w:asciiTheme="minorHAnsi" w:hAnsiTheme="minorHAnsi" w:cstheme="minorHAnsi"/>
          <w:sz w:val="22"/>
          <w:szCs w:val="20"/>
        </w:rPr>
      </w:pPr>
      <w:r w:rsidRPr="00656807">
        <w:rPr>
          <w:rFonts w:asciiTheme="minorHAnsi" w:hAnsiTheme="minorHAnsi" w:cstheme="minorHAnsi"/>
          <w:sz w:val="22"/>
          <w:szCs w:val="20"/>
        </w:rPr>
        <w:t>Such clause is also amended to provide that the company shall give preference to local areas where it operates, for spending amount earmarked for Corporate Social Responsibility (CSR) activities. The approach to ‘implement or cite reasons for non implementation’ retained.</w:t>
      </w:r>
    </w:p>
    <w:p w:rsidR="00656807" w:rsidRPr="00656807" w:rsidRDefault="00656807" w:rsidP="00656807">
      <w:pPr>
        <w:pStyle w:val="NormalWeb"/>
        <w:shd w:val="clear" w:color="auto" w:fill="FFFFFF"/>
        <w:spacing w:before="150" w:beforeAutospacing="0" w:after="0" w:afterAutospacing="0" w:line="300" w:lineRule="atLeast"/>
        <w:jc w:val="both"/>
        <w:rPr>
          <w:rFonts w:asciiTheme="minorHAnsi" w:hAnsiTheme="minorHAnsi" w:cstheme="minorHAnsi"/>
          <w:sz w:val="22"/>
          <w:szCs w:val="20"/>
        </w:rPr>
      </w:pPr>
    </w:p>
    <w:p w:rsidR="00656807" w:rsidRPr="00656807" w:rsidRDefault="00656807" w:rsidP="00656807">
      <w:pPr>
        <w:pStyle w:val="NormalWeb"/>
        <w:shd w:val="clear" w:color="auto" w:fill="FFFFFF"/>
        <w:spacing w:before="0" w:beforeAutospacing="0" w:after="0" w:afterAutospacing="0" w:line="300" w:lineRule="atLeast"/>
        <w:jc w:val="both"/>
        <w:rPr>
          <w:rFonts w:asciiTheme="minorHAnsi" w:hAnsiTheme="minorHAnsi" w:cstheme="minorHAnsi"/>
          <w:sz w:val="22"/>
          <w:szCs w:val="20"/>
        </w:rPr>
      </w:pPr>
      <w:r w:rsidRPr="00656807">
        <w:rPr>
          <w:rFonts w:asciiTheme="minorHAnsi" w:hAnsiTheme="minorHAnsi" w:cstheme="minorHAnsi"/>
          <w:sz w:val="22"/>
          <w:szCs w:val="20"/>
        </w:rPr>
        <w:t>2. (Amendment</w:t>
      </w:r>
      <w:r w:rsidRPr="00656807">
        <w:rPr>
          <w:rStyle w:val="apple-converted-space"/>
          <w:rFonts w:asciiTheme="minorHAnsi" w:hAnsiTheme="minorHAnsi" w:cstheme="minorHAnsi"/>
          <w:sz w:val="22"/>
          <w:szCs w:val="20"/>
        </w:rPr>
        <w:t> </w:t>
      </w:r>
      <w:r w:rsidRPr="00656807">
        <w:rPr>
          <w:rFonts w:asciiTheme="minorHAnsi" w:hAnsiTheme="minorHAnsi" w:cstheme="minorHAnsi"/>
          <w:sz w:val="22"/>
          <w:szCs w:val="20"/>
        </w:rPr>
        <w:t>in Clause 36): To help in</w:t>
      </w:r>
      <w:r w:rsidRPr="00656807">
        <w:rPr>
          <w:rStyle w:val="apple-converted-space"/>
          <w:rFonts w:asciiTheme="minorHAnsi" w:hAnsiTheme="minorHAnsi" w:cstheme="minorHAnsi"/>
          <w:sz w:val="22"/>
          <w:szCs w:val="20"/>
        </w:rPr>
        <w:t> </w:t>
      </w:r>
      <w:r w:rsidRPr="00656807">
        <w:rPr>
          <w:rStyle w:val="ilad"/>
          <w:rFonts w:asciiTheme="minorHAnsi" w:hAnsiTheme="minorHAnsi" w:cstheme="minorHAnsi"/>
          <w:sz w:val="22"/>
          <w:szCs w:val="20"/>
        </w:rPr>
        <w:t>curbing</w:t>
      </w:r>
      <w:r w:rsidRPr="00656807">
        <w:rPr>
          <w:rStyle w:val="apple-converted-space"/>
          <w:rFonts w:asciiTheme="minorHAnsi" w:hAnsiTheme="minorHAnsi" w:cstheme="minorHAnsi"/>
          <w:sz w:val="22"/>
          <w:szCs w:val="20"/>
        </w:rPr>
        <w:t> </w:t>
      </w:r>
      <w:r w:rsidRPr="00656807">
        <w:rPr>
          <w:rFonts w:asciiTheme="minorHAnsi" w:hAnsiTheme="minorHAnsi" w:cstheme="minorHAnsi"/>
          <w:sz w:val="22"/>
          <w:szCs w:val="20"/>
        </w:rPr>
        <w:t xml:space="preserve">a major source of corporate delinquency, Clause 36 (c) amended, to also </w:t>
      </w:r>
      <w:r w:rsidRPr="00656807">
        <w:rPr>
          <w:rFonts w:asciiTheme="minorHAnsi" w:hAnsiTheme="minorHAnsi" w:cstheme="minorHAnsi"/>
          <w:b/>
          <w:sz w:val="22"/>
          <w:szCs w:val="20"/>
        </w:rPr>
        <w:t>include punishment for falsely inducing a person to enter into any agreement with bank or financial institution, with a view to obtaining credit facilities</w:t>
      </w:r>
      <w:r w:rsidRPr="00656807">
        <w:rPr>
          <w:rFonts w:asciiTheme="minorHAnsi" w:hAnsiTheme="minorHAnsi" w:cstheme="minorHAnsi"/>
          <w:sz w:val="22"/>
          <w:szCs w:val="20"/>
        </w:rPr>
        <w:t>.</w:t>
      </w:r>
    </w:p>
    <w:p w:rsidR="00656807" w:rsidRDefault="00656807" w:rsidP="00656807">
      <w:pPr>
        <w:pStyle w:val="NormalWeb"/>
        <w:shd w:val="clear" w:color="auto" w:fill="FFFFFF"/>
        <w:spacing w:before="150" w:beforeAutospacing="0" w:after="0" w:afterAutospacing="0" w:line="300" w:lineRule="atLeast"/>
        <w:jc w:val="both"/>
        <w:rPr>
          <w:rFonts w:asciiTheme="minorHAnsi" w:hAnsiTheme="minorHAnsi" w:cstheme="minorHAnsi"/>
          <w:sz w:val="22"/>
          <w:szCs w:val="20"/>
        </w:rPr>
      </w:pPr>
    </w:p>
    <w:p w:rsidR="00656807" w:rsidRDefault="00656807" w:rsidP="00656807">
      <w:pPr>
        <w:pStyle w:val="NormalWeb"/>
        <w:shd w:val="clear" w:color="auto" w:fill="FFFFFF"/>
        <w:spacing w:before="150" w:beforeAutospacing="0" w:after="0" w:afterAutospacing="0" w:line="300" w:lineRule="atLeast"/>
        <w:jc w:val="both"/>
        <w:rPr>
          <w:rFonts w:asciiTheme="minorHAnsi" w:hAnsiTheme="minorHAnsi" w:cstheme="minorHAnsi"/>
          <w:sz w:val="22"/>
          <w:szCs w:val="20"/>
        </w:rPr>
      </w:pPr>
      <w:r w:rsidRPr="00656807">
        <w:rPr>
          <w:rFonts w:asciiTheme="minorHAnsi" w:hAnsiTheme="minorHAnsi" w:cstheme="minorHAnsi"/>
          <w:sz w:val="22"/>
          <w:szCs w:val="20"/>
        </w:rPr>
        <w:t>3. (Amendment</w:t>
      </w:r>
      <w:r w:rsidRPr="00656807">
        <w:rPr>
          <w:rStyle w:val="apple-converted-space"/>
          <w:rFonts w:asciiTheme="minorHAnsi" w:hAnsiTheme="minorHAnsi" w:cstheme="minorHAnsi"/>
          <w:sz w:val="22"/>
          <w:szCs w:val="20"/>
        </w:rPr>
        <w:t> </w:t>
      </w:r>
      <w:r w:rsidRPr="00656807">
        <w:rPr>
          <w:rFonts w:asciiTheme="minorHAnsi" w:hAnsiTheme="minorHAnsi" w:cstheme="minorHAnsi"/>
          <w:sz w:val="22"/>
          <w:szCs w:val="20"/>
        </w:rPr>
        <w:t>in Clause 143): Provisions relating to audit of Government Companies by Comptroller and Auditor General of India (C&amp;AG) modified to enable C&amp;AG to perform such audit more effectively.</w:t>
      </w:r>
    </w:p>
    <w:p w:rsidR="00656807" w:rsidRPr="00656807" w:rsidRDefault="00656807" w:rsidP="00656807">
      <w:pPr>
        <w:pStyle w:val="NormalWeb"/>
        <w:shd w:val="clear" w:color="auto" w:fill="FFFFFF"/>
        <w:spacing w:before="150" w:beforeAutospacing="0" w:after="0" w:afterAutospacing="0" w:line="300" w:lineRule="atLeast"/>
        <w:jc w:val="both"/>
        <w:rPr>
          <w:rFonts w:asciiTheme="minorHAnsi" w:hAnsiTheme="minorHAnsi" w:cstheme="minorHAnsi"/>
          <w:sz w:val="22"/>
          <w:szCs w:val="20"/>
        </w:rPr>
      </w:pPr>
    </w:p>
    <w:p w:rsidR="00656807" w:rsidRPr="00656807" w:rsidRDefault="00656807" w:rsidP="00656807">
      <w:pPr>
        <w:pStyle w:val="NormalWeb"/>
        <w:shd w:val="clear" w:color="auto" w:fill="FFFFFF"/>
        <w:spacing w:before="0" w:beforeAutospacing="0" w:after="0" w:afterAutospacing="0" w:line="300" w:lineRule="atLeast"/>
        <w:jc w:val="both"/>
        <w:rPr>
          <w:rFonts w:asciiTheme="minorHAnsi" w:hAnsiTheme="minorHAnsi" w:cstheme="minorHAnsi"/>
          <w:sz w:val="22"/>
          <w:szCs w:val="20"/>
        </w:rPr>
      </w:pPr>
      <w:r w:rsidRPr="00656807">
        <w:rPr>
          <w:rFonts w:asciiTheme="minorHAnsi" w:hAnsiTheme="minorHAnsi" w:cstheme="minorHAnsi"/>
          <w:sz w:val="22"/>
          <w:szCs w:val="20"/>
        </w:rPr>
        <w:t>4. (Amendment</w:t>
      </w:r>
      <w:r w:rsidRPr="00656807">
        <w:rPr>
          <w:rStyle w:val="apple-converted-space"/>
          <w:rFonts w:asciiTheme="minorHAnsi" w:hAnsiTheme="minorHAnsi" w:cstheme="minorHAnsi"/>
          <w:sz w:val="22"/>
          <w:szCs w:val="20"/>
        </w:rPr>
        <w:t> </w:t>
      </w:r>
      <w:r w:rsidRPr="00656807">
        <w:rPr>
          <w:rFonts w:asciiTheme="minorHAnsi" w:hAnsiTheme="minorHAnsi" w:cstheme="minorHAnsi"/>
          <w:sz w:val="22"/>
          <w:szCs w:val="20"/>
        </w:rPr>
        <w:t xml:space="preserve">in Clause 186): Clause 186 amended to provide that the </w:t>
      </w:r>
      <w:r w:rsidRPr="00656807">
        <w:rPr>
          <w:rFonts w:asciiTheme="minorHAnsi" w:hAnsiTheme="minorHAnsi" w:cstheme="minorHAnsi"/>
          <w:b/>
          <w:sz w:val="22"/>
          <w:szCs w:val="20"/>
        </w:rPr>
        <w:t>rate of interest on inter corporate loans will be the prevailing rate of interest on dated</w:t>
      </w:r>
      <w:r w:rsidRPr="00656807">
        <w:rPr>
          <w:rStyle w:val="apple-converted-space"/>
          <w:rFonts w:asciiTheme="minorHAnsi" w:hAnsiTheme="minorHAnsi" w:cstheme="minorHAnsi"/>
          <w:b/>
          <w:sz w:val="22"/>
          <w:szCs w:val="20"/>
        </w:rPr>
        <w:t> </w:t>
      </w:r>
      <w:r w:rsidRPr="00656807">
        <w:rPr>
          <w:rStyle w:val="ilad"/>
          <w:rFonts w:asciiTheme="minorHAnsi" w:hAnsiTheme="minorHAnsi" w:cstheme="minorHAnsi"/>
          <w:b/>
          <w:sz w:val="22"/>
          <w:szCs w:val="20"/>
        </w:rPr>
        <w:t>Government Securities</w:t>
      </w:r>
      <w:r w:rsidRPr="00656807">
        <w:rPr>
          <w:rFonts w:asciiTheme="minorHAnsi" w:hAnsiTheme="minorHAnsi" w:cstheme="minorHAnsi"/>
          <w:sz w:val="22"/>
          <w:szCs w:val="20"/>
        </w:rPr>
        <w:t>.</w:t>
      </w:r>
    </w:p>
    <w:p w:rsidR="00656807" w:rsidRDefault="00656807" w:rsidP="00656807">
      <w:pPr>
        <w:pStyle w:val="NormalWeb"/>
        <w:shd w:val="clear" w:color="auto" w:fill="FFFFFF"/>
        <w:spacing w:before="150" w:beforeAutospacing="0" w:after="0" w:afterAutospacing="0" w:line="300" w:lineRule="atLeast"/>
        <w:jc w:val="both"/>
        <w:rPr>
          <w:rFonts w:asciiTheme="minorHAnsi" w:hAnsiTheme="minorHAnsi" w:cstheme="minorHAnsi"/>
          <w:sz w:val="22"/>
          <w:szCs w:val="20"/>
        </w:rPr>
      </w:pPr>
    </w:p>
    <w:p w:rsidR="00656807" w:rsidRPr="00656807" w:rsidRDefault="00656807" w:rsidP="00656807">
      <w:pPr>
        <w:pStyle w:val="NormalWeb"/>
        <w:shd w:val="clear" w:color="auto" w:fill="FFFFFF"/>
        <w:spacing w:before="150" w:beforeAutospacing="0" w:after="0" w:afterAutospacing="0" w:line="300" w:lineRule="atLeast"/>
        <w:jc w:val="both"/>
        <w:rPr>
          <w:rFonts w:asciiTheme="minorHAnsi" w:hAnsiTheme="minorHAnsi" w:cstheme="minorHAnsi"/>
          <w:sz w:val="22"/>
          <w:szCs w:val="20"/>
        </w:rPr>
      </w:pPr>
      <w:r w:rsidRPr="00656807">
        <w:rPr>
          <w:rFonts w:asciiTheme="minorHAnsi" w:hAnsiTheme="minorHAnsi" w:cstheme="minorHAnsi"/>
          <w:sz w:val="22"/>
          <w:szCs w:val="20"/>
        </w:rPr>
        <w:t>5. (Amendment</w:t>
      </w:r>
      <w:r w:rsidRPr="00656807">
        <w:rPr>
          <w:rStyle w:val="apple-converted-space"/>
          <w:rFonts w:asciiTheme="minorHAnsi" w:hAnsiTheme="minorHAnsi" w:cstheme="minorHAnsi"/>
          <w:sz w:val="22"/>
          <w:szCs w:val="20"/>
        </w:rPr>
        <w:t> </w:t>
      </w:r>
      <w:r w:rsidRPr="00656807">
        <w:rPr>
          <w:rFonts w:asciiTheme="minorHAnsi" w:hAnsiTheme="minorHAnsi" w:cstheme="minorHAnsi"/>
          <w:sz w:val="22"/>
          <w:szCs w:val="20"/>
        </w:rPr>
        <w:t xml:space="preserve">in Clause 144): Provisions relating to </w:t>
      </w:r>
      <w:r w:rsidRPr="00656807">
        <w:rPr>
          <w:rFonts w:asciiTheme="minorHAnsi" w:hAnsiTheme="minorHAnsi" w:cstheme="minorHAnsi"/>
          <w:b/>
          <w:sz w:val="22"/>
          <w:szCs w:val="20"/>
        </w:rPr>
        <w:t>restrictions on non audit services</w:t>
      </w:r>
      <w:r w:rsidRPr="00656807">
        <w:rPr>
          <w:rFonts w:asciiTheme="minorHAnsi" w:hAnsiTheme="minorHAnsi" w:cstheme="minorHAnsi"/>
          <w:sz w:val="22"/>
          <w:szCs w:val="20"/>
        </w:rPr>
        <w:t xml:space="preserve"> modified to provide that such </w:t>
      </w:r>
      <w:r w:rsidRPr="00656807">
        <w:rPr>
          <w:rFonts w:asciiTheme="minorHAnsi" w:hAnsiTheme="minorHAnsi" w:cstheme="minorHAnsi"/>
          <w:b/>
          <w:sz w:val="22"/>
          <w:szCs w:val="20"/>
        </w:rPr>
        <w:t>restrictions shall not apply to associate companies</w:t>
      </w:r>
      <w:r w:rsidRPr="00656807">
        <w:rPr>
          <w:rFonts w:asciiTheme="minorHAnsi" w:hAnsiTheme="minorHAnsi" w:cstheme="minorHAnsi"/>
          <w:sz w:val="22"/>
          <w:szCs w:val="20"/>
        </w:rPr>
        <w:t xml:space="preserve"> and further to provide for transitional period for complying with such provisions.</w:t>
      </w:r>
    </w:p>
    <w:p w:rsidR="00656807" w:rsidRDefault="00656807" w:rsidP="00656807">
      <w:pPr>
        <w:pStyle w:val="NormalWeb"/>
        <w:shd w:val="clear" w:color="auto" w:fill="FFFFFF"/>
        <w:spacing w:before="150" w:beforeAutospacing="0" w:after="0" w:afterAutospacing="0" w:line="300" w:lineRule="atLeast"/>
        <w:jc w:val="both"/>
        <w:rPr>
          <w:rFonts w:asciiTheme="minorHAnsi" w:hAnsiTheme="minorHAnsi" w:cstheme="minorHAnsi"/>
          <w:sz w:val="22"/>
          <w:szCs w:val="20"/>
        </w:rPr>
      </w:pPr>
      <w:r w:rsidRPr="00656807">
        <w:rPr>
          <w:rFonts w:asciiTheme="minorHAnsi" w:hAnsiTheme="minorHAnsi" w:cstheme="minorHAnsi"/>
          <w:sz w:val="22"/>
          <w:szCs w:val="20"/>
        </w:rPr>
        <w:lastRenderedPageBreak/>
        <w:t>6. (Amendment</w:t>
      </w:r>
      <w:r w:rsidRPr="00656807">
        <w:rPr>
          <w:rStyle w:val="apple-converted-space"/>
          <w:rFonts w:asciiTheme="minorHAnsi" w:hAnsiTheme="minorHAnsi" w:cstheme="minorHAnsi"/>
          <w:sz w:val="22"/>
          <w:szCs w:val="20"/>
        </w:rPr>
        <w:t> </w:t>
      </w:r>
      <w:r w:rsidRPr="00656807">
        <w:rPr>
          <w:rFonts w:asciiTheme="minorHAnsi" w:hAnsiTheme="minorHAnsi" w:cstheme="minorHAnsi"/>
          <w:sz w:val="22"/>
          <w:szCs w:val="20"/>
        </w:rPr>
        <w:t xml:space="preserve">in Clause 203): Provisions relating to separation of office of Chairman and Managing Director (MD) modified to allow, in certain cases, </w:t>
      </w:r>
      <w:r w:rsidRPr="00656807">
        <w:rPr>
          <w:rFonts w:asciiTheme="minorHAnsi" w:hAnsiTheme="minorHAnsi" w:cstheme="minorHAnsi"/>
          <w:b/>
          <w:sz w:val="22"/>
          <w:szCs w:val="20"/>
        </w:rPr>
        <w:t>a class of companies having multiple business and separate divisional MDs to appoint same person as chairman as well as MD</w:t>
      </w:r>
      <w:r w:rsidRPr="00656807">
        <w:rPr>
          <w:rFonts w:asciiTheme="minorHAnsi" w:hAnsiTheme="minorHAnsi" w:cstheme="minorHAnsi"/>
          <w:sz w:val="22"/>
          <w:szCs w:val="20"/>
        </w:rPr>
        <w:t>.</w:t>
      </w:r>
    </w:p>
    <w:p w:rsidR="00656807" w:rsidRPr="00656807" w:rsidRDefault="00656807" w:rsidP="00656807">
      <w:pPr>
        <w:pStyle w:val="NormalWeb"/>
        <w:shd w:val="clear" w:color="auto" w:fill="FFFFFF"/>
        <w:spacing w:before="150" w:beforeAutospacing="0" w:after="0" w:afterAutospacing="0" w:line="300" w:lineRule="atLeast"/>
        <w:jc w:val="both"/>
        <w:rPr>
          <w:rFonts w:asciiTheme="minorHAnsi" w:hAnsiTheme="minorHAnsi" w:cstheme="minorHAnsi"/>
          <w:sz w:val="22"/>
          <w:szCs w:val="20"/>
        </w:rPr>
      </w:pPr>
    </w:p>
    <w:p w:rsidR="00656807" w:rsidRDefault="00656807" w:rsidP="00656807">
      <w:pPr>
        <w:pStyle w:val="NormalWeb"/>
        <w:shd w:val="clear" w:color="auto" w:fill="FFFFFF"/>
        <w:spacing w:before="0" w:beforeAutospacing="0" w:after="0" w:afterAutospacing="0" w:line="300" w:lineRule="atLeast"/>
        <w:jc w:val="both"/>
        <w:rPr>
          <w:rFonts w:asciiTheme="minorHAnsi" w:hAnsiTheme="minorHAnsi" w:cstheme="minorHAnsi"/>
          <w:sz w:val="22"/>
          <w:szCs w:val="20"/>
        </w:rPr>
      </w:pPr>
      <w:r w:rsidRPr="00656807">
        <w:rPr>
          <w:rFonts w:asciiTheme="minorHAnsi" w:hAnsiTheme="minorHAnsi" w:cstheme="minorHAnsi"/>
          <w:sz w:val="22"/>
          <w:szCs w:val="20"/>
        </w:rPr>
        <w:t>7. (</w:t>
      </w:r>
      <w:r w:rsidRPr="00656807">
        <w:rPr>
          <w:rStyle w:val="ilad"/>
          <w:rFonts w:asciiTheme="minorHAnsi" w:hAnsiTheme="minorHAnsi" w:cstheme="minorHAnsi"/>
          <w:sz w:val="22"/>
          <w:szCs w:val="20"/>
        </w:rPr>
        <w:t>Amendments</w:t>
      </w:r>
      <w:r w:rsidRPr="00656807">
        <w:rPr>
          <w:rStyle w:val="apple-converted-space"/>
          <w:rFonts w:asciiTheme="minorHAnsi" w:hAnsiTheme="minorHAnsi" w:cstheme="minorHAnsi"/>
          <w:sz w:val="22"/>
          <w:szCs w:val="20"/>
        </w:rPr>
        <w:t> </w:t>
      </w:r>
      <w:r w:rsidRPr="00656807">
        <w:rPr>
          <w:rFonts w:asciiTheme="minorHAnsi" w:hAnsiTheme="minorHAnsi" w:cstheme="minorHAnsi"/>
          <w:sz w:val="22"/>
          <w:szCs w:val="20"/>
        </w:rPr>
        <w:t xml:space="preserve">in Clause 147 and 245): Provisions relating to </w:t>
      </w:r>
      <w:r w:rsidRPr="00656807">
        <w:rPr>
          <w:rFonts w:asciiTheme="minorHAnsi" w:hAnsiTheme="minorHAnsi" w:cstheme="minorHAnsi"/>
          <w:b/>
          <w:color w:val="FF0000"/>
          <w:sz w:val="22"/>
          <w:szCs w:val="20"/>
        </w:rPr>
        <w:t>extent of criminal liability of auditors</w:t>
      </w:r>
      <w:r w:rsidRPr="00656807">
        <w:rPr>
          <w:rFonts w:asciiTheme="minorHAnsi" w:hAnsiTheme="minorHAnsi" w:cstheme="minorHAnsi"/>
          <w:color w:val="FF0000"/>
          <w:sz w:val="22"/>
          <w:szCs w:val="20"/>
        </w:rPr>
        <w:t xml:space="preserve"> </w:t>
      </w:r>
      <w:r w:rsidRPr="00656807">
        <w:rPr>
          <w:rFonts w:asciiTheme="minorHAnsi" w:hAnsiTheme="minorHAnsi" w:cstheme="minorHAnsi"/>
          <w:sz w:val="22"/>
          <w:szCs w:val="20"/>
        </w:rPr>
        <w:t>– particularly in case of partners of an audit firm – reviewed to bring clarity. Further, to ensure that the liability in respect of damages paid by auditor, as per the order of the Court, (in case of conviction under Clause 147) is promptly used for payment to affected parties including tax authorities, Central Government has been empowered to specify any statutory body/authority for such purpose.</w:t>
      </w:r>
    </w:p>
    <w:p w:rsidR="00656807" w:rsidRPr="00656807" w:rsidRDefault="00656807" w:rsidP="00656807">
      <w:pPr>
        <w:pStyle w:val="NormalWeb"/>
        <w:shd w:val="clear" w:color="auto" w:fill="FFFFFF"/>
        <w:spacing w:before="0" w:beforeAutospacing="0" w:after="0" w:afterAutospacing="0" w:line="300" w:lineRule="atLeast"/>
        <w:jc w:val="both"/>
        <w:rPr>
          <w:rFonts w:asciiTheme="minorHAnsi" w:hAnsiTheme="minorHAnsi" w:cstheme="minorHAnsi"/>
          <w:sz w:val="22"/>
          <w:szCs w:val="20"/>
        </w:rPr>
      </w:pPr>
    </w:p>
    <w:p w:rsidR="00656807" w:rsidRDefault="00656807" w:rsidP="00656807">
      <w:pPr>
        <w:pStyle w:val="NormalWeb"/>
        <w:shd w:val="clear" w:color="auto" w:fill="FFFFFF"/>
        <w:spacing w:before="150" w:beforeAutospacing="0" w:after="0" w:afterAutospacing="0" w:line="300" w:lineRule="atLeast"/>
        <w:jc w:val="both"/>
        <w:rPr>
          <w:rFonts w:asciiTheme="minorHAnsi" w:hAnsiTheme="minorHAnsi" w:cstheme="minorHAnsi"/>
          <w:sz w:val="22"/>
          <w:szCs w:val="20"/>
        </w:rPr>
      </w:pPr>
      <w:r w:rsidRPr="00656807">
        <w:rPr>
          <w:rFonts w:asciiTheme="minorHAnsi" w:hAnsiTheme="minorHAnsi" w:cstheme="minorHAnsi"/>
          <w:sz w:val="22"/>
          <w:szCs w:val="20"/>
        </w:rPr>
        <w:t>8. (Amendment</w:t>
      </w:r>
      <w:r w:rsidRPr="00656807">
        <w:rPr>
          <w:rStyle w:val="apple-converted-space"/>
          <w:rFonts w:asciiTheme="minorHAnsi" w:hAnsiTheme="minorHAnsi" w:cstheme="minorHAnsi"/>
          <w:sz w:val="22"/>
          <w:szCs w:val="20"/>
        </w:rPr>
        <w:t> </w:t>
      </w:r>
      <w:r w:rsidRPr="00656807">
        <w:rPr>
          <w:rFonts w:asciiTheme="minorHAnsi" w:hAnsiTheme="minorHAnsi" w:cstheme="minorHAnsi"/>
          <w:sz w:val="22"/>
          <w:szCs w:val="20"/>
        </w:rPr>
        <w:t xml:space="preserve">in Clause 141): The limit in respect of maximum number of companies in which a person may be appointed as auditor has been proposed as </w:t>
      </w:r>
      <w:r w:rsidRPr="00656807">
        <w:rPr>
          <w:rFonts w:asciiTheme="minorHAnsi" w:hAnsiTheme="minorHAnsi" w:cstheme="minorHAnsi"/>
          <w:b/>
          <w:sz w:val="22"/>
          <w:szCs w:val="20"/>
        </w:rPr>
        <w:t>twenty companies.</w:t>
      </w:r>
    </w:p>
    <w:p w:rsidR="00656807" w:rsidRPr="00656807" w:rsidRDefault="00656807" w:rsidP="00656807">
      <w:pPr>
        <w:pStyle w:val="NormalWeb"/>
        <w:shd w:val="clear" w:color="auto" w:fill="FFFFFF"/>
        <w:spacing w:before="150" w:beforeAutospacing="0" w:after="0" w:afterAutospacing="0" w:line="300" w:lineRule="atLeast"/>
        <w:jc w:val="both"/>
        <w:rPr>
          <w:rFonts w:asciiTheme="minorHAnsi" w:hAnsiTheme="minorHAnsi" w:cstheme="minorHAnsi"/>
          <w:sz w:val="22"/>
          <w:szCs w:val="20"/>
        </w:rPr>
      </w:pPr>
    </w:p>
    <w:p w:rsidR="00656807" w:rsidRDefault="00656807" w:rsidP="00656807">
      <w:pPr>
        <w:pStyle w:val="NormalWeb"/>
        <w:shd w:val="clear" w:color="auto" w:fill="FFFFFF"/>
        <w:spacing w:before="150" w:beforeAutospacing="0" w:after="0" w:afterAutospacing="0" w:line="300" w:lineRule="atLeast"/>
        <w:jc w:val="both"/>
        <w:rPr>
          <w:rFonts w:asciiTheme="minorHAnsi" w:hAnsiTheme="minorHAnsi" w:cstheme="minorHAnsi"/>
          <w:sz w:val="22"/>
          <w:szCs w:val="20"/>
        </w:rPr>
      </w:pPr>
      <w:r w:rsidRPr="00656807">
        <w:rPr>
          <w:rFonts w:asciiTheme="minorHAnsi" w:hAnsiTheme="minorHAnsi" w:cstheme="minorHAnsi"/>
          <w:sz w:val="22"/>
          <w:szCs w:val="20"/>
        </w:rPr>
        <w:t>9. (Amendment</w:t>
      </w:r>
      <w:r w:rsidRPr="00656807">
        <w:rPr>
          <w:rStyle w:val="apple-converted-space"/>
          <w:rFonts w:asciiTheme="minorHAnsi" w:hAnsiTheme="minorHAnsi" w:cstheme="minorHAnsi"/>
          <w:sz w:val="22"/>
          <w:szCs w:val="20"/>
        </w:rPr>
        <w:t> </w:t>
      </w:r>
      <w:r w:rsidRPr="00656807">
        <w:rPr>
          <w:rFonts w:asciiTheme="minorHAnsi" w:hAnsiTheme="minorHAnsi" w:cstheme="minorHAnsi"/>
          <w:sz w:val="22"/>
          <w:szCs w:val="20"/>
        </w:rPr>
        <w:t>in Clause 139): Appointment of auditors for five years shall be subject to ratification by members at every Annual General Meeting.</w:t>
      </w:r>
    </w:p>
    <w:p w:rsidR="00656807" w:rsidRPr="00656807" w:rsidRDefault="00656807" w:rsidP="00656807">
      <w:pPr>
        <w:pStyle w:val="NormalWeb"/>
        <w:shd w:val="clear" w:color="auto" w:fill="FFFFFF"/>
        <w:spacing w:before="150" w:beforeAutospacing="0" w:after="0" w:afterAutospacing="0" w:line="300" w:lineRule="atLeast"/>
        <w:jc w:val="both"/>
        <w:rPr>
          <w:rFonts w:asciiTheme="minorHAnsi" w:hAnsiTheme="minorHAnsi" w:cstheme="minorHAnsi"/>
          <w:sz w:val="22"/>
          <w:szCs w:val="20"/>
        </w:rPr>
      </w:pPr>
    </w:p>
    <w:p w:rsidR="00656807" w:rsidRDefault="00656807" w:rsidP="00656807">
      <w:pPr>
        <w:pStyle w:val="NormalWeb"/>
        <w:shd w:val="clear" w:color="auto" w:fill="FFFFFF"/>
        <w:spacing w:before="150" w:beforeAutospacing="0" w:after="0" w:afterAutospacing="0" w:line="300" w:lineRule="atLeast"/>
        <w:jc w:val="both"/>
        <w:rPr>
          <w:rFonts w:asciiTheme="minorHAnsi" w:hAnsiTheme="minorHAnsi" w:cstheme="minorHAnsi"/>
          <w:sz w:val="22"/>
          <w:szCs w:val="20"/>
        </w:rPr>
      </w:pPr>
      <w:r w:rsidRPr="00656807">
        <w:rPr>
          <w:rFonts w:asciiTheme="minorHAnsi" w:hAnsiTheme="minorHAnsi" w:cstheme="minorHAnsi"/>
          <w:sz w:val="22"/>
          <w:szCs w:val="20"/>
        </w:rPr>
        <w:t>10. (Amendment</w:t>
      </w:r>
      <w:r w:rsidRPr="00656807">
        <w:rPr>
          <w:rStyle w:val="apple-converted-space"/>
          <w:rFonts w:asciiTheme="minorHAnsi" w:hAnsiTheme="minorHAnsi" w:cstheme="minorHAnsi"/>
          <w:sz w:val="22"/>
          <w:szCs w:val="20"/>
        </w:rPr>
        <w:t> </w:t>
      </w:r>
      <w:r w:rsidRPr="00656807">
        <w:rPr>
          <w:rFonts w:asciiTheme="minorHAnsi" w:hAnsiTheme="minorHAnsi" w:cstheme="minorHAnsi"/>
          <w:sz w:val="22"/>
          <w:szCs w:val="20"/>
        </w:rPr>
        <w:t>in Clause 139): Provisions relating to voluntary rotation of auditing partner (in case of an audit firm) modified to provide that members may rotate the partner ‘at such interval as may be resolved by members’ instead of ‘every year’ proposed in the clause earlier.</w:t>
      </w:r>
    </w:p>
    <w:p w:rsidR="00656807" w:rsidRPr="00656807" w:rsidRDefault="00656807" w:rsidP="00656807">
      <w:pPr>
        <w:pStyle w:val="NormalWeb"/>
        <w:shd w:val="clear" w:color="auto" w:fill="FFFFFF"/>
        <w:spacing w:before="150" w:beforeAutospacing="0" w:after="0" w:afterAutospacing="0" w:line="300" w:lineRule="atLeast"/>
        <w:jc w:val="both"/>
        <w:rPr>
          <w:rFonts w:asciiTheme="minorHAnsi" w:hAnsiTheme="minorHAnsi" w:cstheme="minorHAnsi"/>
          <w:sz w:val="22"/>
          <w:szCs w:val="20"/>
        </w:rPr>
      </w:pPr>
    </w:p>
    <w:p w:rsidR="00656807" w:rsidRPr="00656807" w:rsidRDefault="00656807" w:rsidP="00656807">
      <w:pPr>
        <w:pStyle w:val="NormalWeb"/>
        <w:shd w:val="clear" w:color="auto" w:fill="FFFFFF"/>
        <w:spacing w:before="150" w:beforeAutospacing="0" w:after="0" w:afterAutospacing="0" w:line="300" w:lineRule="atLeast"/>
        <w:jc w:val="both"/>
        <w:rPr>
          <w:rFonts w:asciiTheme="minorHAnsi" w:hAnsiTheme="minorHAnsi" w:cstheme="minorHAnsi"/>
          <w:sz w:val="22"/>
          <w:szCs w:val="20"/>
        </w:rPr>
      </w:pPr>
      <w:r w:rsidRPr="00656807">
        <w:rPr>
          <w:rFonts w:asciiTheme="minorHAnsi" w:hAnsiTheme="minorHAnsi" w:cstheme="minorHAnsi"/>
          <w:sz w:val="22"/>
          <w:szCs w:val="20"/>
        </w:rPr>
        <w:t>11. (Amendment</w:t>
      </w:r>
      <w:r w:rsidRPr="00656807">
        <w:rPr>
          <w:rStyle w:val="apple-converted-space"/>
          <w:rFonts w:asciiTheme="minorHAnsi" w:hAnsiTheme="minorHAnsi" w:cstheme="minorHAnsi"/>
          <w:sz w:val="22"/>
          <w:szCs w:val="20"/>
        </w:rPr>
        <w:t> </w:t>
      </w:r>
      <w:r w:rsidRPr="00656807">
        <w:rPr>
          <w:rFonts w:asciiTheme="minorHAnsi" w:hAnsiTheme="minorHAnsi" w:cstheme="minorHAnsi"/>
          <w:sz w:val="22"/>
          <w:szCs w:val="20"/>
        </w:rPr>
        <w:t xml:space="preserve">in Clause 2): </w:t>
      </w:r>
      <w:r w:rsidRPr="00656807">
        <w:rPr>
          <w:rFonts w:asciiTheme="minorHAnsi" w:hAnsiTheme="minorHAnsi" w:cstheme="minorHAnsi"/>
          <w:b/>
          <w:sz w:val="22"/>
          <w:szCs w:val="20"/>
        </w:rPr>
        <w:t>‘Whole-time director’ has been included in the definition of the term ‘key managerial personnel’.</w:t>
      </w:r>
    </w:p>
    <w:p w:rsidR="00656807" w:rsidRPr="00656807" w:rsidRDefault="00656807" w:rsidP="00656807">
      <w:pPr>
        <w:pStyle w:val="NormalWeb"/>
        <w:shd w:val="clear" w:color="auto" w:fill="FFFFFF"/>
        <w:spacing w:before="150" w:beforeAutospacing="0" w:after="0" w:afterAutospacing="0" w:line="300" w:lineRule="atLeast"/>
        <w:jc w:val="both"/>
        <w:rPr>
          <w:rFonts w:asciiTheme="minorHAnsi" w:hAnsiTheme="minorHAnsi" w:cstheme="minorHAnsi"/>
          <w:sz w:val="22"/>
          <w:szCs w:val="20"/>
        </w:rPr>
      </w:pPr>
    </w:p>
    <w:p w:rsidR="00656807" w:rsidRDefault="00656807" w:rsidP="00656807">
      <w:pPr>
        <w:pStyle w:val="NormalWeb"/>
        <w:shd w:val="clear" w:color="auto" w:fill="FFFFFF"/>
        <w:spacing w:before="150" w:beforeAutospacing="0" w:after="0" w:afterAutospacing="0" w:line="300" w:lineRule="atLeast"/>
        <w:jc w:val="both"/>
        <w:rPr>
          <w:rFonts w:asciiTheme="minorHAnsi" w:hAnsiTheme="minorHAnsi" w:cstheme="minorHAnsi"/>
          <w:sz w:val="22"/>
          <w:szCs w:val="20"/>
        </w:rPr>
      </w:pPr>
      <w:r w:rsidRPr="00656807">
        <w:rPr>
          <w:rFonts w:asciiTheme="minorHAnsi" w:hAnsiTheme="minorHAnsi" w:cstheme="minorHAnsi"/>
          <w:sz w:val="22"/>
          <w:szCs w:val="20"/>
        </w:rPr>
        <w:t>12. (Amendment</w:t>
      </w:r>
      <w:r w:rsidRPr="00656807">
        <w:rPr>
          <w:rStyle w:val="apple-converted-space"/>
          <w:rFonts w:asciiTheme="minorHAnsi" w:hAnsiTheme="minorHAnsi" w:cstheme="minorHAnsi"/>
          <w:sz w:val="22"/>
          <w:szCs w:val="20"/>
        </w:rPr>
        <w:t> </w:t>
      </w:r>
      <w:r w:rsidRPr="00656807">
        <w:rPr>
          <w:rFonts w:asciiTheme="minorHAnsi" w:hAnsiTheme="minorHAnsi" w:cstheme="minorHAnsi"/>
          <w:sz w:val="22"/>
          <w:szCs w:val="20"/>
        </w:rPr>
        <w:t>in Clause 42): The term ‘</w:t>
      </w:r>
      <w:r w:rsidRPr="00656807">
        <w:rPr>
          <w:rFonts w:asciiTheme="minorHAnsi" w:hAnsiTheme="minorHAnsi" w:cstheme="minorHAnsi"/>
          <w:b/>
          <w:sz w:val="22"/>
          <w:szCs w:val="20"/>
        </w:rPr>
        <w:t>private placement’</w:t>
      </w:r>
      <w:r w:rsidRPr="00656807">
        <w:rPr>
          <w:rFonts w:asciiTheme="minorHAnsi" w:hAnsiTheme="minorHAnsi" w:cstheme="minorHAnsi"/>
          <w:sz w:val="22"/>
          <w:szCs w:val="20"/>
        </w:rPr>
        <w:t xml:space="preserve"> has been defined to bring clarity.</w:t>
      </w:r>
    </w:p>
    <w:p w:rsidR="00656807" w:rsidRPr="00656807" w:rsidRDefault="00656807" w:rsidP="00656807">
      <w:pPr>
        <w:pStyle w:val="NormalWeb"/>
        <w:shd w:val="clear" w:color="auto" w:fill="FFFFFF"/>
        <w:spacing w:before="150" w:beforeAutospacing="0" w:after="0" w:afterAutospacing="0" w:line="300" w:lineRule="atLeast"/>
        <w:jc w:val="both"/>
        <w:rPr>
          <w:rFonts w:asciiTheme="minorHAnsi" w:hAnsiTheme="minorHAnsi" w:cstheme="minorHAnsi"/>
          <w:sz w:val="22"/>
          <w:szCs w:val="20"/>
        </w:rPr>
      </w:pPr>
    </w:p>
    <w:p w:rsidR="00656807" w:rsidRDefault="00656807" w:rsidP="00656807">
      <w:pPr>
        <w:pStyle w:val="NormalWeb"/>
        <w:shd w:val="clear" w:color="auto" w:fill="FFFFFF"/>
        <w:spacing w:before="0" w:beforeAutospacing="0" w:after="0" w:afterAutospacing="0" w:line="300" w:lineRule="atLeast"/>
        <w:jc w:val="both"/>
        <w:rPr>
          <w:rFonts w:asciiTheme="minorHAnsi" w:hAnsiTheme="minorHAnsi" w:cstheme="minorHAnsi"/>
          <w:sz w:val="22"/>
          <w:szCs w:val="20"/>
        </w:rPr>
      </w:pPr>
      <w:r w:rsidRPr="00656807">
        <w:rPr>
          <w:rFonts w:asciiTheme="minorHAnsi" w:hAnsiTheme="minorHAnsi" w:cstheme="minorHAnsi"/>
          <w:sz w:val="22"/>
          <w:szCs w:val="20"/>
        </w:rPr>
        <w:t>13. (Amendment</w:t>
      </w:r>
      <w:r w:rsidRPr="00656807">
        <w:rPr>
          <w:rStyle w:val="apple-converted-space"/>
          <w:rFonts w:asciiTheme="minorHAnsi" w:hAnsiTheme="minorHAnsi" w:cstheme="minorHAnsi"/>
          <w:sz w:val="22"/>
          <w:szCs w:val="20"/>
        </w:rPr>
        <w:t> </w:t>
      </w:r>
      <w:r w:rsidRPr="00656807">
        <w:rPr>
          <w:rFonts w:asciiTheme="minorHAnsi" w:hAnsiTheme="minorHAnsi" w:cstheme="minorHAnsi"/>
          <w:sz w:val="22"/>
          <w:szCs w:val="20"/>
        </w:rPr>
        <w:t>in Clause 61): Approval of the Tribunal shall be required for</w:t>
      </w:r>
      <w:r w:rsidRPr="00656807">
        <w:rPr>
          <w:rStyle w:val="apple-converted-space"/>
          <w:rFonts w:asciiTheme="minorHAnsi" w:hAnsiTheme="minorHAnsi" w:cstheme="minorHAnsi"/>
          <w:sz w:val="22"/>
          <w:szCs w:val="20"/>
        </w:rPr>
        <w:t> </w:t>
      </w:r>
      <w:r w:rsidRPr="00656807">
        <w:rPr>
          <w:rStyle w:val="ilad"/>
          <w:rFonts w:asciiTheme="minorHAnsi" w:hAnsiTheme="minorHAnsi" w:cstheme="minorHAnsi"/>
          <w:sz w:val="22"/>
          <w:szCs w:val="20"/>
        </w:rPr>
        <w:t>consolidation and</w:t>
      </w:r>
      <w:r>
        <w:rPr>
          <w:rStyle w:val="ilad"/>
          <w:rFonts w:asciiTheme="minorHAnsi" w:hAnsiTheme="minorHAnsi" w:cstheme="minorHAnsi"/>
          <w:sz w:val="22"/>
          <w:szCs w:val="20"/>
        </w:rPr>
        <w:t xml:space="preserve"> </w:t>
      </w:r>
      <w:r w:rsidRPr="00656807">
        <w:rPr>
          <w:rFonts w:asciiTheme="minorHAnsi" w:hAnsiTheme="minorHAnsi" w:cstheme="minorHAnsi"/>
          <w:sz w:val="22"/>
          <w:szCs w:val="20"/>
        </w:rPr>
        <w:t>division of share capital only if the voting</w:t>
      </w:r>
      <w:r w:rsidRPr="00656807">
        <w:rPr>
          <w:rStyle w:val="apple-converted-space"/>
          <w:rFonts w:asciiTheme="minorHAnsi" w:hAnsiTheme="minorHAnsi" w:cstheme="minorHAnsi"/>
          <w:sz w:val="22"/>
          <w:szCs w:val="20"/>
        </w:rPr>
        <w:t> </w:t>
      </w:r>
      <w:r w:rsidRPr="00656807">
        <w:rPr>
          <w:rStyle w:val="ilad"/>
          <w:rFonts w:asciiTheme="minorHAnsi" w:hAnsiTheme="minorHAnsi" w:cstheme="minorHAnsi"/>
          <w:sz w:val="22"/>
          <w:szCs w:val="20"/>
        </w:rPr>
        <w:t>percentage</w:t>
      </w:r>
      <w:r w:rsidRPr="00656807">
        <w:rPr>
          <w:rStyle w:val="apple-converted-space"/>
          <w:rFonts w:asciiTheme="minorHAnsi" w:hAnsiTheme="minorHAnsi" w:cstheme="minorHAnsi"/>
          <w:sz w:val="22"/>
          <w:szCs w:val="20"/>
        </w:rPr>
        <w:t> </w:t>
      </w:r>
      <w:r w:rsidRPr="00656807">
        <w:rPr>
          <w:rFonts w:asciiTheme="minorHAnsi" w:hAnsiTheme="minorHAnsi" w:cstheme="minorHAnsi"/>
          <w:sz w:val="22"/>
          <w:szCs w:val="20"/>
        </w:rPr>
        <w:t>of shareholders changes consequent on such consolidation.</w:t>
      </w:r>
    </w:p>
    <w:p w:rsidR="00656807" w:rsidRPr="00656807" w:rsidRDefault="00656807" w:rsidP="00656807">
      <w:pPr>
        <w:pStyle w:val="NormalWeb"/>
        <w:shd w:val="clear" w:color="auto" w:fill="FFFFFF"/>
        <w:spacing w:before="0" w:beforeAutospacing="0" w:after="0" w:afterAutospacing="0" w:line="300" w:lineRule="atLeast"/>
        <w:jc w:val="both"/>
        <w:rPr>
          <w:rFonts w:asciiTheme="minorHAnsi" w:hAnsiTheme="minorHAnsi" w:cstheme="minorHAnsi"/>
          <w:sz w:val="22"/>
          <w:szCs w:val="20"/>
        </w:rPr>
      </w:pPr>
    </w:p>
    <w:p w:rsidR="00656807" w:rsidRDefault="00656807" w:rsidP="00656807">
      <w:pPr>
        <w:pStyle w:val="NormalWeb"/>
        <w:shd w:val="clear" w:color="auto" w:fill="FFFFFF"/>
        <w:spacing w:before="150" w:beforeAutospacing="0" w:after="0" w:afterAutospacing="0" w:line="300" w:lineRule="atLeast"/>
        <w:jc w:val="both"/>
        <w:rPr>
          <w:rFonts w:asciiTheme="minorHAnsi" w:hAnsiTheme="minorHAnsi" w:cstheme="minorHAnsi"/>
          <w:sz w:val="22"/>
          <w:szCs w:val="20"/>
        </w:rPr>
      </w:pPr>
      <w:r w:rsidRPr="00656807">
        <w:rPr>
          <w:rFonts w:asciiTheme="minorHAnsi" w:hAnsiTheme="minorHAnsi" w:cstheme="minorHAnsi"/>
          <w:sz w:val="22"/>
          <w:szCs w:val="20"/>
        </w:rPr>
        <w:t>14. (Amendment</w:t>
      </w:r>
      <w:r w:rsidRPr="00656807">
        <w:rPr>
          <w:rStyle w:val="apple-converted-space"/>
          <w:rFonts w:asciiTheme="minorHAnsi" w:hAnsiTheme="minorHAnsi" w:cstheme="minorHAnsi"/>
          <w:sz w:val="22"/>
          <w:szCs w:val="20"/>
        </w:rPr>
        <w:t> </w:t>
      </w:r>
      <w:r w:rsidRPr="00656807">
        <w:rPr>
          <w:rFonts w:asciiTheme="minorHAnsi" w:hAnsiTheme="minorHAnsi" w:cstheme="minorHAnsi"/>
          <w:sz w:val="22"/>
          <w:szCs w:val="20"/>
        </w:rPr>
        <w:t>in Clause 152): Clarification included in the</w:t>
      </w:r>
      <w:r w:rsidRPr="00656807">
        <w:rPr>
          <w:rStyle w:val="apple-converted-space"/>
          <w:rFonts w:asciiTheme="minorHAnsi" w:hAnsiTheme="minorHAnsi" w:cstheme="minorHAnsi"/>
          <w:sz w:val="22"/>
          <w:szCs w:val="20"/>
        </w:rPr>
        <w:t> </w:t>
      </w:r>
      <w:r w:rsidRPr="00656807">
        <w:rPr>
          <w:rFonts w:asciiTheme="minorHAnsi" w:hAnsiTheme="minorHAnsi" w:cstheme="minorHAnsi"/>
          <w:sz w:val="22"/>
          <w:szCs w:val="20"/>
        </w:rPr>
        <w:t>Bill</w:t>
      </w:r>
      <w:r w:rsidRPr="00656807">
        <w:rPr>
          <w:rStyle w:val="apple-converted-space"/>
          <w:rFonts w:asciiTheme="minorHAnsi" w:hAnsiTheme="minorHAnsi" w:cstheme="minorHAnsi"/>
          <w:sz w:val="22"/>
          <w:szCs w:val="20"/>
        </w:rPr>
        <w:t> </w:t>
      </w:r>
      <w:r w:rsidRPr="00656807">
        <w:rPr>
          <w:rFonts w:asciiTheme="minorHAnsi" w:hAnsiTheme="minorHAnsi" w:cstheme="minorHAnsi"/>
          <w:sz w:val="22"/>
          <w:szCs w:val="20"/>
        </w:rPr>
        <w:t xml:space="preserve">to provide that </w:t>
      </w:r>
      <w:r w:rsidRPr="00656807">
        <w:rPr>
          <w:rFonts w:asciiTheme="minorHAnsi" w:hAnsiTheme="minorHAnsi" w:cstheme="minorHAnsi"/>
          <w:b/>
          <w:sz w:val="22"/>
          <w:szCs w:val="20"/>
        </w:rPr>
        <w:t>‘Independent Directors’ shall be excluded for the purpose of computing ‘one third of retiring Direc</w:t>
      </w:r>
      <w:r w:rsidRPr="00656807">
        <w:rPr>
          <w:rFonts w:asciiTheme="minorHAnsi" w:hAnsiTheme="minorHAnsi" w:cstheme="minorHAnsi"/>
          <w:b/>
          <w:sz w:val="22"/>
          <w:szCs w:val="20"/>
        </w:rPr>
        <w:t>tors’</w:t>
      </w:r>
      <w:r>
        <w:rPr>
          <w:rFonts w:asciiTheme="minorHAnsi" w:hAnsiTheme="minorHAnsi" w:cstheme="minorHAnsi"/>
          <w:sz w:val="22"/>
          <w:szCs w:val="20"/>
        </w:rPr>
        <w:t>. This would bring harmoniz</w:t>
      </w:r>
      <w:r w:rsidRPr="00656807">
        <w:rPr>
          <w:rFonts w:asciiTheme="minorHAnsi" w:hAnsiTheme="minorHAnsi" w:cstheme="minorHAnsi"/>
          <w:sz w:val="22"/>
          <w:szCs w:val="20"/>
        </w:rPr>
        <w:t>ation between provisions of Clause 149(12) and rotational norms provided in Clause 152.</w:t>
      </w:r>
    </w:p>
    <w:p w:rsidR="00656807" w:rsidRPr="00656807" w:rsidRDefault="00656807" w:rsidP="00656807">
      <w:pPr>
        <w:pStyle w:val="NormalWeb"/>
        <w:shd w:val="clear" w:color="auto" w:fill="FFFFFF"/>
        <w:spacing w:before="150" w:beforeAutospacing="0" w:after="0" w:afterAutospacing="0" w:line="300" w:lineRule="atLeast"/>
        <w:jc w:val="both"/>
        <w:rPr>
          <w:rFonts w:asciiTheme="minorHAnsi" w:hAnsiTheme="minorHAnsi" w:cstheme="minorHAnsi"/>
          <w:sz w:val="22"/>
          <w:szCs w:val="20"/>
        </w:rPr>
      </w:pPr>
    </w:p>
    <w:p w:rsidR="00656807" w:rsidRPr="00656807" w:rsidRDefault="00656807" w:rsidP="00656807">
      <w:pPr>
        <w:pStyle w:val="NormalWeb"/>
        <w:shd w:val="clear" w:color="auto" w:fill="FFFFFF"/>
        <w:spacing w:before="0" w:beforeAutospacing="0" w:after="0" w:afterAutospacing="0" w:line="300" w:lineRule="atLeast"/>
        <w:jc w:val="both"/>
        <w:rPr>
          <w:rFonts w:asciiTheme="minorHAnsi" w:hAnsiTheme="minorHAnsi" w:cstheme="minorHAnsi"/>
          <w:sz w:val="22"/>
          <w:szCs w:val="20"/>
        </w:rPr>
      </w:pPr>
      <w:r w:rsidRPr="00656807">
        <w:rPr>
          <w:rFonts w:asciiTheme="minorHAnsi" w:hAnsiTheme="minorHAnsi" w:cstheme="minorHAnsi"/>
          <w:sz w:val="22"/>
          <w:szCs w:val="20"/>
        </w:rPr>
        <w:t>15. (Amendment</w:t>
      </w:r>
      <w:r w:rsidRPr="00656807">
        <w:rPr>
          <w:rStyle w:val="apple-converted-space"/>
          <w:rFonts w:asciiTheme="minorHAnsi" w:hAnsiTheme="minorHAnsi" w:cstheme="minorHAnsi"/>
          <w:sz w:val="22"/>
          <w:szCs w:val="20"/>
        </w:rPr>
        <w:t> </w:t>
      </w:r>
      <w:r w:rsidRPr="00656807">
        <w:rPr>
          <w:rFonts w:asciiTheme="minorHAnsi" w:hAnsiTheme="minorHAnsi" w:cstheme="minorHAnsi"/>
          <w:sz w:val="22"/>
          <w:szCs w:val="20"/>
        </w:rPr>
        <w:t xml:space="preserve">in Clause 470): Provisions in respect of removal of difficulty modified to provide that the power to remove difficulties may be exercised by the Central Government up to ‘five years’ (after enactment of the legislation) instead of earlier up to ‘three years’. This is considered necessary to avoid </w:t>
      </w:r>
      <w:r w:rsidRPr="00656807">
        <w:rPr>
          <w:rFonts w:asciiTheme="minorHAnsi" w:hAnsiTheme="minorHAnsi" w:cstheme="minorHAnsi"/>
          <w:sz w:val="22"/>
          <w:szCs w:val="20"/>
        </w:rPr>
        <w:lastRenderedPageBreak/>
        <w:t>serious hardship and</w:t>
      </w:r>
      <w:r w:rsidRPr="00656807">
        <w:rPr>
          <w:rStyle w:val="apple-converted-space"/>
          <w:rFonts w:asciiTheme="minorHAnsi" w:hAnsiTheme="minorHAnsi" w:cstheme="minorHAnsi"/>
          <w:sz w:val="22"/>
          <w:szCs w:val="20"/>
        </w:rPr>
        <w:t> </w:t>
      </w:r>
      <w:r w:rsidRPr="00656807">
        <w:rPr>
          <w:rStyle w:val="ilad"/>
          <w:rFonts w:asciiTheme="minorHAnsi" w:hAnsiTheme="minorHAnsi" w:cstheme="minorHAnsi"/>
          <w:sz w:val="22"/>
          <w:szCs w:val="20"/>
        </w:rPr>
        <w:t>dislocation</w:t>
      </w:r>
      <w:r w:rsidRPr="00656807">
        <w:rPr>
          <w:rStyle w:val="apple-converted-space"/>
          <w:rFonts w:asciiTheme="minorHAnsi" w:hAnsiTheme="minorHAnsi" w:cstheme="minorHAnsi"/>
          <w:sz w:val="22"/>
          <w:szCs w:val="20"/>
        </w:rPr>
        <w:t> </w:t>
      </w:r>
      <w:r w:rsidRPr="00656807">
        <w:rPr>
          <w:rFonts w:asciiTheme="minorHAnsi" w:hAnsiTheme="minorHAnsi" w:cstheme="minorHAnsi"/>
          <w:sz w:val="22"/>
          <w:szCs w:val="20"/>
        </w:rPr>
        <w:t>since many provisions of the</w:t>
      </w:r>
      <w:r w:rsidRPr="00656807">
        <w:rPr>
          <w:rStyle w:val="apple-converted-space"/>
          <w:rFonts w:asciiTheme="minorHAnsi" w:hAnsiTheme="minorHAnsi" w:cstheme="minorHAnsi"/>
          <w:sz w:val="22"/>
          <w:szCs w:val="20"/>
        </w:rPr>
        <w:t> </w:t>
      </w:r>
      <w:r w:rsidRPr="00656807">
        <w:rPr>
          <w:rFonts w:asciiTheme="minorHAnsi" w:hAnsiTheme="minorHAnsi" w:cstheme="minorHAnsi"/>
          <w:sz w:val="22"/>
          <w:szCs w:val="20"/>
        </w:rPr>
        <w:t>Bill</w:t>
      </w:r>
      <w:r w:rsidRPr="00656807">
        <w:rPr>
          <w:rStyle w:val="apple-converted-space"/>
          <w:rFonts w:asciiTheme="minorHAnsi" w:hAnsiTheme="minorHAnsi" w:cstheme="minorHAnsi"/>
          <w:sz w:val="22"/>
          <w:szCs w:val="20"/>
        </w:rPr>
        <w:t> </w:t>
      </w:r>
      <w:r w:rsidRPr="00656807">
        <w:rPr>
          <w:rFonts w:asciiTheme="minorHAnsi" w:hAnsiTheme="minorHAnsi" w:cstheme="minorHAnsi"/>
          <w:sz w:val="22"/>
          <w:szCs w:val="20"/>
        </w:rPr>
        <w:t>involve transition from pre-existing arrangements to new systems.</w:t>
      </w:r>
    </w:p>
    <w:p w:rsidR="00B615B9" w:rsidRPr="00656807" w:rsidRDefault="00B615B9" w:rsidP="00656807">
      <w:pPr>
        <w:rPr>
          <w:rFonts w:cstheme="minorHAnsi"/>
          <w:sz w:val="24"/>
        </w:rPr>
      </w:pPr>
    </w:p>
    <w:sectPr w:rsidR="00B615B9" w:rsidRPr="006568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A16"/>
    <w:rsid w:val="00120A16"/>
    <w:rsid w:val="00656807"/>
    <w:rsid w:val="00B615B9"/>
    <w:rsid w:val="00FA1D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pelle">
    <w:name w:val="spelle"/>
    <w:basedOn w:val="DefaultParagraphFont"/>
    <w:rsid w:val="00FA1D09"/>
  </w:style>
  <w:style w:type="character" w:customStyle="1" w:styleId="grame">
    <w:name w:val="grame"/>
    <w:basedOn w:val="DefaultParagraphFont"/>
    <w:rsid w:val="00FA1D09"/>
  </w:style>
  <w:style w:type="character" w:customStyle="1" w:styleId="apple-converted-space">
    <w:name w:val="apple-converted-space"/>
    <w:basedOn w:val="DefaultParagraphFont"/>
    <w:rsid w:val="00FA1D09"/>
  </w:style>
  <w:style w:type="character" w:styleId="Hyperlink">
    <w:name w:val="Hyperlink"/>
    <w:basedOn w:val="DefaultParagraphFont"/>
    <w:uiPriority w:val="99"/>
    <w:semiHidden/>
    <w:unhideWhenUsed/>
    <w:rsid w:val="00FA1D09"/>
    <w:rPr>
      <w:color w:val="0000FF"/>
      <w:u w:val="single"/>
    </w:rPr>
  </w:style>
  <w:style w:type="paragraph" w:styleId="NormalWeb">
    <w:name w:val="Normal (Web)"/>
    <w:basedOn w:val="Normal"/>
    <w:uiPriority w:val="99"/>
    <w:semiHidden/>
    <w:unhideWhenUsed/>
    <w:rsid w:val="0065680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ad">
    <w:name w:val="il_ad"/>
    <w:basedOn w:val="DefaultParagraphFont"/>
    <w:rsid w:val="006568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pelle">
    <w:name w:val="spelle"/>
    <w:basedOn w:val="DefaultParagraphFont"/>
    <w:rsid w:val="00FA1D09"/>
  </w:style>
  <w:style w:type="character" w:customStyle="1" w:styleId="grame">
    <w:name w:val="grame"/>
    <w:basedOn w:val="DefaultParagraphFont"/>
    <w:rsid w:val="00FA1D09"/>
  </w:style>
  <w:style w:type="character" w:customStyle="1" w:styleId="apple-converted-space">
    <w:name w:val="apple-converted-space"/>
    <w:basedOn w:val="DefaultParagraphFont"/>
    <w:rsid w:val="00FA1D09"/>
  </w:style>
  <w:style w:type="character" w:styleId="Hyperlink">
    <w:name w:val="Hyperlink"/>
    <w:basedOn w:val="DefaultParagraphFont"/>
    <w:uiPriority w:val="99"/>
    <w:semiHidden/>
    <w:unhideWhenUsed/>
    <w:rsid w:val="00FA1D09"/>
    <w:rPr>
      <w:color w:val="0000FF"/>
      <w:u w:val="single"/>
    </w:rPr>
  </w:style>
  <w:style w:type="paragraph" w:styleId="NormalWeb">
    <w:name w:val="Normal (Web)"/>
    <w:basedOn w:val="Normal"/>
    <w:uiPriority w:val="99"/>
    <w:semiHidden/>
    <w:unhideWhenUsed/>
    <w:rsid w:val="0065680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ad">
    <w:name w:val="il_ad"/>
    <w:basedOn w:val="DefaultParagraphFont"/>
    <w:rsid w:val="006568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525323">
      <w:bodyDiv w:val="1"/>
      <w:marLeft w:val="0"/>
      <w:marRight w:val="0"/>
      <w:marTop w:val="0"/>
      <w:marBottom w:val="0"/>
      <w:divBdr>
        <w:top w:val="none" w:sz="0" w:space="0" w:color="auto"/>
        <w:left w:val="none" w:sz="0" w:space="0" w:color="auto"/>
        <w:bottom w:val="none" w:sz="0" w:space="0" w:color="auto"/>
        <w:right w:val="none" w:sz="0" w:space="0" w:color="auto"/>
      </w:divBdr>
    </w:div>
    <w:div w:id="1570534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788</Words>
  <Characters>4492</Characters>
  <Application>Microsoft Office Word</Application>
  <DocSecurity>0</DocSecurity>
  <Lines>37</Lines>
  <Paragraphs>10</Paragraphs>
  <ScaleCrop>false</ScaleCrop>
  <Company/>
  <LinksUpToDate>false</LinksUpToDate>
  <CharactersWithSpaces>5270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Abhishek Malpani</dc:creator>
  <cp:keywords/>
  <dc:description/>
  <cp:lastModifiedBy>Abhishek Malpani</cp:lastModifiedBy>
  <cp:revision>3</cp:revision>
  <dcterms:created xsi:type="dcterms:W3CDTF">2012-12-19T10:12:00Z</dcterms:created>
  <dcterms:modified xsi:type="dcterms:W3CDTF">2012-12-20T06:19:00Z</dcterms:modified>
</cp:coreProperties>
</file>