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30C" w:rsidRPr="00D5775B" w:rsidRDefault="00820DA1" w:rsidP="0061131A">
      <w:pPr>
        <w:pStyle w:val="Heading1"/>
        <w:rPr>
          <w:u w:val="single"/>
        </w:rPr>
      </w:pPr>
      <w:r w:rsidRPr="00D5775B">
        <w:rPr>
          <w:u w:val="single"/>
        </w:rPr>
        <w:t>Difference between old and revised schedule VI:</w:t>
      </w:r>
    </w:p>
    <w:p w:rsidR="00C76286" w:rsidRDefault="00C76286" w:rsidP="0061131A">
      <w:pPr>
        <w:rPr>
          <w:b/>
        </w:rPr>
      </w:pPr>
    </w:p>
    <w:p w:rsidR="008D345C" w:rsidRDefault="0061131A" w:rsidP="0061131A">
      <w:pPr>
        <w:rPr>
          <w:b/>
        </w:rPr>
      </w:pPr>
      <w:r w:rsidRPr="0061131A">
        <w:rPr>
          <w:b/>
        </w:rPr>
        <w:t>As per the notification issued by MCA, the applicability of revised schedule VI shall be for the year commencing on or after 01/04/2011.</w:t>
      </w:r>
    </w:p>
    <w:p w:rsidR="00D5775B" w:rsidRDefault="00D5775B" w:rsidP="0061131A">
      <w:pPr>
        <w:rPr>
          <w:rFonts w:ascii="Calibri" w:eastAsia="Times New Roman" w:hAnsi="Calibri" w:cs="Times New Roman"/>
          <w:b/>
        </w:rPr>
      </w:pPr>
      <w:r w:rsidRPr="00D5775B">
        <w:rPr>
          <w:rFonts w:ascii="Calibri" w:eastAsia="Times New Roman" w:hAnsi="Calibri" w:cs="Times New Roman"/>
          <w:b/>
        </w:rPr>
        <w:t>The revised Schedule VI has been framed as per the Existing non-converged Indian Accounting Standards notified under the Companies (Accounting Standards), Rules, 2006.</w:t>
      </w:r>
    </w:p>
    <w:p w:rsidR="00C76286" w:rsidRDefault="00C76286" w:rsidP="0061131A">
      <w:pPr>
        <w:rPr>
          <w:rFonts w:ascii="Calibri" w:eastAsia="Times New Roman" w:hAnsi="Calibri" w:cs="Times New Roman"/>
          <w:b/>
        </w:rPr>
      </w:pPr>
    </w:p>
    <w:tbl>
      <w:tblPr>
        <w:tblStyle w:val="TableGrid"/>
        <w:tblW w:w="10890" w:type="dxa"/>
        <w:tblInd w:w="-432" w:type="dxa"/>
        <w:tblLayout w:type="fixed"/>
        <w:tblLook w:val="04A0"/>
      </w:tblPr>
      <w:tblGrid>
        <w:gridCol w:w="810"/>
        <w:gridCol w:w="4410"/>
        <w:gridCol w:w="4103"/>
        <w:gridCol w:w="1567"/>
      </w:tblGrid>
      <w:tr w:rsidR="00122F45" w:rsidTr="006D3957">
        <w:trPr>
          <w:trHeight w:val="458"/>
        </w:trPr>
        <w:tc>
          <w:tcPr>
            <w:tcW w:w="810" w:type="dxa"/>
          </w:tcPr>
          <w:p w:rsidR="00122F45" w:rsidRDefault="00122F45" w:rsidP="00034DA5">
            <w:pPr>
              <w:pStyle w:val="ListParagraph"/>
              <w:ind w:left="0"/>
            </w:pPr>
            <w:r>
              <w:t>SI.No</w:t>
            </w:r>
          </w:p>
        </w:tc>
        <w:tc>
          <w:tcPr>
            <w:tcW w:w="4410" w:type="dxa"/>
          </w:tcPr>
          <w:p w:rsidR="00122F45" w:rsidRPr="00C76286" w:rsidRDefault="00122F45" w:rsidP="00526282">
            <w:pPr>
              <w:pStyle w:val="ListParagraph"/>
              <w:ind w:left="0"/>
              <w:jc w:val="center"/>
              <w:rPr>
                <w:color w:val="C00000"/>
                <w:sz w:val="28"/>
                <w:szCs w:val="28"/>
              </w:rPr>
            </w:pPr>
            <w:r w:rsidRPr="00C76286">
              <w:rPr>
                <w:color w:val="C00000"/>
                <w:sz w:val="28"/>
                <w:szCs w:val="28"/>
              </w:rPr>
              <w:t>Old Schedule VI</w:t>
            </w:r>
          </w:p>
        </w:tc>
        <w:tc>
          <w:tcPr>
            <w:tcW w:w="4103" w:type="dxa"/>
          </w:tcPr>
          <w:p w:rsidR="00122F45" w:rsidRPr="00C76286" w:rsidRDefault="00122F45" w:rsidP="00526282">
            <w:pPr>
              <w:ind w:left="360"/>
              <w:jc w:val="center"/>
              <w:rPr>
                <w:color w:val="0070C0"/>
                <w:sz w:val="28"/>
                <w:szCs w:val="28"/>
              </w:rPr>
            </w:pPr>
            <w:r w:rsidRPr="00C76286">
              <w:rPr>
                <w:color w:val="0070C0"/>
                <w:sz w:val="28"/>
                <w:szCs w:val="28"/>
              </w:rPr>
              <w:t>Revised Schedule VI</w:t>
            </w:r>
          </w:p>
        </w:tc>
        <w:tc>
          <w:tcPr>
            <w:tcW w:w="1567" w:type="dxa"/>
          </w:tcPr>
          <w:p w:rsidR="00122F45" w:rsidRDefault="00122F45" w:rsidP="00526282">
            <w:pPr>
              <w:ind w:left="360"/>
              <w:jc w:val="center"/>
            </w:pPr>
            <w:r w:rsidRPr="00B53138">
              <w:rPr>
                <w:color w:val="00B050"/>
              </w:rPr>
              <w:t>Rem</w:t>
            </w:r>
            <w:r w:rsidRPr="00B53138">
              <w:rPr>
                <w:color w:val="E36C0A" w:themeColor="accent6" w:themeShade="BF"/>
              </w:rPr>
              <w:t>arks</w:t>
            </w:r>
          </w:p>
        </w:tc>
      </w:tr>
      <w:tr w:rsidR="004305D7" w:rsidTr="007D4ACE">
        <w:trPr>
          <w:trHeight w:val="458"/>
        </w:trPr>
        <w:tc>
          <w:tcPr>
            <w:tcW w:w="10890" w:type="dxa"/>
            <w:gridSpan w:val="4"/>
          </w:tcPr>
          <w:p w:rsidR="004305D7" w:rsidRPr="00FB22E3" w:rsidRDefault="004305D7" w:rsidP="008101A3">
            <w:pPr>
              <w:pStyle w:val="Heading1"/>
              <w:jc w:val="center"/>
              <w:outlineLvl w:val="0"/>
              <w:rPr>
                <w:color w:val="auto"/>
              </w:rPr>
            </w:pPr>
            <w:r w:rsidRPr="00FB22E3">
              <w:rPr>
                <w:color w:val="auto"/>
              </w:rPr>
              <w:t xml:space="preserve">Part </w:t>
            </w:r>
            <w:r w:rsidR="008101A3">
              <w:rPr>
                <w:color w:val="auto"/>
              </w:rPr>
              <w:t>I</w:t>
            </w:r>
            <w:r w:rsidRPr="00FB22E3">
              <w:rPr>
                <w:color w:val="auto"/>
              </w:rPr>
              <w:t xml:space="preserve"> Schedule VI – Balance sheet</w:t>
            </w:r>
          </w:p>
        </w:tc>
      </w:tr>
      <w:tr w:rsidR="004E3CE8" w:rsidTr="006D3957">
        <w:trPr>
          <w:trHeight w:val="1205"/>
        </w:trPr>
        <w:tc>
          <w:tcPr>
            <w:tcW w:w="810" w:type="dxa"/>
          </w:tcPr>
          <w:p w:rsidR="004E3CE8" w:rsidRDefault="0006443C" w:rsidP="00034DA5">
            <w:pPr>
              <w:ind w:left="360"/>
            </w:pPr>
            <w:r>
              <w:t>1</w:t>
            </w:r>
          </w:p>
        </w:tc>
        <w:tc>
          <w:tcPr>
            <w:tcW w:w="4410" w:type="dxa"/>
          </w:tcPr>
          <w:p w:rsidR="004E3CE8" w:rsidRPr="007200A8" w:rsidRDefault="00710584" w:rsidP="00EC1E78">
            <w:pPr>
              <w:ind w:left="360"/>
              <w:rPr>
                <w:b/>
                <w:color w:val="C00000"/>
              </w:rPr>
            </w:pPr>
            <w:r w:rsidRPr="007200A8">
              <w:rPr>
                <w:b/>
                <w:color w:val="C00000"/>
              </w:rPr>
              <w:t xml:space="preserve">Heading  used is “ </w:t>
            </w:r>
            <w:r w:rsidR="004E3CE8" w:rsidRPr="007200A8">
              <w:rPr>
                <w:b/>
                <w:color w:val="C00000"/>
              </w:rPr>
              <w:t>Sources of funds</w:t>
            </w:r>
            <w:r w:rsidRPr="007200A8">
              <w:rPr>
                <w:b/>
                <w:color w:val="C00000"/>
              </w:rPr>
              <w:t xml:space="preserve"> and </w:t>
            </w:r>
            <w:r w:rsidR="004E3CE8" w:rsidRPr="007200A8">
              <w:rPr>
                <w:b/>
                <w:color w:val="C00000"/>
              </w:rPr>
              <w:t xml:space="preserve"> Application of funds</w:t>
            </w:r>
            <w:r w:rsidRPr="007200A8">
              <w:rPr>
                <w:b/>
                <w:color w:val="C00000"/>
              </w:rPr>
              <w:t>”</w:t>
            </w:r>
          </w:p>
          <w:p w:rsidR="004E3CE8" w:rsidRPr="007200A8" w:rsidRDefault="004E3CE8" w:rsidP="00EC1E78">
            <w:pPr>
              <w:ind w:left="360"/>
              <w:rPr>
                <w:b/>
                <w:color w:val="C00000"/>
              </w:rPr>
            </w:pPr>
          </w:p>
          <w:p w:rsidR="004E3CE8" w:rsidRPr="007200A8" w:rsidRDefault="004E3CE8" w:rsidP="00034DA5">
            <w:pPr>
              <w:ind w:left="360"/>
              <w:rPr>
                <w:b/>
                <w:color w:val="C00000"/>
              </w:rPr>
            </w:pPr>
          </w:p>
          <w:p w:rsidR="004E3CE8" w:rsidRPr="007200A8" w:rsidRDefault="004E3CE8" w:rsidP="00034DA5">
            <w:pPr>
              <w:ind w:left="360"/>
              <w:rPr>
                <w:b/>
                <w:color w:val="C00000"/>
              </w:rPr>
            </w:pPr>
          </w:p>
          <w:p w:rsidR="004E3CE8" w:rsidRPr="007200A8" w:rsidRDefault="004E3CE8" w:rsidP="00034DA5">
            <w:pPr>
              <w:ind w:left="360"/>
              <w:rPr>
                <w:b/>
                <w:color w:val="C00000"/>
              </w:rPr>
            </w:pPr>
          </w:p>
        </w:tc>
        <w:tc>
          <w:tcPr>
            <w:tcW w:w="4103" w:type="dxa"/>
          </w:tcPr>
          <w:p w:rsidR="004E3CE8" w:rsidRPr="007200A8" w:rsidRDefault="0028496F" w:rsidP="0028496F">
            <w:pPr>
              <w:ind w:left="360"/>
              <w:rPr>
                <w:b/>
                <w:color w:val="0070C0"/>
              </w:rPr>
            </w:pPr>
            <w:r w:rsidRPr="007200A8">
              <w:rPr>
                <w:b/>
                <w:color w:val="0070C0"/>
              </w:rPr>
              <w:t>Heading  used is “</w:t>
            </w:r>
            <w:r w:rsidR="004E3CE8" w:rsidRPr="007200A8">
              <w:rPr>
                <w:b/>
                <w:color w:val="0070C0"/>
              </w:rPr>
              <w:t xml:space="preserve">Equity &amp; Liabilities </w:t>
            </w:r>
            <w:r w:rsidRPr="007200A8">
              <w:rPr>
                <w:b/>
                <w:color w:val="0070C0"/>
              </w:rPr>
              <w:t xml:space="preserve">and </w:t>
            </w:r>
            <w:r w:rsidR="004E3CE8" w:rsidRPr="007200A8">
              <w:rPr>
                <w:b/>
                <w:color w:val="0070C0"/>
              </w:rPr>
              <w:t xml:space="preserve"> Assets</w:t>
            </w:r>
            <w:r w:rsidRPr="007200A8">
              <w:rPr>
                <w:b/>
                <w:color w:val="0070C0"/>
              </w:rPr>
              <w:t xml:space="preserve"> “</w:t>
            </w:r>
          </w:p>
        </w:tc>
        <w:tc>
          <w:tcPr>
            <w:tcW w:w="1567" w:type="dxa"/>
          </w:tcPr>
          <w:p w:rsidR="004E3CE8" w:rsidRPr="007200A8" w:rsidRDefault="0069314A" w:rsidP="00034DA5">
            <w:pPr>
              <w:rPr>
                <w:b/>
              </w:rPr>
            </w:pPr>
            <w:r w:rsidRPr="007200A8">
              <w:rPr>
                <w:b/>
                <w:color w:val="E36C0A" w:themeColor="accent6" w:themeShade="BF"/>
              </w:rPr>
              <w:t>Change</w:t>
            </w:r>
          </w:p>
        </w:tc>
      </w:tr>
      <w:tr w:rsidR="00DC5AF0" w:rsidTr="006D3957">
        <w:trPr>
          <w:trHeight w:val="458"/>
        </w:trPr>
        <w:tc>
          <w:tcPr>
            <w:tcW w:w="810" w:type="dxa"/>
          </w:tcPr>
          <w:p w:rsidR="00DC5AF0" w:rsidRDefault="0006443C" w:rsidP="00034DA5">
            <w:pPr>
              <w:ind w:left="360"/>
            </w:pPr>
            <w:r>
              <w:t>2</w:t>
            </w:r>
          </w:p>
        </w:tc>
        <w:tc>
          <w:tcPr>
            <w:tcW w:w="4410" w:type="dxa"/>
          </w:tcPr>
          <w:p w:rsidR="00DC5AF0" w:rsidRPr="007200A8" w:rsidRDefault="00DC5AF0" w:rsidP="00034DA5">
            <w:pPr>
              <w:ind w:left="360"/>
              <w:rPr>
                <w:b/>
                <w:color w:val="C00000"/>
              </w:rPr>
            </w:pPr>
            <w:r w:rsidRPr="007200A8">
              <w:rPr>
                <w:b/>
                <w:color w:val="C00000"/>
              </w:rPr>
              <w:t>Both horizontal and vertical</w:t>
            </w:r>
            <w:r w:rsidR="0069314A" w:rsidRPr="007200A8">
              <w:rPr>
                <w:b/>
                <w:color w:val="C00000"/>
              </w:rPr>
              <w:t xml:space="preserve"> format of presentation</w:t>
            </w:r>
          </w:p>
        </w:tc>
        <w:tc>
          <w:tcPr>
            <w:tcW w:w="4103" w:type="dxa"/>
          </w:tcPr>
          <w:p w:rsidR="00DC5AF0" w:rsidRPr="007200A8" w:rsidRDefault="00DC5AF0" w:rsidP="00034DA5">
            <w:pPr>
              <w:ind w:left="360"/>
              <w:rPr>
                <w:b/>
                <w:color w:val="0070C0"/>
              </w:rPr>
            </w:pPr>
            <w:r w:rsidRPr="007200A8">
              <w:rPr>
                <w:b/>
                <w:color w:val="0070C0"/>
              </w:rPr>
              <w:t>Only vertical</w:t>
            </w:r>
            <w:r w:rsidR="0069314A" w:rsidRPr="007200A8">
              <w:rPr>
                <w:b/>
                <w:color w:val="0070C0"/>
              </w:rPr>
              <w:t xml:space="preserve"> format of presentation</w:t>
            </w:r>
          </w:p>
        </w:tc>
        <w:tc>
          <w:tcPr>
            <w:tcW w:w="1567" w:type="dxa"/>
          </w:tcPr>
          <w:p w:rsidR="00DC5AF0" w:rsidRPr="007200A8" w:rsidRDefault="00DC5AF0" w:rsidP="00034DA5">
            <w:pPr>
              <w:rPr>
                <w:b/>
                <w:color w:val="E36C0A" w:themeColor="accent6" w:themeShade="BF"/>
              </w:rPr>
            </w:pPr>
            <w:r w:rsidRPr="007200A8">
              <w:rPr>
                <w:b/>
                <w:color w:val="E36C0A" w:themeColor="accent6" w:themeShade="BF"/>
              </w:rPr>
              <w:t>Change</w:t>
            </w:r>
          </w:p>
        </w:tc>
      </w:tr>
      <w:tr w:rsidR="004E3CE8" w:rsidTr="006D3957">
        <w:trPr>
          <w:trHeight w:val="458"/>
        </w:trPr>
        <w:tc>
          <w:tcPr>
            <w:tcW w:w="810" w:type="dxa"/>
          </w:tcPr>
          <w:p w:rsidR="004E3CE8" w:rsidRDefault="0006443C" w:rsidP="00034DA5">
            <w:pPr>
              <w:ind w:left="360"/>
            </w:pPr>
            <w:r>
              <w:t>3</w:t>
            </w:r>
          </w:p>
        </w:tc>
        <w:tc>
          <w:tcPr>
            <w:tcW w:w="4410" w:type="dxa"/>
          </w:tcPr>
          <w:p w:rsidR="004E3CE8" w:rsidRPr="007200A8" w:rsidRDefault="00FE5EF7" w:rsidP="00887689">
            <w:pPr>
              <w:ind w:left="360"/>
              <w:rPr>
                <w:b/>
                <w:color w:val="C00000"/>
              </w:rPr>
            </w:pPr>
            <w:r w:rsidRPr="007200A8">
              <w:rPr>
                <w:b/>
                <w:color w:val="C00000"/>
              </w:rPr>
              <w:t xml:space="preserve">Classification of liability  other than share capital into </w:t>
            </w:r>
            <w:r w:rsidR="004E3CE8" w:rsidRPr="007200A8">
              <w:rPr>
                <w:b/>
                <w:color w:val="C00000"/>
              </w:rPr>
              <w:t>Loan funds, D</w:t>
            </w:r>
            <w:r w:rsidRPr="007200A8">
              <w:rPr>
                <w:b/>
                <w:color w:val="C00000"/>
              </w:rPr>
              <w:t>eferred tax liability</w:t>
            </w:r>
            <w:r w:rsidR="004E3CE8" w:rsidRPr="007200A8">
              <w:rPr>
                <w:b/>
                <w:color w:val="C00000"/>
              </w:rPr>
              <w:t xml:space="preserve"> and C</w:t>
            </w:r>
            <w:r w:rsidRPr="007200A8">
              <w:rPr>
                <w:b/>
                <w:color w:val="C00000"/>
              </w:rPr>
              <w:t>urrent liability</w:t>
            </w:r>
          </w:p>
        </w:tc>
        <w:tc>
          <w:tcPr>
            <w:tcW w:w="4103" w:type="dxa"/>
          </w:tcPr>
          <w:p w:rsidR="004E3CE8" w:rsidRPr="007200A8" w:rsidRDefault="004E3CE8" w:rsidP="00105959">
            <w:pPr>
              <w:ind w:left="360"/>
              <w:rPr>
                <w:b/>
                <w:color w:val="0070C0"/>
              </w:rPr>
            </w:pPr>
            <w:r w:rsidRPr="007200A8">
              <w:rPr>
                <w:b/>
                <w:color w:val="0070C0"/>
              </w:rPr>
              <w:t xml:space="preserve">Classification of liabilities into       Noncurrent </w:t>
            </w:r>
            <w:r w:rsidR="00105959" w:rsidRPr="007200A8">
              <w:rPr>
                <w:b/>
                <w:color w:val="0070C0"/>
              </w:rPr>
              <w:t xml:space="preserve"> and </w:t>
            </w:r>
            <w:r w:rsidRPr="007200A8">
              <w:rPr>
                <w:b/>
                <w:color w:val="0070C0"/>
              </w:rPr>
              <w:t xml:space="preserve"> current</w:t>
            </w:r>
            <w:r w:rsidR="00105959" w:rsidRPr="007200A8">
              <w:rPr>
                <w:b/>
                <w:color w:val="0070C0"/>
              </w:rPr>
              <w:t xml:space="preserve"> liabilities </w:t>
            </w:r>
          </w:p>
        </w:tc>
        <w:tc>
          <w:tcPr>
            <w:tcW w:w="1567" w:type="dxa"/>
          </w:tcPr>
          <w:p w:rsidR="004E3CE8" w:rsidRPr="007200A8" w:rsidRDefault="00746FF3" w:rsidP="00034DA5">
            <w:pPr>
              <w:rPr>
                <w:b/>
              </w:rPr>
            </w:pPr>
            <w:r w:rsidRPr="007200A8">
              <w:rPr>
                <w:b/>
                <w:color w:val="E36C0A" w:themeColor="accent6" w:themeShade="BF"/>
              </w:rPr>
              <w:t>Change</w:t>
            </w:r>
          </w:p>
        </w:tc>
      </w:tr>
      <w:tr w:rsidR="004E3CE8" w:rsidTr="006D3957">
        <w:trPr>
          <w:trHeight w:val="458"/>
        </w:trPr>
        <w:tc>
          <w:tcPr>
            <w:tcW w:w="810" w:type="dxa"/>
          </w:tcPr>
          <w:p w:rsidR="004E3CE8" w:rsidRDefault="0006443C" w:rsidP="00034DA5">
            <w:pPr>
              <w:ind w:left="360"/>
            </w:pPr>
            <w:r>
              <w:t>4</w:t>
            </w:r>
          </w:p>
        </w:tc>
        <w:tc>
          <w:tcPr>
            <w:tcW w:w="4410" w:type="dxa"/>
          </w:tcPr>
          <w:p w:rsidR="004E3CE8" w:rsidRPr="007200A8" w:rsidRDefault="006939BA" w:rsidP="00034DA5">
            <w:pPr>
              <w:ind w:left="360"/>
              <w:rPr>
                <w:b/>
                <w:color w:val="C00000"/>
              </w:rPr>
            </w:pPr>
            <w:r w:rsidRPr="007200A8">
              <w:rPr>
                <w:b/>
                <w:color w:val="C00000"/>
              </w:rPr>
              <w:t>No such classification</w:t>
            </w:r>
            <w:r w:rsidR="005943DD" w:rsidRPr="007200A8">
              <w:rPr>
                <w:b/>
                <w:color w:val="C00000"/>
              </w:rPr>
              <w:t xml:space="preserve"> of assets</w:t>
            </w:r>
          </w:p>
        </w:tc>
        <w:tc>
          <w:tcPr>
            <w:tcW w:w="4103" w:type="dxa"/>
          </w:tcPr>
          <w:p w:rsidR="004E3CE8" w:rsidRPr="007200A8" w:rsidRDefault="002A57FC" w:rsidP="00EC68FB">
            <w:pPr>
              <w:ind w:left="360"/>
              <w:rPr>
                <w:b/>
                <w:color w:val="0070C0"/>
              </w:rPr>
            </w:pPr>
            <w:r w:rsidRPr="007200A8">
              <w:rPr>
                <w:b/>
                <w:color w:val="0070C0"/>
              </w:rPr>
              <w:t xml:space="preserve">Classification of Assets into       Noncurrent </w:t>
            </w:r>
            <w:r w:rsidR="00EC68FB" w:rsidRPr="007200A8">
              <w:rPr>
                <w:b/>
                <w:color w:val="0070C0"/>
              </w:rPr>
              <w:t xml:space="preserve"> and </w:t>
            </w:r>
            <w:r w:rsidRPr="007200A8">
              <w:rPr>
                <w:b/>
                <w:color w:val="0070C0"/>
              </w:rPr>
              <w:t xml:space="preserve"> current</w:t>
            </w:r>
          </w:p>
        </w:tc>
        <w:tc>
          <w:tcPr>
            <w:tcW w:w="1567" w:type="dxa"/>
          </w:tcPr>
          <w:p w:rsidR="004E3CE8" w:rsidRPr="007200A8" w:rsidRDefault="005943DD" w:rsidP="00034DA5">
            <w:pPr>
              <w:rPr>
                <w:b/>
              </w:rPr>
            </w:pPr>
            <w:r w:rsidRPr="007200A8">
              <w:rPr>
                <w:b/>
                <w:color w:val="00B050"/>
              </w:rPr>
              <w:t>New</w:t>
            </w:r>
          </w:p>
        </w:tc>
      </w:tr>
      <w:tr w:rsidR="004E3CE8" w:rsidTr="006D3957">
        <w:trPr>
          <w:trHeight w:val="458"/>
        </w:trPr>
        <w:tc>
          <w:tcPr>
            <w:tcW w:w="810" w:type="dxa"/>
          </w:tcPr>
          <w:p w:rsidR="004E3CE8" w:rsidRDefault="0006443C" w:rsidP="00034DA5">
            <w:pPr>
              <w:ind w:left="360"/>
            </w:pPr>
            <w:r>
              <w:t>5</w:t>
            </w:r>
          </w:p>
        </w:tc>
        <w:tc>
          <w:tcPr>
            <w:tcW w:w="4410" w:type="dxa"/>
          </w:tcPr>
          <w:p w:rsidR="004E3CE8" w:rsidRPr="007200A8" w:rsidRDefault="004E3CE8" w:rsidP="00034DA5">
            <w:pPr>
              <w:ind w:left="360"/>
              <w:rPr>
                <w:b/>
                <w:color w:val="C00000"/>
              </w:rPr>
            </w:pPr>
            <w:r w:rsidRPr="007200A8">
              <w:rPr>
                <w:b/>
                <w:color w:val="C00000"/>
              </w:rPr>
              <w:t>No such classification</w:t>
            </w:r>
            <w:r w:rsidR="005943DD" w:rsidRPr="007200A8">
              <w:rPr>
                <w:b/>
                <w:color w:val="C00000"/>
              </w:rPr>
              <w:t xml:space="preserve"> of fixed assets</w:t>
            </w:r>
          </w:p>
        </w:tc>
        <w:tc>
          <w:tcPr>
            <w:tcW w:w="4103" w:type="dxa"/>
          </w:tcPr>
          <w:p w:rsidR="004E3CE8" w:rsidRPr="007200A8" w:rsidRDefault="00EC68FB" w:rsidP="00EC68FB">
            <w:pPr>
              <w:ind w:left="360"/>
              <w:rPr>
                <w:b/>
                <w:color w:val="0070C0"/>
              </w:rPr>
            </w:pPr>
            <w:r w:rsidRPr="007200A8">
              <w:rPr>
                <w:b/>
                <w:color w:val="0070C0"/>
              </w:rPr>
              <w:t xml:space="preserve">Classification of fixed assets into </w:t>
            </w:r>
            <w:r w:rsidR="004E3CE8" w:rsidRPr="007200A8">
              <w:rPr>
                <w:b/>
                <w:color w:val="0070C0"/>
              </w:rPr>
              <w:t xml:space="preserve">Tangible </w:t>
            </w:r>
            <w:r w:rsidRPr="007200A8">
              <w:rPr>
                <w:b/>
                <w:color w:val="0070C0"/>
              </w:rPr>
              <w:t xml:space="preserve">and </w:t>
            </w:r>
            <w:r w:rsidR="004E3CE8" w:rsidRPr="007200A8">
              <w:rPr>
                <w:b/>
                <w:color w:val="0070C0"/>
              </w:rPr>
              <w:t xml:space="preserve"> intangible</w:t>
            </w:r>
          </w:p>
        </w:tc>
        <w:tc>
          <w:tcPr>
            <w:tcW w:w="1567" w:type="dxa"/>
          </w:tcPr>
          <w:p w:rsidR="004E3CE8" w:rsidRPr="007200A8" w:rsidRDefault="005943DD" w:rsidP="00034DA5">
            <w:pPr>
              <w:rPr>
                <w:b/>
              </w:rPr>
            </w:pPr>
            <w:r w:rsidRPr="007200A8">
              <w:rPr>
                <w:b/>
                <w:color w:val="00B050"/>
              </w:rPr>
              <w:t>New</w:t>
            </w:r>
          </w:p>
        </w:tc>
      </w:tr>
      <w:tr w:rsidR="004E3CE8" w:rsidTr="006D3957">
        <w:trPr>
          <w:trHeight w:val="458"/>
        </w:trPr>
        <w:tc>
          <w:tcPr>
            <w:tcW w:w="810" w:type="dxa"/>
          </w:tcPr>
          <w:p w:rsidR="004E3CE8" w:rsidRDefault="0006443C" w:rsidP="00034DA5">
            <w:pPr>
              <w:ind w:left="360"/>
            </w:pPr>
            <w:r>
              <w:t>6</w:t>
            </w:r>
          </w:p>
        </w:tc>
        <w:tc>
          <w:tcPr>
            <w:tcW w:w="4410" w:type="dxa"/>
          </w:tcPr>
          <w:p w:rsidR="004E3CE8" w:rsidRPr="007200A8" w:rsidRDefault="00BB456D" w:rsidP="00034DA5">
            <w:pPr>
              <w:ind w:left="360"/>
              <w:rPr>
                <w:b/>
                <w:color w:val="C00000"/>
              </w:rPr>
            </w:pPr>
            <w:r w:rsidRPr="007200A8">
              <w:rPr>
                <w:b/>
                <w:color w:val="C00000"/>
              </w:rPr>
              <w:t>Not included</w:t>
            </w:r>
          </w:p>
        </w:tc>
        <w:tc>
          <w:tcPr>
            <w:tcW w:w="4103" w:type="dxa"/>
          </w:tcPr>
          <w:p w:rsidR="004E3CE8" w:rsidRPr="007200A8" w:rsidRDefault="00BB456D" w:rsidP="00034DA5">
            <w:pPr>
              <w:ind w:left="360"/>
              <w:rPr>
                <w:b/>
                <w:color w:val="0070C0"/>
              </w:rPr>
            </w:pPr>
            <w:r w:rsidRPr="007200A8">
              <w:rPr>
                <w:b/>
                <w:color w:val="0070C0"/>
              </w:rPr>
              <w:t>Intangible assets under development</w:t>
            </w:r>
            <w:r w:rsidR="006939BA" w:rsidRPr="007200A8">
              <w:rPr>
                <w:b/>
                <w:color w:val="0070C0"/>
              </w:rPr>
              <w:t xml:space="preserve"> item newly added</w:t>
            </w:r>
          </w:p>
        </w:tc>
        <w:tc>
          <w:tcPr>
            <w:tcW w:w="1567" w:type="dxa"/>
          </w:tcPr>
          <w:p w:rsidR="004E3CE8" w:rsidRPr="007200A8" w:rsidRDefault="006939BA" w:rsidP="00034DA5">
            <w:pPr>
              <w:rPr>
                <w:b/>
                <w:color w:val="00B050"/>
              </w:rPr>
            </w:pPr>
            <w:r w:rsidRPr="007200A8">
              <w:rPr>
                <w:b/>
                <w:color w:val="00B050"/>
              </w:rPr>
              <w:t>New</w:t>
            </w:r>
          </w:p>
        </w:tc>
      </w:tr>
      <w:tr w:rsidR="00D87B30" w:rsidTr="006D3957">
        <w:trPr>
          <w:trHeight w:val="458"/>
        </w:trPr>
        <w:tc>
          <w:tcPr>
            <w:tcW w:w="810" w:type="dxa"/>
          </w:tcPr>
          <w:p w:rsidR="00D87B30" w:rsidRDefault="0006443C" w:rsidP="00034DA5">
            <w:pPr>
              <w:ind w:left="360"/>
            </w:pPr>
            <w:r>
              <w:t>7</w:t>
            </w:r>
          </w:p>
        </w:tc>
        <w:tc>
          <w:tcPr>
            <w:tcW w:w="4410" w:type="dxa"/>
          </w:tcPr>
          <w:p w:rsidR="00D87B30" w:rsidRPr="007200A8" w:rsidRDefault="00C76286" w:rsidP="00034DA5">
            <w:pPr>
              <w:ind w:left="360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“</w:t>
            </w:r>
            <w:r w:rsidR="00D87B30" w:rsidRPr="007200A8">
              <w:rPr>
                <w:b/>
                <w:color w:val="C00000"/>
              </w:rPr>
              <w:t>Cash and Bank balance</w:t>
            </w:r>
            <w:r>
              <w:rPr>
                <w:b/>
                <w:color w:val="C00000"/>
              </w:rPr>
              <w:t>”</w:t>
            </w:r>
            <w:r w:rsidR="00D87B30" w:rsidRPr="007200A8">
              <w:rPr>
                <w:b/>
                <w:color w:val="C00000"/>
              </w:rPr>
              <w:t xml:space="preserve"> was used under current assets</w:t>
            </w:r>
          </w:p>
        </w:tc>
        <w:tc>
          <w:tcPr>
            <w:tcW w:w="4103" w:type="dxa"/>
          </w:tcPr>
          <w:p w:rsidR="00D87B30" w:rsidRPr="007200A8" w:rsidRDefault="00D87B30" w:rsidP="00034DA5">
            <w:pPr>
              <w:ind w:left="360"/>
              <w:rPr>
                <w:b/>
                <w:color w:val="0070C0"/>
              </w:rPr>
            </w:pPr>
            <w:r w:rsidRPr="007200A8">
              <w:rPr>
                <w:b/>
                <w:color w:val="0070C0"/>
              </w:rPr>
              <w:t>“Cash and Cash equivalents”  was used under current assets</w:t>
            </w:r>
          </w:p>
        </w:tc>
        <w:tc>
          <w:tcPr>
            <w:tcW w:w="1567" w:type="dxa"/>
          </w:tcPr>
          <w:p w:rsidR="00D87B30" w:rsidRPr="007200A8" w:rsidRDefault="00D87B30">
            <w:pPr>
              <w:rPr>
                <w:b/>
              </w:rPr>
            </w:pPr>
            <w:r w:rsidRPr="007200A8">
              <w:rPr>
                <w:b/>
                <w:color w:val="E36C0A" w:themeColor="accent6" w:themeShade="BF"/>
              </w:rPr>
              <w:t>Change</w:t>
            </w:r>
          </w:p>
        </w:tc>
      </w:tr>
      <w:tr w:rsidR="00D87B30" w:rsidTr="006D3957">
        <w:trPr>
          <w:trHeight w:val="458"/>
        </w:trPr>
        <w:tc>
          <w:tcPr>
            <w:tcW w:w="810" w:type="dxa"/>
          </w:tcPr>
          <w:p w:rsidR="00D87B30" w:rsidRDefault="0006443C" w:rsidP="00034DA5">
            <w:pPr>
              <w:ind w:left="360"/>
            </w:pPr>
            <w:r>
              <w:t>8</w:t>
            </w:r>
          </w:p>
        </w:tc>
        <w:tc>
          <w:tcPr>
            <w:tcW w:w="4410" w:type="dxa"/>
          </w:tcPr>
          <w:p w:rsidR="00D87B30" w:rsidRPr="007200A8" w:rsidRDefault="00C76286" w:rsidP="00034DA5">
            <w:pPr>
              <w:ind w:left="360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“</w:t>
            </w:r>
            <w:r w:rsidR="00D87B30" w:rsidRPr="007200A8">
              <w:rPr>
                <w:b/>
                <w:color w:val="C00000"/>
              </w:rPr>
              <w:t>Calls unpaid by  others</w:t>
            </w:r>
            <w:r>
              <w:rPr>
                <w:b/>
                <w:color w:val="C00000"/>
              </w:rPr>
              <w:t xml:space="preserve">” </w:t>
            </w:r>
            <w:r w:rsidR="003F0A14" w:rsidRPr="007200A8">
              <w:rPr>
                <w:b/>
                <w:color w:val="C00000"/>
              </w:rPr>
              <w:t xml:space="preserve"> was used under Share capital schedule</w:t>
            </w:r>
          </w:p>
        </w:tc>
        <w:tc>
          <w:tcPr>
            <w:tcW w:w="4103" w:type="dxa"/>
          </w:tcPr>
          <w:p w:rsidR="00D87B30" w:rsidRPr="007200A8" w:rsidRDefault="003F0A14" w:rsidP="00034DA5">
            <w:pPr>
              <w:ind w:left="360"/>
              <w:rPr>
                <w:b/>
                <w:color w:val="0070C0"/>
              </w:rPr>
            </w:pPr>
            <w:r w:rsidRPr="007200A8">
              <w:rPr>
                <w:b/>
                <w:color w:val="0070C0"/>
              </w:rPr>
              <w:t>“</w:t>
            </w:r>
            <w:r w:rsidR="00D87B30" w:rsidRPr="007200A8">
              <w:rPr>
                <w:b/>
                <w:color w:val="0070C0"/>
              </w:rPr>
              <w:t xml:space="preserve">Calls unpaid </w:t>
            </w:r>
            <w:r w:rsidR="00F829B6" w:rsidRPr="007200A8">
              <w:rPr>
                <w:b/>
                <w:color w:val="0070C0"/>
              </w:rPr>
              <w:t>by officers</w:t>
            </w:r>
            <w:r w:rsidRPr="007200A8">
              <w:rPr>
                <w:b/>
                <w:color w:val="0070C0"/>
              </w:rPr>
              <w:t xml:space="preserve"> </w:t>
            </w:r>
            <w:r w:rsidR="00F829B6" w:rsidRPr="007200A8">
              <w:rPr>
                <w:b/>
                <w:color w:val="0070C0"/>
              </w:rPr>
              <w:t>“were</w:t>
            </w:r>
            <w:r w:rsidRPr="007200A8">
              <w:rPr>
                <w:b/>
                <w:color w:val="0070C0"/>
              </w:rPr>
              <w:t xml:space="preserve"> used under share capital schedule.</w:t>
            </w:r>
          </w:p>
        </w:tc>
        <w:tc>
          <w:tcPr>
            <w:tcW w:w="1567" w:type="dxa"/>
          </w:tcPr>
          <w:p w:rsidR="00D87B30" w:rsidRPr="007200A8" w:rsidRDefault="00D87B30">
            <w:pPr>
              <w:rPr>
                <w:b/>
              </w:rPr>
            </w:pPr>
            <w:r w:rsidRPr="007200A8">
              <w:rPr>
                <w:b/>
                <w:color w:val="E36C0A" w:themeColor="accent6" w:themeShade="BF"/>
              </w:rPr>
              <w:t>Change</w:t>
            </w:r>
          </w:p>
        </w:tc>
      </w:tr>
      <w:tr w:rsidR="00D87B30" w:rsidTr="006D3957">
        <w:trPr>
          <w:trHeight w:val="458"/>
        </w:trPr>
        <w:tc>
          <w:tcPr>
            <w:tcW w:w="810" w:type="dxa"/>
          </w:tcPr>
          <w:p w:rsidR="00D87B30" w:rsidRDefault="0006443C" w:rsidP="00034DA5">
            <w:pPr>
              <w:ind w:left="360"/>
            </w:pPr>
            <w:r>
              <w:t>9</w:t>
            </w:r>
          </w:p>
        </w:tc>
        <w:tc>
          <w:tcPr>
            <w:tcW w:w="4410" w:type="dxa"/>
          </w:tcPr>
          <w:p w:rsidR="00D87B30" w:rsidRPr="007200A8" w:rsidRDefault="00D87B30" w:rsidP="003F0A14">
            <w:pPr>
              <w:ind w:left="360"/>
              <w:rPr>
                <w:b/>
                <w:color w:val="C00000"/>
              </w:rPr>
            </w:pPr>
            <w:r w:rsidRPr="007200A8">
              <w:rPr>
                <w:b/>
                <w:color w:val="C00000"/>
              </w:rPr>
              <w:t>Debit balance in the Profit and loss a/c shall be shown under “</w:t>
            </w:r>
            <w:r w:rsidR="00F829B6" w:rsidRPr="007200A8">
              <w:rPr>
                <w:b/>
                <w:color w:val="C00000"/>
              </w:rPr>
              <w:t>ASSETS “side</w:t>
            </w:r>
            <w:r w:rsidR="003F0A14" w:rsidRPr="007200A8">
              <w:rPr>
                <w:b/>
                <w:color w:val="C00000"/>
              </w:rPr>
              <w:t xml:space="preserve"> </w:t>
            </w:r>
            <w:r w:rsidRPr="007200A8">
              <w:rPr>
                <w:b/>
                <w:color w:val="C00000"/>
              </w:rPr>
              <w:t>after deduction from Uncommitted reserves if any.</w:t>
            </w:r>
          </w:p>
        </w:tc>
        <w:tc>
          <w:tcPr>
            <w:tcW w:w="4103" w:type="dxa"/>
          </w:tcPr>
          <w:p w:rsidR="00D87B30" w:rsidRPr="007200A8" w:rsidRDefault="00D87B30" w:rsidP="008D345C">
            <w:pPr>
              <w:ind w:left="360"/>
              <w:rPr>
                <w:b/>
                <w:color w:val="0070C0"/>
              </w:rPr>
            </w:pPr>
            <w:r w:rsidRPr="007200A8">
              <w:rPr>
                <w:b/>
                <w:color w:val="0070C0"/>
              </w:rPr>
              <w:t xml:space="preserve">Debit balance in the Profit and loss a/c shall be shown as NEGATIVE figure under the head “ Surplus “ and the balance of “ Reserves and surplus “ after adjusting negative balance of surplus shall be shown under “ Reserves and surplus “ even if the </w:t>
            </w:r>
            <w:r w:rsidR="008D345C" w:rsidRPr="007200A8">
              <w:rPr>
                <w:b/>
                <w:color w:val="0070C0"/>
              </w:rPr>
              <w:t>resulting figure is in the negative.</w:t>
            </w:r>
          </w:p>
        </w:tc>
        <w:tc>
          <w:tcPr>
            <w:tcW w:w="1567" w:type="dxa"/>
          </w:tcPr>
          <w:p w:rsidR="00D87B30" w:rsidRPr="007200A8" w:rsidRDefault="00D87B30">
            <w:pPr>
              <w:rPr>
                <w:b/>
              </w:rPr>
            </w:pPr>
            <w:r w:rsidRPr="007200A8">
              <w:rPr>
                <w:b/>
                <w:color w:val="E36C0A" w:themeColor="accent6" w:themeShade="BF"/>
              </w:rPr>
              <w:t>Change</w:t>
            </w:r>
          </w:p>
        </w:tc>
      </w:tr>
      <w:tr w:rsidR="00EC1E78" w:rsidTr="006D3957">
        <w:trPr>
          <w:trHeight w:val="458"/>
        </w:trPr>
        <w:tc>
          <w:tcPr>
            <w:tcW w:w="810" w:type="dxa"/>
          </w:tcPr>
          <w:p w:rsidR="00EC1E78" w:rsidRDefault="0006443C" w:rsidP="00034DA5">
            <w:pPr>
              <w:ind w:left="360"/>
            </w:pPr>
            <w:r>
              <w:lastRenderedPageBreak/>
              <w:t>10</w:t>
            </w:r>
          </w:p>
        </w:tc>
        <w:tc>
          <w:tcPr>
            <w:tcW w:w="4410" w:type="dxa"/>
          </w:tcPr>
          <w:p w:rsidR="00EC1E78" w:rsidRPr="007200A8" w:rsidRDefault="00E075CA" w:rsidP="00E075CA">
            <w:pPr>
              <w:ind w:left="360"/>
              <w:rPr>
                <w:b/>
                <w:color w:val="C00000"/>
              </w:rPr>
            </w:pPr>
            <w:r w:rsidRPr="007200A8">
              <w:rPr>
                <w:b/>
                <w:color w:val="C00000"/>
              </w:rPr>
              <w:t>Share application money pending allotment was included in the “Reserves and surplus”</w:t>
            </w:r>
          </w:p>
        </w:tc>
        <w:tc>
          <w:tcPr>
            <w:tcW w:w="4103" w:type="dxa"/>
          </w:tcPr>
          <w:p w:rsidR="00EC1E78" w:rsidRPr="007200A8" w:rsidRDefault="00E075CA" w:rsidP="00E075CA">
            <w:pPr>
              <w:ind w:left="360"/>
              <w:rPr>
                <w:b/>
                <w:color w:val="0070C0"/>
              </w:rPr>
            </w:pPr>
            <w:r w:rsidRPr="007200A8">
              <w:rPr>
                <w:b/>
                <w:color w:val="0070C0"/>
              </w:rPr>
              <w:t xml:space="preserve">“Share application money pending allotment”  need to shown separately under share holder’s funds </w:t>
            </w:r>
          </w:p>
        </w:tc>
        <w:tc>
          <w:tcPr>
            <w:tcW w:w="1567" w:type="dxa"/>
          </w:tcPr>
          <w:p w:rsidR="00EC1E78" w:rsidRPr="007200A8" w:rsidRDefault="00E075CA" w:rsidP="00034DA5">
            <w:pPr>
              <w:rPr>
                <w:b/>
              </w:rPr>
            </w:pPr>
            <w:r w:rsidRPr="007200A8">
              <w:rPr>
                <w:b/>
                <w:color w:val="E36C0A" w:themeColor="accent6" w:themeShade="BF"/>
              </w:rPr>
              <w:t>Change</w:t>
            </w:r>
          </w:p>
        </w:tc>
      </w:tr>
      <w:tr w:rsidR="00EC1E78" w:rsidTr="006D3957">
        <w:trPr>
          <w:trHeight w:val="458"/>
        </w:trPr>
        <w:tc>
          <w:tcPr>
            <w:tcW w:w="810" w:type="dxa"/>
          </w:tcPr>
          <w:p w:rsidR="00EC1E78" w:rsidRDefault="00D02D93" w:rsidP="00034DA5">
            <w:pPr>
              <w:ind w:left="360"/>
            </w:pPr>
            <w:r>
              <w:t>11</w:t>
            </w:r>
          </w:p>
        </w:tc>
        <w:tc>
          <w:tcPr>
            <w:tcW w:w="4410" w:type="dxa"/>
          </w:tcPr>
          <w:p w:rsidR="00EC1E78" w:rsidRPr="007200A8" w:rsidRDefault="000230EB" w:rsidP="00C76286">
            <w:pPr>
              <w:ind w:left="360"/>
              <w:rPr>
                <w:b/>
                <w:color w:val="C00000"/>
              </w:rPr>
            </w:pPr>
            <w:r w:rsidRPr="007200A8">
              <w:rPr>
                <w:b/>
                <w:color w:val="C00000"/>
              </w:rPr>
              <w:t xml:space="preserve">No </w:t>
            </w:r>
            <w:r w:rsidR="00C76286">
              <w:rPr>
                <w:b/>
                <w:color w:val="C00000"/>
              </w:rPr>
              <w:t xml:space="preserve">such </w:t>
            </w:r>
            <w:r w:rsidRPr="007200A8">
              <w:rPr>
                <w:b/>
                <w:color w:val="C00000"/>
              </w:rPr>
              <w:t xml:space="preserve">concept </w:t>
            </w:r>
          </w:p>
        </w:tc>
        <w:tc>
          <w:tcPr>
            <w:tcW w:w="4103" w:type="dxa"/>
          </w:tcPr>
          <w:p w:rsidR="00EC1E78" w:rsidRPr="007200A8" w:rsidRDefault="007D4ACE" w:rsidP="007D4ACE">
            <w:pPr>
              <w:ind w:left="360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“</w:t>
            </w:r>
            <w:r w:rsidR="000230EB" w:rsidRPr="007200A8">
              <w:rPr>
                <w:b/>
                <w:color w:val="0070C0"/>
              </w:rPr>
              <w:t>Money received against share warrants under reserves and surplus</w:t>
            </w:r>
            <w:r>
              <w:rPr>
                <w:b/>
                <w:color w:val="0070C0"/>
              </w:rPr>
              <w:t xml:space="preserve">” </w:t>
            </w:r>
          </w:p>
        </w:tc>
        <w:tc>
          <w:tcPr>
            <w:tcW w:w="1567" w:type="dxa"/>
          </w:tcPr>
          <w:p w:rsidR="00EC1E78" w:rsidRPr="007200A8" w:rsidRDefault="000230EB" w:rsidP="00034DA5">
            <w:pPr>
              <w:rPr>
                <w:b/>
              </w:rPr>
            </w:pPr>
            <w:r w:rsidRPr="007200A8">
              <w:rPr>
                <w:b/>
                <w:color w:val="00B050"/>
              </w:rPr>
              <w:t>New</w:t>
            </w:r>
          </w:p>
        </w:tc>
      </w:tr>
      <w:tr w:rsidR="00EC1E78" w:rsidTr="006D3957">
        <w:trPr>
          <w:trHeight w:val="458"/>
        </w:trPr>
        <w:tc>
          <w:tcPr>
            <w:tcW w:w="810" w:type="dxa"/>
          </w:tcPr>
          <w:p w:rsidR="00EC1E78" w:rsidRDefault="00D02D93" w:rsidP="00034DA5">
            <w:pPr>
              <w:ind w:left="360"/>
            </w:pPr>
            <w:r>
              <w:t>12</w:t>
            </w:r>
          </w:p>
        </w:tc>
        <w:tc>
          <w:tcPr>
            <w:tcW w:w="4410" w:type="dxa"/>
          </w:tcPr>
          <w:p w:rsidR="00EC1E78" w:rsidRPr="007200A8" w:rsidRDefault="00C6293B" w:rsidP="00034DA5">
            <w:pPr>
              <w:ind w:left="360"/>
              <w:rPr>
                <w:b/>
                <w:color w:val="C00000"/>
              </w:rPr>
            </w:pPr>
            <w:r w:rsidRPr="007200A8">
              <w:rPr>
                <w:b/>
                <w:color w:val="C00000"/>
              </w:rPr>
              <w:t xml:space="preserve">“Deferred tax liability”  as a separate line item after unsecured loan </w:t>
            </w:r>
          </w:p>
        </w:tc>
        <w:tc>
          <w:tcPr>
            <w:tcW w:w="4103" w:type="dxa"/>
          </w:tcPr>
          <w:p w:rsidR="00EC1E78" w:rsidRPr="007200A8" w:rsidRDefault="00C6293B" w:rsidP="00034DA5">
            <w:pPr>
              <w:ind w:left="360"/>
              <w:rPr>
                <w:b/>
                <w:color w:val="0070C0"/>
              </w:rPr>
            </w:pPr>
            <w:r w:rsidRPr="007200A8">
              <w:rPr>
                <w:b/>
                <w:color w:val="0070C0"/>
              </w:rPr>
              <w:t xml:space="preserve">“ deferred </w:t>
            </w:r>
            <w:r w:rsidR="001661AB" w:rsidRPr="007200A8">
              <w:rPr>
                <w:b/>
                <w:color w:val="0070C0"/>
              </w:rPr>
              <w:t xml:space="preserve">tax liability” under the </w:t>
            </w:r>
            <w:r w:rsidR="007D4ACE">
              <w:rPr>
                <w:b/>
                <w:color w:val="0070C0"/>
              </w:rPr>
              <w:t xml:space="preserve">   </w:t>
            </w:r>
            <w:r w:rsidR="001661AB" w:rsidRPr="007200A8">
              <w:rPr>
                <w:b/>
                <w:color w:val="0070C0"/>
              </w:rPr>
              <w:t>Non – current liabilities</w:t>
            </w:r>
          </w:p>
        </w:tc>
        <w:tc>
          <w:tcPr>
            <w:tcW w:w="1567" w:type="dxa"/>
          </w:tcPr>
          <w:p w:rsidR="00EC1E78" w:rsidRPr="007200A8" w:rsidRDefault="001661AB" w:rsidP="00034DA5">
            <w:pPr>
              <w:rPr>
                <w:b/>
              </w:rPr>
            </w:pPr>
            <w:r w:rsidRPr="007200A8">
              <w:rPr>
                <w:b/>
                <w:color w:val="E36C0A" w:themeColor="accent6" w:themeShade="BF"/>
              </w:rPr>
              <w:t>Change</w:t>
            </w:r>
          </w:p>
        </w:tc>
      </w:tr>
      <w:tr w:rsidR="00EC1E78" w:rsidTr="006D3957">
        <w:trPr>
          <w:trHeight w:val="458"/>
        </w:trPr>
        <w:tc>
          <w:tcPr>
            <w:tcW w:w="810" w:type="dxa"/>
          </w:tcPr>
          <w:p w:rsidR="00EC1E78" w:rsidRDefault="009B45EC" w:rsidP="00034DA5">
            <w:pPr>
              <w:ind w:left="360"/>
            </w:pPr>
            <w:r>
              <w:t>13</w:t>
            </w:r>
          </w:p>
        </w:tc>
        <w:tc>
          <w:tcPr>
            <w:tcW w:w="4410" w:type="dxa"/>
          </w:tcPr>
          <w:p w:rsidR="00EC1E78" w:rsidRPr="007200A8" w:rsidRDefault="009B45EC" w:rsidP="00034DA5">
            <w:pPr>
              <w:ind w:left="360"/>
              <w:rPr>
                <w:b/>
                <w:color w:val="C00000"/>
              </w:rPr>
            </w:pPr>
            <w:r w:rsidRPr="007200A8">
              <w:rPr>
                <w:b/>
                <w:color w:val="C00000"/>
              </w:rPr>
              <w:t xml:space="preserve">No such classification in case of Provisions </w:t>
            </w:r>
          </w:p>
        </w:tc>
        <w:tc>
          <w:tcPr>
            <w:tcW w:w="4103" w:type="dxa"/>
          </w:tcPr>
          <w:p w:rsidR="00EC1E78" w:rsidRPr="007200A8" w:rsidRDefault="009B45EC" w:rsidP="005C7381">
            <w:pPr>
              <w:ind w:left="360"/>
              <w:rPr>
                <w:b/>
                <w:color w:val="0070C0"/>
              </w:rPr>
            </w:pPr>
            <w:r w:rsidRPr="007200A8">
              <w:rPr>
                <w:b/>
                <w:color w:val="0070C0"/>
              </w:rPr>
              <w:t>“Provisions” are classified into Long term &amp; Short term and</w:t>
            </w:r>
            <w:r w:rsidR="001B5A9F" w:rsidRPr="007200A8">
              <w:rPr>
                <w:b/>
                <w:color w:val="0070C0"/>
              </w:rPr>
              <w:t xml:space="preserve"> further classified into</w:t>
            </w:r>
            <w:r w:rsidRPr="007200A8">
              <w:rPr>
                <w:b/>
                <w:color w:val="0070C0"/>
              </w:rPr>
              <w:t xml:space="preserve"> provision for employee benefits and others.</w:t>
            </w:r>
          </w:p>
        </w:tc>
        <w:tc>
          <w:tcPr>
            <w:tcW w:w="1567" w:type="dxa"/>
          </w:tcPr>
          <w:p w:rsidR="00EC1E78" w:rsidRPr="007200A8" w:rsidRDefault="009B45EC" w:rsidP="00034DA5">
            <w:pPr>
              <w:rPr>
                <w:b/>
              </w:rPr>
            </w:pPr>
            <w:r w:rsidRPr="007200A8">
              <w:rPr>
                <w:b/>
                <w:color w:val="E36C0A" w:themeColor="accent6" w:themeShade="BF"/>
              </w:rPr>
              <w:t>Change</w:t>
            </w:r>
          </w:p>
        </w:tc>
      </w:tr>
      <w:tr w:rsidR="00EC1E78" w:rsidTr="006D3957">
        <w:trPr>
          <w:trHeight w:val="458"/>
        </w:trPr>
        <w:tc>
          <w:tcPr>
            <w:tcW w:w="810" w:type="dxa"/>
          </w:tcPr>
          <w:p w:rsidR="00EC1E78" w:rsidRDefault="002421ED" w:rsidP="00034DA5">
            <w:pPr>
              <w:ind w:left="360"/>
            </w:pPr>
            <w:r>
              <w:t>15</w:t>
            </w:r>
          </w:p>
        </w:tc>
        <w:tc>
          <w:tcPr>
            <w:tcW w:w="4410" w:type="dxa"/>
          </w:tcPr>
          <w:p w:rsidR="00EC1E78" w:rsidRPr="007200A8" w:rsidRDefault="008200E4" w:rsidP="00034DA5">
            <w:pPr>
              <w:ind w:left="360"/>
              <w:rPr>
                <w:b/>
                <w:color w:val="C00000"/>
              </w:rPr>
            </w:pPr>
            <w:r w:rsidRPr="007200A8">
              <w:rPr>
                <w:b/>
                <w:color w:val="C00000"/>
              </w:rPr>
              <w:t>No such classification</w:t>
            </w:r>
          </w:p>
        </w:tc>
        <w:tc>
          <w:tcPr>
            <w:tcW w:w="4103" w:type="dxa"/>
          </w:tcPr>
          <w:p w:rsidR="00EC1E78" w:rsidRPr="007200A8" w:rsidRDefault="00361F86" w:rsidP="00034DA5">
            <w:pPr>
              <w:ind w:left="360"/>
              <w:rPr>
                <w:b/>
                <w:color w:val="0070C0"/>
              </w:rPr>
            </w:pPr>
            <w:r w:rsidRPr="007200A8">
              <w:rPr>
                <w:b/>
                <w:color w:val="0070C0"/>
              </w:rPr>
              <w:t>Investments are classified into “ Noncurrent and Current “</w:t>
            </w:r>
          </w:p>
        </w:tc>
        <w:tc>
          <w:tcPr>
            <w:tcW w:w="1567" w:type="dxa"/>
          </w:tcPr>
          <w:p w:rsidR="00EC1E78" w:rsidRPr="007200A8" w:rsidRDefault="008200E4" w:rsidP="00034DA5">
            <w:pPr>
              <w:rPr>
                <w:b/>
              </w:rPr>
            </w:pPr>
            <w:r w:rsidRPr="007200A8">
              <w:rPr>
                <w:b/>
                <w:color w:val="E36C0A" w:themeColor="accent6" w:themeShade="BF"/>
              </w:rPr>
              <w:t>Change</w:t>
            </w:r>
          </w:p>
        </w:tc>
      </w:tr>
      <w:tr w:rsidR="009C3341" w:rsidTr="006D3957">
        <w:trPr>
          <w:trHeight w:val="458"/>
        </w:trPr>
        <w:tc>
          <w:tcPr>
            <w:tcW w:w="810" w:type="dxa"/>
          </w:tcPr>
          <w:p w:rsidR="009C3341" w:rsidRDefault="009C3341" w:rsidP="00034DA5">
            <w:pPr>
              <w:ind w:left="360"/>
            </w:pPr>
            <w:r>
              <w:t>16</w:t>
            </w:r>
          </w:p>
        </w:tc>
        <w:tc>
          <w:tcPr>
            <w:tcW w:w="4410" w:type="dxa"/>
          </w:tcPr>
          <w:p w:rsidR="009C3341" w:rsidRPr="007200A8" w:rsidRDefault="009C3341" w:rsidP="009C3341">
            <w:pPr>
              <w:ind w:left="360"/>
              <w:rPr>
                <w:b/>
                <w:color w:val="C00000"/>
              </w:rPr>
            </w:pPr>
            <w:r w:rsidRPr="007200A8">
              <w:rPr>
                <w:b/>
                <w:color w:val="C00000"/>
              </w:rPr>
              <w:t xml:space="preserve">“Deferred tax asset”  as a separate line item after Investments </w:t>
            </w:r>
          </w:p>
        </w:tc>
        <w:tc>
          <w:tcPr>
            <w:tcW w:w="4103" w:type="dxa"/>
          </w:tcPr>
          <w:p w:rsidR="009C3341" w:rsidRPr="007200A8" w:rsidRDefault="009C3341" w:rsidP="009C3341">
            <w:pPr>
              <w:ind w:left="360"/>
              <w:rPr>
                <w:b/>
                <w:color w:val="0070C0"/>
              </w:rPr>
            </w:pPr>
            <w:r w:rsidRPr="007200A8">
              <w:rPr>
                <w:b/>
                <w:color w:val="0070C0"/>
              </w:rPr>
              <w:t>“ deferred tax assets” under the Non – current assets</w:t>
            </w:r>
          </w:p>
        </w:tc>
        <w:tc>
          <w:tcPr>
            <w:tcW w:w="1567" w:type="dxa"/>
          </w:tcPr>
          <w:p w:rsidR="009C3341" w:rsidRPr="007200A8" w:rsidRDefault="009C3341" w:rsidP="00447826">
            <w:pPr>
              <w:rPr>
                <w:b/>
              </w:rPr>
            </w:pPr>
            <w:r w:rsidRPr="007200A8">
              <w:rPr>
                <w:b/>
                <w:color w:val="E36C0A" w:themeColor="accent6" w:themeShade="BF"/>
              </w:rPr>
              <w:t>Change</w:t>
            </w:r>
          </w:p>
        </w:tc>
      </w:tr>
      <w:tr w:rsidR="009C3341" w:rsidTr="006D3957">
        <w:trPr>
          <w:trHeight w:val="458"/>
        </w:trPr>
        <w:tc>
          <w:tcPr>
            <w:tcW w:w="810" w:type="dxa"/>
          </w:tcPr>
          <w:p w:rsidR="009C3341" w:rsidRDefault="00447826" w:rsidP="00034DA5">
            <w:pPr>
              <w:ind w:left="360"/>
            </w:pPr>
            <w:r>
              <w:t>17</w:t>
            </w:r>
          </w:p>
        </w:tc>
        <w:tc>
          <w:tcPr>
            <w:tcW w:w="4410" w:type="dxa"/>
          </w:tcPr>
          <w:p w:rsidR="009C3341" w:rsidRPr="00C806EA" w:rsidRDefault="00F804F8" w:rsidP="007D4ACE">
            <w:pPr>
              <w:ind w:left="360"/>
              <w:rPr>
                <w:b/>
                <w:color w:val="C00000"/>
              </w:rPr>
            </w:pPr>
            <w:r w:rsidRPr="00C806EA">
              <w:rPr>
                <w:b/>
                <w:color w:val="C00000"/>
              </w:rPr>
              <w:t xml:space="preserve">“Sundry debtors” </w:t>
            </w:r>
            <w:r w:rsidR="007D4ACE" w:rsidRPr="00C806EA">
              <w:rPr>
                <w:b/>
                <w:color w:val="C00000"/>
              </w:rPr>
              <w:t xml:space="preserve">is </w:t>
            </w:r>
            <w:r w:rsidRPr="00C806EA">
              <w:rPr>
                <w:b/>
                <w:color w:val="C00000"/>
              </w:rPr>
              <w:t xml:space="preserve"> used</w:t>
            </w:r>
            <w:r w:rsidR="007D4ACE" w:rsidRPr="00C806EA">
              <w:rPr>
                <w:b/>
                <w:color w:val="C00000"/>
              </w:rPr>
              <w:t xml:space="preserve"> under current assets</w:t>
            </w:r>
            <w:r w:rsidRPr="00C806EA">
              <w:rPr>
                <w:b/>
                <w:color w:val="C00000"/>
              </w:rPr>
              <w:t xml:space="preserve">  </w:t>
            </w:r>
          </w:p>
        </w:tc>
        <w:tc>
          <w:tcPr>
            <w:tcW w:w="4103" w:type="dxa"/>
          </w:tcPr>
          <w:p w:rsidR="009C3341" w:rsidRPr="007200A8" w:rsidRDefault="00F804F8" w:rsidP="007D4ACE">
            <w:pPr>
              <w:ind w:left="360"/>
              <w:rPr>
                <w:b/>
                <w:color w:val="0070C0"/>
              </w:rPr>
            </w:pPr>
            <w:r w:rsidRPr="007200A8">
              <w:rPr>
                <w:b/>
                <w:color w:val="0070C0"/>
              </w:rPr>
              <w:t xml:space="preserve">“Trade receivables” </w:t>
            </w:r>
            <w:r w:rsidR="007D4ACE">
              <w:rPr>
                <w:b/>
                <w:color w:val="0070C0"/>
              </w:rPr>
              <w:t>is</w:t>
            </w:r>
            <w:r w:rsidRPr="007200A8">
              <w:rPr>
                <w:b/>
                <w:color w:val="0070C0"/>
              </w:rPr>
              <w:t xml:space="preserve"> used</w:t>
            </w:r>
            <w:r w:rsidR="007D4ACE">
              <w:rPr>
                <w:b/>
                <w:color w:val="0070C0"/>
              </w:rPr>
              <w:t xml:space="preserve"> current assets</w:t>
            </w:r>
          </w:p>
        </w:tc>
        <w:tc>
          <w:tcPr>
            <w:tcW w:w="1567" w:type="dxa"/>
          </w:tcPr>
          <w:p w:rsidR="009C3341" w:rsidRPr="007200A8" w:rsidRDefault="00E06412" w:rsidP="00034DA5">
            <w:pPr>
              <w:rPr>
                <w:b/>
              </w:rPr>
            </w:pPr>
            <w:r w:rsidRPr="007200A8">
              <w:rPr>
                <w:b/>
                <w:color w:val="E36C0A" w:themeColor="accent6" w:themeShade="BF"/>
              </w:rPr>
              <w:t>Change</w:t>
            </w:r>
          </w:p>
        </w:tc>
      </w:tr>
      <w:tr w:rsidR="00992228" w:rsidTr="006D3957">
        <w:trPr>
          <w:trHeight w:val="458"/>
        </w:trPr>
        <w:tc>
          <w:tcPr>
            <w:tcW w:w="810" w:type="dxa"/>
          </w:tcPr>
          <w:p w:rsidR="00992228" w:rsidRDefault="00992228" w:rsidP="00034DA5">
            <w:pPr>
              <w:ind w:left="360"/>
            </w:pPr>
            <w:r>
              <w:t>18</w:t>
            </w:r>
          </w:p>
        </w:tc>
        <w:tc>
          <w:tcPr>
            <w:tcW w:w="4410" w:type="dxa"/>
          </w:tcPr>
          <w:p w:rsidR="00992228" w:rsidRPr="007200A8" w:rsidRDefault="00992228" w:rsidP="00A3644C">
            <w:pPr>
              <w:ind w:left="360"/>
              <w:rPr>
                <w:b/>
                <w:color w:val="C00000"/>
              </w:rPr>
            </w:pPr>
            <w:r w:rsidRPr="007200A8">
              <w:rPr>
                <w:b/>
                <w:color w:val="C00000"/>
              </w:rPr>
              <w:t xml:space="preserve">“Sundry </w:t>
            </w:r>
            <w:r w:rsidR="00A3644C">
              <w:rPr>
                <w:b/>
                <w:color w:val="C00000"/>
              </w:rPr>
              <w:t xml:space="preserve"> Creditors</w:t>
            </w:r>
            <w:r w:rsidRPr="007200A8">
              <w:rPr>
                <w:b/>
                <w:color w:val="C00000"/>
              </w:rPr>
              <w:t xml:space="preserve">” </w:t>
            </w:r>
            <w:r>
              <w:rPr>
                <w:b/>
                <w:color w:val="C00000"/>
              </w:rPr>
              <w:t>is</w:t>
            </w:r>
            <w:r w:rsidRPr="007200A8">
              <w:rPr>
                <w:b/>
                <w:color w:val="C00000"/>
              </w:rPr>
              <w:t xml:space="preserve"> used  </w:t>
            </w:r>
            <w:r w:rsidR="007D4ACE">
              <w:rPr>
                <w:b/>
                <w:color w:val="C00000"/>
              </w:rPr>
              <w:t>under current liabilities</w:t>
            </w:r>
          </w:p>
        </w:tc>
        <w:tc>
          <w:tcPr>
            <w:tcW w:w="4103" w:type="dxa"/>
          </w:tcPr>
          <w:p w:rsidR="00992228" w:rsidRPr="007200A8" w:rsidRDefault="00992228" w:rsidP="005B49A0">
            <w:pPr>
              <w:ind w:left="360"/>
              <w:rPr>
                <w:b/>
                <w:color w:val="0070C0"/>
              </w:rPr>
            </w:pPr>
            <w:r w:rsidRPr="007200A8">
              <w:rPr>
                <w:b/>
                <w:color w:val="0070C0"/>
              </w:rPr>
              <w:t xml:space="preserve">“Trade </w:t>
            </w:r>
            <w:r>
              <w:rPr>
                <w:b/>
                <w:color w:val="0070C0"/>
              </w:rPr>
              <w:t>Payable</w:t>
            </w:r>
            <w:r w:rsidRPr="007200A8">
              <w:rPr>
                <w:b/>
                <w:color w:val="0070C0"/>
              </w:rPr>
              <w:t xml:space="preserve">” </w:t>
            </w:r>
            <w:r>
              <w:rPr>
                <w:b/>
                <w:color w:val="0070C0"/>
              </w:rPr>
              <w:t>is</w:t>
            </w:r>
            <w:r w:rsidRPr="007200A8">
              <w:rPr>
                <w:b/>
                <w:color w:val="0070C0"/>
              </w:rPr>
              <w:t xml:space="preserve"> used</w:t>
            </w:r>
            <w:r w:rsidR="005B49A0">
              <w:rPr>
                <w:b/>
                <w:color w:val="0070C0"/>
              </w:rPr>
              <w:t xml:space="preserve"> current liabilities</w:t>
            </w:r>
          </w:p>
        </w:tc>
        <w:tc>
          <w:tcPr>
            <w:tcW w:w="1567" w:type="dxa"/>
          </w:tcPr>
          <w:p w:rsidR="00992228" w:rsidRPr="007200A8" w:rsidRDefault="00992228" w:rsidP="007D4ACE">
            <w:pPr>
              <w:rPr>
                <w:b/>
              </w:rPr>
            </w:pPr>
            <w:r w:rsidRPr="007200A8">
              <w:rPr>
                <w:b/>
                <w:color w:val="E36C0A" w:themeColor="accent6" w:themeShade="BF"/>
              </w:rPr>
              <w:t>Change</w:t>
            </w:r>
          </w:p>
        </w:tc>
      </w:tr>
      <w:tr w:rsidR="00992228" w:rsidTr="007D4ACE">
        <w:trPr>
          <w:trHeight w:val="458"/>
        </w:trPr>
        <w:tc>
          <w:tcPr>
            <w:tcW w:w="10890" w:type="dxa"/>
            <w:gridSpan w:val="4"/>
          </w:tcPr>
          <w:p w:rsidR="00992228" w:rsidRPr="007200A8" w:rsidRDefault="00992228" w:rsidP="008101A3">
            <w:pPr>
              <w:pStyle w:val="Heading1"/>
              <w:jc w:val="center"/>
              <w:outlineLvl w:val="0"/>
              <w:rPr>
                <w:color w:val="auto"/>
              </w:rPr>
            </w:pPr>
            <w:r w:rsidRPr="007200A8">
              <w:rPr>
                <w:color w:val="auto"/>
              </w:rPr>
              <w:t>Part II Schedule VI – Profit and loss a/c</w:t>
            </w:r>
          </w:p>
        </w:tc>
      </w:tr>
      <w:tr w:rsidR="00992228" w:rsidTr="006D3957">
        <w:trPr>
          <w:trHeight w:val="458"/>
        </w:trPr>
        <w:tc>
          <w:tcPr>
            <w:tcW w:w="810" w:type="dxa"/>
          </w:tcPr>
          <w:p w:rsidR="00992228" w:rsidRDefault="00992228" w:rsidP="00034DA5">
            <w:pPr>
              <w:ind w:left="360"/>
            </w:pPr>
            <w:r>
              <w:t>1</w:t>
            </w:r>
          </w:p>
        </w:tc>
        <w:tc>
          <w:tcPr>
            <w:tcW w:w="4410" w:type="dxa"/>
          </w:tcPr>
          <w:p w:rsidR="00992228" w:rsidRPr="007200A8" w:rsidRDefault="00992228" w:rsidP="00034DA5">
            <w:pPr>
              <w:ind w:left="360"/>
              <w:rPr>
                <w:b/>
                <w:color w:val="C00000"/>
              </w:rPr>
            </w:pPr>
            <w:r w:rsidRPr="007200A8">
              <w:rPr>
                <w:b/>
                <w:color w:val="C00000"/>
              </w:rPr>
              <w:t xml:space="preserve">Profit and loss account </w:t>
            </w:r>
          </w:p>
        </w:tc>
        <w:tc>
          <w:tcPr>
            <w:tcW w:w="4103" w:type="dxa"/>
          </w:tcPr>
          <w:p w:rsidR="00992228" w:rsidRPr="007200A8" w:rsidRDefault="00992228" w:rsidP="00034DA5">
            <w:pPr>
              <w:ind w:left="360"/>
              <w:rPr>
                <w:b/>
                <w:color w:val="0070C0"/>
              </w:rPr>
            </w:pPr>
            <w:r w:rsidRPr="007200A8">
              <w:rPr>
                <w:b/>
                <w:color w:val="0070C0"/>
              </w:rPr>
              <w:t>It is a Statement of Profit and Loss and not an account</w:t>
            </w:r>
          </w:p>
        </w:tc>
        <w:tc>
          <w:tcPr>
            <w:tcW w:w="1567" w:type="dxa"/>
          </w:tcPr>
          <w:p w:rsidR="00992228" w:rsidRPr="007200A8" w:rsidRDefault="00992228" w:rsidP="00034DA5">
            <w:pPr>
              <w:rPr>
                <w:b/>
              </w:rPr>
            </w:pPr>
            <w:r w:rsidRPr="007200A8">
              <w:rPr>
                <w:b/>
                <w:color w:val="E36C0A" w:themeColor="accent6" w:themeShade="BF"/>
              </w:rPr>
              <w:t>Change</w:t>
            </w:r>
          </w:p>
        </w:tc>
      </w:tr>
      <w:tr w:rsidR="00992228" w:rsidTr="006D3957">
        <w:trPr>
          <w:trHeight w:val="458"/>
        </w:trPr>
        <w:tc>
          <w:tcPr>
            <w:tcW w:w="810" w:type="dxa"/>
          </w:tcPr>
          <w:p w:rsidR="00992228" w:rsidRDefault="00992228" w:rsidP="00034DA5">
            <w:pPr>
              <w:ind w:left="360"/>
            </w:pPr>
            <w:r>
              <w:t>2</w:t>
            </w:r>
          </w:p>
        </w:tc>
        <w:tc>
          <w:tcPr>
            <w:tcW w:w="4410" w:type="dxa"/>
          </w:tcPr>
          <w:p w:rsidR="00992228" w:rsidRPr="007200A8" w:rsidRDefault="00992228" w:rsidP="00034DA5">
            <w:pPr>
              <w:ind w:left="360"/>
              <w:rPr>
                <w:b/>
                <w:color w:val="C00000"/>
              </w:rPr>
            </w:pPr>
            <w:r w:rsidRPr="007200A8">
              <w:rPr>
                <w:b/>
                <w:color w:val="C00000"/>
              </w:rPr>
              <w:t>No such classification</w:t>
            </w:r>
          </w:p>
        </w:tc>
        <w:tc>
          <w:tcPr>
            <w:tcW w:w="4103" w:type="dxa"/>
          </w:tcPr>
          <w:p w:rsidR="00992228" w:rsidRPr="007200A8" w:rsidRDefault="00992228" w:rsidP="00034DA5">
            <w:pPr>
              <w:ind w:left="360"/>
              <w:rPr>
                <w:b/>
                <w:color w:val="0070C0"/>
              </w:rPr>
            </w:pPr>
            <w:r w:rsidRPr="007200A8">
              <w:rPr>
                <w:b/>
                <w:color w:val="0070C0"/>
              </w:rPr>
              <w:t xml:space="preserve">Revenue from operations is classified in respect of Non – finance and Finance company. </w:t>
            </w:r>
          </w:p>
        </w:tc>
        <w:tc>
          <w:tcPr>
            <w:tcW w:w="1567" w:type="dxa"/>
          </w:tcPr>
          <w:p w:rsidR="00992228" w:rsidRPr="007200A8" w:rsidRDefault="00992228" w:rsidP="00034DA5">
            <w:pPr>
              <w:rPr>
                <w:b/>
              </w:rPr>
            </w:pPr>
            <w:r w:rsidRPr="007200A8">
              <w:rPr>
                <w:b/>
                <w:color w:val="E36C0A" w:themeColor="accent6" w:themeShade="BF"/>
              </w:rPr>
              <w:t>Change</w:t>
            </w:r>
          </w:p>
        </w:tc>
      </w:tr>
      <w:tr w:rsidR="00992228" w:rsidTr="006D3957">
        <w:trPr>
          <w:trHeight w:val="458"/>
        </w:trPr>
        <w:tc>
          <w:tcPr>
            <w:tcW w:w="810" w:type="dxa"/>
          </w:tcPr>
          <w:p w:rsidR="00992228" w:rsidRDefault="00992228" w:rsidP="00034DA5">
            <w:pPr>
              <w:ind w:left="360"/>
            </w:pPr>
            <w:r>
              <w:t>3</w:t>
            </w:r>
          </w:p>
        </w:tc>
        <w:tc>
          <w:tcPr>
            <w:tcW w:w="4410" w:type="dxa"/>
          </w:tcPr>
          <w:p w:rsidR="00992228" w:rsidRPr="007200A8" w:rsidRDefault="00992228" w:rsidP="00034DA5">
            <w:pPr>
              <w:ind w:left="360"/>
              <w:rPr>
                <w:b/>
                <w:color w:val="C00000"/>
              </w:rPr>
            </w:pPr>
            <w:r w:rsidRPr="007200A8">
              <w:rPr>
                <w:b/>
                <w:color w:val="C00000"/>
              </w:rPr>
              <w:t>No such item</w:t>
            </w:r>
          </w:p>
        </w:tc>
        <w:tc>
          <w:tcPr>
            <w:tcW w:w="4103" w:type="dxa"/>
          </w:tcPr>
          <w:p w:rsidR="00992228" w:rsidRPr="007200A8" w:rsidRDefault="00992228" w:rsidP="005A7A0B">
            <w:pPr>
              <w:ind w:left="360"/>
              <w:rPr>
                <w:b/>
                <w:color w:val="0070C0"/>
              </w:rPr>
            </w:pPr>
            <w:r w:rsidRPr="007200A8">
              <w:rPr>
                <w:b/>
                <w:color w:val="0070C0"/>
              </w:rPr>
              <w:t xml:space="preserve">Net gain or loss on foreign currency translation and transaction ( other than considered as finance cost ) is added under other income head </w:t>
            </w:r>
          </w:p>
        </w:tc>
        <w:tc>
          <w:tcPr>
            <w:tcW w:w="1567" w:type="dxa"/>
          </w:tcPr>
          <w:p w:rsidR="00992228" w:rsidRPr="007200A8" w:rsidRDefault="00992228" w:rsidP="00034DA5">
            <w:pPr>
              <w:rPr>
                <w:b/>
              </w:rPr>
            </w:pPr>
            <w:r w:rsidRPr="007200A8">
              <w:rPr>
                <w:b/>
                <w:color w:val="00B050"/>
              </w:rPr>
              <w:t>New</w:t>
            </w:r>
          </w:p>
        </w:tc>
      </w:tr>
      <w:tr w:rsidR="00992228" w:rsidTr="006D3957">
        <w:trPr>
          <w:trHeight w:val="458"/>
        </w:trPr>
        <w:tc>
          <w:tcPr>
            <w:tcW w:w="810" w:type="dxa"/>
          </w:tcPr>
          <w:p w:rsidR="00992228" w:rsidRDefault="00992228" w:rsidP="00034DA5">
            <w:pPr>
              <w:ind w:left="360"/>
            </w:pPr>
            <w:r>
              <w:t>4</w:t>
            </w:r>
          </w:p>
        </w:tc>
        <w:tc>
          <w:tcPr>
            <w:tcW w:w="4410" w:type="dxa"/>
          </w:tcPr>
          <w:p w:rsidR="00992228" w:rsidRPr="007200A8" w:rsidRDefault="00992228" w:rsidP="00034DA5">
            <w:pPr>
              <w:ind w:left="360"/>
              <w:rPr>
                <w:b/>
                <w:color w:val="C00000"/>
              </w:rPr>
            </w:pPr>
            <w:r w:rsidRPr="007200A8">
              <w:rPr>
                <w:b/>
                <w:color w:val="C00000"/>
              </w:rPr>
              <w:t>No such item</w:t>
            </w:r>
          </w:p>
        </w:tc>
        <w:tc>
          <w:tcPr>
            <w:tcW w:w="4103" w:type="dxa"/>
          </w:tcPr>
          <w:p w:rsidR="00992228" w:rsidRPr="007200A8" w:rsidRDefault="00992228" w:rsidP="00034DA5">
            <w:pPr>
              <w:ind w:left="360"/>
              <w:rPr>
                <w:b/>
                <w:color w:val="0070C0"/>
              </w:rPr>
            </w:pPr>
            <w:r w:rsidRPr="007200A8">
              <w:rPr>
                <w:b/>
                <w:color w:val="0070C0"/>
              </w:rPr>
              <w:t xml:space="preserve">Expenses on ESOP and ESPP  in included in employee benefit expenses head </w:t>
            </w:r>
          </w:p>
        </w:tc>
        <w:tc>
          <w:tcPr>
            <w:tcW w:w="1567" w:type="dxa"/>
          </w:tcPr>
          <w:p w:rsidR="00992228" w:rsidRPr="007200A8" w:rsidRDefault="00992228" w:rsidP="00034DA5">
            <w:pPr>
              <w:rPr>
                <w:b/>
              </w:rPr>
            </w:pPr>
            <w:r w:rsidRPr="007200A8">
              <w:rPr>
                <w:b/>
                <w:color w:val="00B050"/>
              </w:rPr>
              <w:t>New</w:t>
            </w:r>
          </w:p>
        </w:tc>
      </w:tr>
      <w:tr w:rsidR="00992228" w:rsidTr="006D3957">
        <w:trPr>
          <w:trHeight w:val="458"/>
        </w:trPr>
        <w:tc>
          <w:tcPr>
            <w:tcW w:w="810" w:type="dxa"/>
          </w:tcPr>
          <w:p w:rsidR="00992228" w:rsidRDefault="00992228" w:rsidP="00034DA5">
            <w:pPr>
              <w:ind w:left="360"/>
            </w:pPr>
            <w:r>
              <w:t>5</w:t>
            </w:r>
          </w:p>
        </w:tc>
        <w:tc>
          <w:tcPr>
            <w:tcW w:w="4410" w:type="dxa"/>
          </w:tcPr>
          <w:p w:rsidR="00992228" w:rsidRPr="007200A8" w:rsidRDefault="00C806EA" w:rsidP="00034DA5">
            <w:pPr>
              <w:ind w:left="360"/>
              <w:rPr>
                <w:b/>
                <w:color w:val="C00000"/>
              </w:rPr>
            </w:pPr>
            <w:r w:rsidRPr="007200A8">
              <w:rPr>
                <w:b/>
                <w:color w:val="C00000"/>
              </w:rPr>
              <w:t>Any item under which expenses exceed 1 percent of total revenue or Rs.5000 whichever is higher , shall be shown separately and distinct item against an appropriate account head in P&amp; l account and shall not be combined with any other item under “ Miscellaneous expenditure”</w:t>
            </w:r>
          </w:p>
        </w:tc>
        <w:tc>
          <w:tcPr>
            <w:tcW w:w="4103" w:type="dxa"/>
          </w:tcPr>
          <w:p w:rsidR="00992228" w:rsidRPr="007200A8" w:rsidRDefault="00992228" w:rsidP="00325AE6">
            <w:pPr>
              <w:ind w:left="360"/>
              <w:rPr>
                <w:b/>
                <w:color w:val="0070C0"/>
              </w:rPr>
            </w:pPr>
            <w:r w:rsidRPr="007200A8">
              <w:rPr>
                <w:b/>
                <w:color w:val="0070C0"/>
              </w:rPr>
              <w:t>Any item under which income or expenses exceed 1 percent of total revenue or Rs.1,00,000 whichever is higher , shall be shown separately and distinct item against an appropriate account head in P&amp; l account and shall not be combined with any other item .</w:t>
            </w:r>
          </w:p>
        </w:tc>
        <w:tc>
          <w:tcPr>
            <w:tcW w:w="1567" w:type="dxa"/>
          </w:tcPr>
          <w:p w:rsidR="00992228" w:rsidRPr="007200A8" w:rsidRDefault="00992228" w:rsidP="00034DA5">
            <w:pPr>
              <w:rPr>
                <w:b/>
              </w:rPr>
            </w:pPr>
            <w:r w:rsidRPr="007200A8">
              <w:rPr>
                <w:b/>
                <w:color w:val="E36C0A" w:themeColor="accent6" w:themeShade="BF"/>
              </w:rPr>
              <w:t>Change</w:t>
            </w:r>
          </w:p>
        </w:tc>
      </w:tr>
      <w:tr w:rsidR="00992228" w:rsidTr="006D3957">
        <w:trPr>
          <w:trHeight w:val="458"/>
        </w:trPr>
        <w:tc>
          <w:tcPr>
            <w:tcW w:w="810" w:type="dxa"/>
          </w:tcPr>
          <w:p w:rsidR="00992228" w:rsidRDefault="00992228" w:rsidP="00034DA5">
            <w:pPr>
              <w:ind w:left="360"/>
            </w:pPr>
          </w:p>
        </w:tc>
        <w:tc>
          <w:tcPr>
            <w:tcW w:w="4410" w:type="dxa"/>
          </w:tcPr>
          <w:p w:rsidR="00992228" w:rsidRPr="007200A8" w:rsidRDefault="00992228" w:rsidP="00034DA5">
            <w:pPr>
              <w:ind w:left="360"/>
              <w:rPr>
                <w:b/>
                <w:color w:val="C00000"/>
              </w:rPr>
            </w:pPr>
          </w:p>
        </w:tc>
        <w:tc>
          <w:tcPr>
            <w:tcW w:w="4103" w:type="dxa"/>
          </w:tcPr>
          <w:p w:rsidR="00992228" w:rsidRPr="007200A8" w:rsidRDefault="00992228" w:rsidP="00325AE6">
            <w:pPr>
              <w:ind w:left="360"/>
              <w:rPr>
                <w:b/>
                <w:color w:val="0070C0"/>
              </w:rPr>
            </w:pPr>
          </w:p>
        </w:tc>
        <w:tc>
          <w:tcPr>
            <w:tcW w:w="1567" w:type="dxa"/>
          </w:tcPr>
          <w:p w:rsidR="00992228" w:rsidRPr="007200A8" w:rsidRDefault="00992228" w:rsidP="00034DA5">
            <w:pPr>
              <w:rPr>
                <w:b/>
                <w:color w:val="E36C0A" w:themeColor="accent6" w:themeShade="BF"/>
              </w:rPr>
            </w:pPr>
          </w:p>
        </w:tc>
      </w:tr>
      <w:tr w:rsidR="00992228" w:rsidTr="007D4ACE">
        <w:trPr>
          <w:trHeight w:val="458"/>
        </w:trPr>
        <w:tc>
          <w:tcPr>
            <w:tcW w:w="10890" w:type="dxa"/>
            <w:gridSpan w:val="4"/>
          </w:tcPr>
          <w:p w:rsidR="00992228" w:rsidRPr="007200A8" w:rsidRDefault="00992228" w:rsidP="008101A3">
            <w:pPr>
              <w:pStyle w:val="Heading2"/>
              <w:jc w:val="center"/>
              <w:outlineLvl w:val="1"/>
              <w:rPr>
                <w:color w:val="auto"/>
              </w:rPr>
            </w:pPr>
            <w:r w:rsidRPr="007200A8">
              <w:rPr>
                <w:color w:val="auto"/>
              </w:rPr>
              <w:t>Part III and IV Schedule VI –</w:t>
            </w:r>
            <w:r w:rsidRPr="007200A8">
              <w:rPr>
                <w:color w:val="auto"/>
                <w:sz w:val="28"/>
                <w:szCs w:val="28"/>
              </w:rPr>
              <w:t>interpretation and Balance Sheet Abstract.</w:t>
            </w:r>
          </w:p>
        </w:tc>
      </w:tr>
      <w:tr w:rsidR="00992228" w:rsidTr="006D3957">
        <w:trPr>
          <w:trHeight w:val="458"/>
        </w:trPr>
        <w:tc>
          <w:tcPr>
            <w:tcW w:w="810" w:type="dxa"/>
          </w:tcPr>
          <w:p w:rsidR="00992228" w:rsidRDefault="00992228" w:rsidP="00034DA5">
            <w:pPr>
              <w:ind w:left="360"/>
            </w:pPr>
            <w:r>
              <w:t>1</w:t>
            </w:r>
          </w:p>
        </w:tc>
        <w:tc>
          <w:tcPr>
            <w:tcW w:w="4410" w:type="dxa"/>
          </w:tcPr>
          <w:p w:rsidR="00992228" w:rsidRPr="007200A8" w:rsidRDefault="00992228" w:rsidP="00F150AF">
            <w:pPr>
              <w:autoSpaceDE w:val="0"/>
              <w:autoSpaceDN w:val="0"/>
              <w:adjustRightInd w:val="0"/>
              <w:rPr>
                <w:b/>
                <w:color w:val="C00000"/>
              </w:rPr>
            </w:pPr>
            <w:r w:rsidRPr="007200A8">
              <w:rPr>
                <w:b/>
                <w:color w:val="C00000"/>
              </w:rPr>
              <w:t>Part III to Sch VI deals with interpretation and Part IV deals with Balance Sheet Abstract.</w:t>
            </w:r>
          </w:p>
        </w:tc>
        <w:tc>
          <w:tcPr>
            <w:tcW w:w="4103" w:type="dxa"/>
          </w:tcPr>
          <w:p w:rsidR="00992228" w:rsidRPr="007200A8" w:rsidRDefault="00992228" w:rsidP="00F150AF">
            <w:pPr>
              <w:autoSpaceDE w:val="0"/>
              <w:autoSpaceDN w:val="0"/>
              <w:adjustRightInd w:val="0"/>
              <w:rPr>
                <w:b/>
              </w:rPr>
            </w:pPr>
            <w:r w:rsidRPr="007200A8">
              <w:rPr>
                <w:b/>
                <w:color w:val="0070C0"/>
              </w:rPr>
              <w:t xml:space="preserve">Part III and Part IV, which were earlier available in Sch VI (Old) has been </w:t>
            </w:r>
            <w:r w:rsidRPr="007200A8">
              <w:rPr>
                <w:b/>
                <w:color w:val="0070C0"/>
              </w:rPr>
              <w:lastRenderedPageBreak/>
              <w:t>dispensed with.</w:t>
            </w:r>
          </w:p>
        </w:tc>
        <w:tc>
          <w:tcPr>
            <w:tcW w:w="1567" w:type="dxa"/>
          </w:tcPr>
          <w:p w:rsidR="00992228" w:rsidRPr="007200A8" w:rsidRDefault="00992228" w:rsidP="00034DA5">
            <w:pPr>
              <w:rPr>
                <w:b/>
              </w:rPr>
            </w:pPr>
            <w:r w:rsidRPr="007200A8">
              <w:rPr>
                <w:b/>
                <w:color w:val="E36C0A" w:themeColor="accent6" w:themeShade="BF"/>
              </w:rPr>
              <w:lastRenderedPageBreak/>
              <w:t>Change</w:t>
            </w:r>
          </w:p>
        </w:tc>
      </w:tr>
    </w:tbl>
    <w:p w:rsidR="008A4EFD" w:rsidRPr="00A43E41" w:rsidRDefault="008A4EFD" w:rsidP="008A4EFD">
      <w:pPr>
        <w:pStyle w:val="Heading1"/>
        <w:rPr>
          <w:color w:val="auto"/>
          <w:sz w:val="24"/>
          <w:szCs w:val="24"/>
          <w:u w:val="single"/>
        </w:rPr>
      </w:pPr>
      <w:r w:rsidRPr="00A43E41">
        <w:rPr>
          <w:color w:val="auto"/>
          <w:sz w:val="24"/>
          <w:szCs w:val="24"/>
          <w:u w:val="single"/>
        </w:rPr>
        <w:lastRenderedPageBreak/>
        <w:t>Bring out the additions in the reporting requirements under</w:t>
      </w:r>
      <w:r w:rsidR="00A43E41" w:rsidRPr="00A43E41">
        <w:rPr>
          <w:color w:val="auto"/>
          <w:sz w:val="24"/>
          <w:szCs w:val="24"/>
          <w:u w:val="single"/>
        </w:rPr>
        <w:t xml:space="preserve"> Revised Sch VI </w:t>
      </w:r>
    </w:p>
    <w:p w:rsidR="008A4EFD" w:rsidRPr="002E02A0" w:rsidRDefault="008A4EFD" w:rsidP="008A4EF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2E02A0">
        <w:rPr>
          <w:rFonts w:ascii="Tahoma" w:hAnsi="Tahoma" w:cs="Tahoma"/>
        </w:rPr>
        <w:t>The following disclosure requirements were added in the Schedule VI (Revised) which were not available in erstwhile</w:t>
      </w:r>
      <w:r w:rsidR="00950232">
        <w:rPr>
          <w:rFonts w:ascii="Tahoma" w:hAnsi="Tahoma" w:cs="Tahoma"/>
        </w:rPr>
        <w:t xml:space="preserve"> </w:t>
      </w:r>
      <w:r w:rsidRPr="002E02A0">
        <w:rPr>
          <w:rFonts w:ascii="Tahoma" w:hAnsi="Tahoma" w:cs="Tahoma"/>
        </w:rPr>
        <w:t>Schedule VI (Old)</w:t>
      </w:r>
    </w:p>
    <w:p w:rsidR="008A4EFD" w:rsidRPr="002E02A0" w:rsidRDefault="008A4EFD" w:rsidP="008A4EF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8A4EFD" w:rsidRPr="002E02A0" w:rsidRDefault="008A4EFD" w:rsidP="008A4EFD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70C0"/>
        </w:rPr>
      </w:pPr>
      <w:r w:rsidRPr="002E02A0">
        <w:rPr>
          <w:rFonts w:ascii="Tahoma" w:hAnsi="Tahoma" w:cs="Tahoma"/>
          <w:color w:val="0070C0"/>
        </w:rPr>
        <w:t xml:space="preserve">1. </w:t>
      </w:r>
      <w:r w:rsidRPr="002E02A0">
        <w:rPr>
          <w:rFonts w:ascii="Tahoma,Bold" w:hAnsi="Tahoma,Bold" w:cs="Tahoma,Bold"/>
          <w:b/>
          <w:bCs/>
          <w:color w:val="0070C0"/>
        </w:rPr>
        <w:t>Share Capital:</w:t>
      </w:r>
    </w:p>
    <w:p w:rsidR="008A4EFD" w:rsidRPr="002E02A0" w:rsidRDefault="008A4EFD" w:rsidP="008A4EF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70C0"/>
        </w:rPr>
      </w:pPr>
      <w:r w:rsidRPr="002E02A0">
        <w:rPr>
          <w:rFonts w:ascii="Tahoma" w:hAnsi="Tahoma" w:cs="Tahoma"/>
          <w:color w:val="0070C0"/>
        </w:rPr>
        <w:t>(a) Reconciliation of Number of Shares issued at the beginning and at the end of the reporting period is required.</w:t>
      </w:r>
    </w:p>
    <w:p w:rsidR="008A4EFD" w:rsidRPr="002E02A0" w:rsidRDefault="008A4EFD" w:rsidP="008A4EF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70C0"/>
        </w:rPr>
      </w:pPr>
    </w:p>
    <w:p w:rsidR="008A4EFD" w:rsidRPr="002E02A0" w:rsidRDefault="008A4EFD" w:rsidP="008A4EF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70C0"/>
        </w:rPr>
      </w:pPr>
      <w:r w:rsidRPr="002E02A0">
        <w:rPr>
          <w:rFonts w:ascii="Tahoma" w:hAnsi="Tahoma" w:cs="Tahoma"/>
          <w:color w:val="0070C0"/>
        </w:rPr>
        <w:t>(b) Disclosure of Shares held by each Shareholder holding more than 5% shares specifying the Number of Shares held.</w:t>
      </w:r>
    </w:p>
    <w:p w:rsidR="008A4EFD" w:rsidRPr="002E02A0" w:rsidRDefault="008A4EFD" w:rsidP="008A4EF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70C0"/>
        </w:rPr>
      </w:pPr>
    </w:p>
    <w:p w:rsidR="008A4EFD" w:rsidRPr="002E02A0" w:rsidRDefault="008A4EFD" w:rsidP="008A4EF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70C0"/>
        </w:rPr>
      </w:pPr>
      <w:r w:rsidRPr="002E02A0">
        <w:rPr>
          <w:rFonts w:ascii="Tahoma" w:hAnsi="Tahoma" w:cs="Tahoma"/>
          <w:color w:val="0070C0"/>
        </w:rPr>
        <w:t xml:space="preserve">2. </w:t>
      </w:r>
      <w:r w:rsidRPr="002E02A0">
        <w:rPr>
          <w:rFonts w:ascii="Tahoma,Bold" w:hAnsi="Tahoma,Bold" w:cs="Tahoma,Bold"/>
          <w:b/>
          <w:bCs/>
          <w:color w:val="0070C0"/>
        </w:rPr>
        <w:t xml:space="preserve">Share application money pending allotment: </w:t>
      </w:r>
      <w:r w:rsidRPr="002E02A0">
        <w:rPr>
          <w:rFonts w:ascii="Tahoma" w:hAnsi="Tahoma" w:cs="Tahoma"/>
          <w:color w:val="0070C0"/>
        </w:rPr>
        <w:t>Detailed disclosure as regards to Number of Shares issued, the</w:t>
      </w:r>
    </w:p>
    <w:p w:rsidR="008A4EFD" w:rsidRPr="002E02A0" w:rsidRDefault="008A4EFD" w:rsidP="008A4EF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70C0"/>
        </w:rPr>
      </w:pPr>
      <w:r w:rsidRPr="002E02A0">
        <w:rPr>
          <w:rFonts w:ascii="Tahoma" w:hAnsi="Tahoma" w:cs="Tahoma"/>
          <w:color w:val="0070C0"/>
        </w:rPr>
        <w:t>Amount of Premium, etc., shall be disclosed.</w:t>
      </w:r>
    </w:p>
    <w:p w:rsidR="008A4EFD" w:rsidRPr="002E02A0" w:rsidRDefault="008A4EFD" w:rsidP="008A4EF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70C0"/>
        </w:rPr>
      </w:pPr>
    </w:p>
    <w:p w:rsidR="008A4EFD" w:rsidRPr="002E02A0" w:rsidRDefault="008A4EFD" w:rsidP="008A4EF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70C0"/>
        </w:rPr>
      </w:pPr>
      <w:r w:rsidRPr="002E02A0">
        <w:rPr>
          <w:rFonts w:ascii="Tahoma" w:hAnsi="Tahoma" w:cs="Tahoma"/>
          <w:color w:val="0070C0"/>
        </w:rPr>
        <w:t xml:space="preserve">3. </w:t>
      </w:r>
      <w:r w:rsidRPr="002E02A0">
        <w:rPr>
          <w:rFonts w:ascii="Tahoma,Bold" w:hAnsi="Tahoma,Bold" w:cs="Tahoma,Bold"/>
          <w:b/>
          <w:bCs/>
          <w:color w:val="0070C0"/>
        </w:rPr>
        <w:t xml:space="preserve">Loan Funds: </w:t>
      </w:r>
      <w:r w:rsidRPr="002E02A0">
        <w:rPr>
          <w:rFonts w:ascii="Tahoma" w:hAnsi="Tahoma" w:cs="Tahoma"/>
          <w:color w:val="0070C0"/>
        </w:rPr>
        <w:t>Period and amount of continuing default as on the Balance Sheet date in repayment of loans and interest</w:t>
      </w:r>
      <w:r w:rsidR="00EC248E">
        <w:rPr>
          <w:rFonts w:ascii="Tahoma" w:hAnsi="Tahoma" w:cs="Tahoma"/>
          <w:color w:val="0070C0"/>
        </w:rPr>
        <w:t xml:space="preserve"> </w:t>
      </w:r>
      <w:r w:rsidRPr="002E02A0">
        <w:rPr>
          <w:rFonts w:ascii="Tahoma" w:hAnsi="Tahoma" w:cs="Tahoma"/>
          <w:color w:val="0070C0"/>
        </w:rPr>
        <w:t>shall be specified separately.</w:t>
      </w:r>
    </w:p>
    <w:p w:rsidR="008A4EFD" w:rsidRPr="002E02A0" w:rsidRDefault="008A4EFD" w:rsidP="008A4EF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70C0"/>
        </w:rPr>
      </w:pPr>
    </w:p>
    <w:p w:rsidR="008A4EFD" w:rsidRPr="002E02A0" w:rsidRDefault="008A4EFD" w:rsidP="008A4EF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70C0"/>
        </w:rPr>
      </w:pPr>
      <w:r w:rsidRPr="002E02A0">
        <w:rPr>
          <w:rFonts w:ascii="Tahoma" w:hAnsi="Tahoma" w:cs="Tahoma"/>
          <w:color w:val="0070C0"/>
        </w:rPr>
        <w:t xml:space="preserve">4. </w:t>
      </w:r>
      <w:r w:rsidRPr="002E02A0">
        <w:rPr>
          <w:rFonts w:ascii="Tahoma,Bold" w:hAnsi="Tahoma,Bold" w:cs="Tahoma,Bold"/>
          <w:b/>
          <w:bCs/>
          <w:color w:val="0070C0"/>
        </w:rPr>
        <w:t xml:space="preserve">Other Liabilities and Provisions: </w:t>
      </w:r>
      <w:r w:rsidRPr="002E02A0">
        <w:rPr>
          <w:rFonts w:ascii="Tahoma" w:hAnsi="Tahoma" w:cs="Tahoma"/>
          <w:color w:val="0070C0"/>
        </w:rPr>
        <w:t>The amount of Dividend Proposed to be distributed to Equity and Preference</w:t>
      </w:r>
      <w:r w:rsidR="00EC248E">
        <w:rPr>
          <w:rFonts w:ascii="Tahoma" w:hAnsi="Tahoma" w:cs="Tahoma"/>
          <w:color w:val="0070C0"/>
        </w:rPr>
        <w:t xml:space="preserve"> </w:t>
      </w:r>
      <w:r w:rsidRPr="002E02A0">
        <w:rPr>
          <w:rFonts w:ascii="Tahoma" w:hAnsi="Tahoma" w:cs="Tahoma"/>
          <w:color w:val="0070C0"/>
        </w:rPr>
        <w:t>Shareholders for the period and the related amount per share shall be disclosed separately in the Notes on Accounts.</w:t>
      </w:r>
    </w:p>
    <w:p w:rsidR="008A4EFD" w:rsidRPr="002E02A0" w:rsidRDefault="008A4EFD" w:rsidP="008A4EF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70C0"/>
        </w:rPr>
      </w:pPr>
    </w:p>
    <w:p w:rsidR="008A4EFD" w:rsidRPr="002E02A0" w:rsidRDefault="008A4EFD" w:rsidP="008A4EFD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70C0"/>
        </w:rPr>
      </w:pPr>
      <w:r w:rsidRPr="002E02A0">
        <w:rPr>
          <w:rFonts w:ascii="Tahoma" w:hAnsi="Tahoma" w:cs="Tahoma"/>
          <w:color w:val="0070C0"/>
        </w:rPr>
        <w:t xml:space="preserve">5. </w:t>
      </w:r>
      <w:r w:rsidRPr="002E02A0">
        <w:rPr>
          <w:rFonts w:ascii="Tahoma,Bold" w:hAnsi="Tahoma,Bold" w:cs="Tahoma,Bold"/>
          <w:b/>
          <w:bCs/>
          <w:color w:val="0070C0"/>
        </w:rPr>
        <w:t>Other Assets, Loans and Advances:</w:t>
      </w:r>
    </w:p>
    <w:p w:rsidR="008A4EFD" w:rsidRPr="002E02A0" w:rsidRDefault="008A4EFD" w:rsidP="008A4EFD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70C0"/>
        </w:rPr>
      </w:pPr>
    </w:p>
    <w:p w:rsidR="008A4EFD" w:rsidRPr="002E02A0" w:rsidRDefault="008A4EFD" w:rsidP="008A4EF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70C0"/>
        </w:rPr>
      </w:pPr>
      <w:r w:rsidRPr="002E02A0">
        <w:rPr>
          <w:rFonts w:ascii="Tahoma" w:hAnsi="Tahoma" w:cs="Tahoma"/>
          <w:color w:val="0070C0"/>
        </w:rPr>
        <w:t>(a) Repatriation restrictions, if any, in respect of cash and bank balances shall be separately stated.</w:t>
      </w:r>
    </w:p>
    <w:p w:rsidR="008A4EFD" w:rsidRPr="002E02A0" w:rsidRDefault="008A4EFD" w:rsidP="008A4EF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70C0"/>
        </w:rPr>
      </w:pPr>
      <w:r w:rsidRPr="002E02A0">
        <w:rPr>
          <w:rFonts w:ascii="Tahoma" w:hAnsi="Tahoma" w:cs="Tahoma"/>
          <w:color w:val="0070C0"/>
        </w:rPr>
        <w:t>(b) Bank Deposits with more than 12 months maturity shall be disclosed separately.</w:t>
      </w:r>
    </w:p>
    <w:p w:rsidR="008A4EFD" w:rsidRPr="002E02A0" w:rsidRDefault="008A4EFD" w:rsidP="008A4EF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70C0"/>
        </w:rPr>
      </w:pPr>
    </w:p>
    <w:p w:rsidR="004D730C" w:rsidRDefault="008A4EFD" w:rsidP="00EC248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B050"/>
          <w:sz w:val="18"/>
          <w:szCs w:val="18"/>
        </w:rPr>
      </w:pPr>
      <w:r w:rsidRPr="002E02A0">
        <w:rPr>
          <w:rFonts w:ascii="Tahoma" w:hAnsi="Tahoma" w:cs="Tahoma"/>
          <w:color w:val="0070C0"/>
        </w:rPr>
        <w:t xml:space="preserve">6. </w:t>
      </w:r>
      <w:r w:rsidRPr="002E02A0">
        <w:rPr>
          <w:rFonts w:ascii="Tahoma,Bold" w:hAnsi="Tahoma,Bold" w:cs="Tahoma,Bold"/>
          <w:b/>
          <w:bCs/>
          <w:color w:val="0070C0"/>
        </w:rPr>
        <w:t xml:space="preserve">Employee Benefit Expenses: </w:t>
      </w:r>
      <w:r w:rsidRPr="002E02A0">
        <w:rPr>
          <w:rFonts w:ascii="Tahoma" w:hAnsi="Tahoma" w:cs="Tahoma"/>
          <w:color w:val="0070C0"/>
        </w:rPr>
        <w:t>Information about expense on ESOP and Employee Stock Purchase Plan to be</w:t>
      </w:r>
      <w:r w:rsidR="00EC248E">
        <w:rPr>
          <w:rFonts w:ascii="Tahoma" w:hAnsi="Tahoma" w:cs="Tahoma"/>
          <w:color w:val="0070C0"/>
        </w:rPr>
        <w:t xml:space="preserve"> </w:t>
      </w:r>
      <w:r w:rsidRPr="002E02A0">
        <w:rPr>
          <w:rFonts w:ascii="Tahoma" w:hAnsi="Tahoma" w:cs="Tahoma"/>
          <w:color w:val="0070C0"/>
        </w:rPr>
        <w:t>disclosed</w:t>
      </w:r>
      <w:r w:rsidRPr="008A4EFD">
        <w:rPr>
          <w:rFonts w:ascii="Tahoma" w:hAnsi="Tahoma" w:cs="Tahoma"/>
          <w:color w:val="00B050"/>
          <w:sz w:val="18"/>
          <w:szCs w:val="18"/>
        </w:rPr>
        <w:t>.</w:t>
      </w:r>
    </w:p>
    <w:p w:rsidR="007200A8" w:rsidRDefault="007200A8" w:rsidP="00EC248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B050"/>
          <w:sz w:val="18"/>
          <w:szCs w:val="18"/>
        </w:rPr>
      </w:pPr>
    </w:p>
    <w:p w:rsidR="007200A8" w:rsidRDefault="007200A8" w:rsidP="00EC248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B050"/>
          <w:sz w:val="18"/>
          <w:szCs w:val="18"/>
        </w:rPr>
      </w:pPr>
    </w:p>
    <w:p w:rsidR="007200A8" w:rsidRDefault="007200A8" w:rsidP="00EC248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B050"/>
          <w:sz w:val="18"/>
          <w:szCs w:val="18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86613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  <w:r w:rsidRPr="00866135">
        <w:rPr>
          <w:noProof/>
          <w:color w:val="0070C0"/>
        </w:rPr>
        <w:lastRenderedPageBreak/>
        <w:drawing>
          <wp:inline distT="0" distB="0" distL="0" distR="0">
            <wp:extent cx="5943600" cy="4426585"/>
            <wp:effectExtent l="0" t="0" r="0" b="0"/>
            <wp:docPr id="2" name="Object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839200" cy="6583362"/>
                      <a:chOff x="0" y="274638"/>
                      <a:chExt cx="8839200" cy="6583362"/>
                    </a:xfrm>
                  </a:grpSpPr>
                  <a:sp>
                    <a:nvSpPr>
                      <a:cNvPr id="2" name="Title 1"/>
                      <a:cNvSpPr>
                        <a:spLocks noGrp="1"/>
                      </a:cNvSpPr>
                    </a:nvSpPr>
                    <a:spPr>
                      <a:xfrm>
                        <a:off x="457200" y="274638"/>
                        <a:ext cx="8229600" cy="11430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>
                          <a:normAutofit/>
                        </a:bodyPr>
                        <a:lstStyle>
                          <a:lvl1pPr algn="ctr" defTabSz="914400" rtl="0" eaLnBrk="1" latinLnBrk="0" hangingPunct="1">
                            <a:spcBef>
                              <a:spcPct val="0"/>
                            </a:spcBef>
                            <a:buNone/>
                            <a:defRPr sz="4400" kern="1200">
                              <a:solidFill>
                                <a:schemeClr val="tx1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</a:lstStyle>
                        <a:p>
                          <a:r>
                            <a:rPr lang="en-US" i="1" dirty="0" smtClean="0">
                              <a:solidFill>
                                <a:srgbClr val="000099"/>
                              </a:solidFill>
                              <a:latin typeface="Arial Rounded MT Bold" pitchFamily="34" charset="0"/>
                              <a:cs typeface="Arial" pitchFamily="34" charset="0"/>
                            </a:rPr>
                            <a:t>COMPARISON OF </a:t>
                          </a:r>
                          <a:r>
                            <a:rPr lang="en-US" b="1" i="1" dirty="0" smtClean="0">
                              <a:solidFill>
                                <a:srgbClr val="000099"/>
                              </a:solidFill>
                              <a:latin typeface="Arial Rounded MT Bold" pitchFamily="34" charset="0"/>
                              <a:cs typeface="Arial" pitchFamily="34" charset="0"/>
                            </a:rPr>
                            <a:t>BS</a:t>
                          </a:r>
                          <a:endParaRPr lang="en-US" b="1" i="1" dirty="0">
                            <a:solidFill>
                              <a:srgbClr val="000099"/>
                            </a:solidFill>
                            <a:latin typeface="Arial Rounded MT Bold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" name="Text Placeholder 2"/>
                      <a:cNvSpPr>
                        <a:spLocks noGrp="1"/>
                      </a:cNvSpPr>
                    </a:nvSpPr>
                    <a:spPr>
                      <a:xfrm>
                        <a:off x="0" y="1535113"/>
                        <a:ext cx="3429000" cy="639762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b">
                          <a:normAutofit/>
                        </a:bodyPr>
                        <a:lstStyle>
                          <a:lvl1pPr marL="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4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8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3200" dirty="0" smtClean="0">
                              <a:solidFill>
                                <a:srgbClr val="FF0000"/>
                              </a:solidFill>
                            </a:rPr>
                            <a:t>OLD SCHEDULE-VI</a:t>
                          </a:r>
                          <a:endParaRPr lang="en-US" sz="3200" dirty="0">
                            <a:solidFill>
                              <a:srgbClr val="FF0000"/>
                            </a:solidFill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" name="Content Placeholder 3"/>
                      <a:cNvSpPr>
                        <a:spLocks noGrp="1"/>
                      </a:cNvSpPr>
                    </a:nvSpPr>
                    <a:spPr>
                      <a:xfrm>
                        <a:off x="0" y="2057400"/>
                        <a:ext cx="2743200" cy="445452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>
                          <a:normAutofit fontScale="92500" lnSpcReduction="10000"/>
                        </a:bodyPr>
                        <a:lstStyle>
                          <a:lvl1pPr marL="342900" indent="-3429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–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1430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6002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–"/>
                            <a:defRPr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20574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»"/>
                            <a:defRPr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5146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9718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4290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8862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 dirty="0" smtClean="0"/>
                        </a:p>
                        <a:p>
                          <a:r>
                            <a:rPr lang="en-US" dirty="0" smtClean="0"/>
                            <a:t>SHARE HOLDER FUNDS</a:t>
                          </a:r>
                        </a:p>
                        <a:p>
                          <a:r>
                            <a:rPr lang="en-US" dirty="0" smtClean="0"/>
                            <a:t>BORROWINGS -LOAN FUNDS</a:t>
                          </a:r>
                        </a:p>
                        <a:p>
                          <a:r>
                            <a:rPr lang="en-US" dirty="0" smtClean="0"/>
                            <a:t>CURRENT LIABILITIES &amp; PROVISIONS</a:t>
                          </a:r>
                        </a:p>
                        <a:p>
                          <a:r>
                            <a:rPr lang="en-US" dirty="0" smtClean="0"/>
                            <a:t>FIXED ASSET</a:t>
                          </a:r>
                        </a:p>
                        <a:p>
                          <a:r>
                            <a:rPr lang="en-US" dirty="0" smtClean="0"/>
                            <a:t>INVESTMENTS</a:t>
                          </a:r>
                        </a:p>
                        <a:p>
                          <a:r>
                            <a:rPr lang="en-US" dirty="0" smtClean="0"/>
                            <a:t>LOANS AND ADVANCES</a:t>
                          </a:r>
                        </a:p>
                        <a:p>
                          <a:endParaRPr lang="en-US" dirty="0" smtClean="0"/>
                        </a:p>
                        <a:p>
                          <a:endParaRPr lang="en-US" dirty="0"/>
                        </a:p>
                      </a:txBody>
                      <a:useSpRect/>
                    </a:txSp>
                  </a:sp>
                  <a:sp>
                    <a:nvSpPr>
                      <a:cNvPr id="5" name="Text Placeholder 4"/>
                      <a:cNvSpPr>
                        <a:spLocks noGrp="1"/>
                      </a:cNvSpPr>
                    </a:nvSpPr>
                    <a:spPr>
                      <a:xfrm>
                        <a:off x="3886201" y="1535113"/>
                        <a:ext cx="4800600" cy="639762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b">
                          <a:normAutofit/>
                        </a:bodyPr>
                        <a:lstStyle>
                          <a:lvl1pPr marL="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4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8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3200" dirty="0" smtClean="0">
                              <a:solidFill>
                                <a:srgbClr val="FF0000"/>
                              </a:solidFill>
                            </a:rPr>
                            <a:t>REVISED SCHEDULE-VI</a:t>
                          </a:r>
                          <a:endParaRPr lang="en-US" sz="3200" dirty="0">
                            <a:solidFill>
                              <a:srgbClr val="FF0000"/>
                            </a:solidFill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" name="Content Placeholder 5"/>
                      <a:cNvSpPr>
                        <a:spLocks noGrp="1"/>
                      </a:cNvSpPr>
                    </a:nvSpPr>
                    <a:spPr>
                      <a:xfrm>
                        <a:off x="3505200" y="2327274"/>
                        <a:ext cx="5334000" cy="4530726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>
                          <a:noAutofit/>
                        </a:bodyPr>
                        <a:lstStyle>
                          <a:lvl1pPr marL="342900" indent="-3429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–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1430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6002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–"/>
                            <a:defRPr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20574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»"/>
                            <a:defRPr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5146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9718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4290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8862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2000" dirty="0" smtClean="0"/>
                            <a:t>SHARE HOLDERS FUNDS – SH.WARRANY, SH.APPLICATION, PENDING ALLOTMENT</a:t>
                          </a:r>
                        </a:p>
                        <a:p>
                          <a:r>
                            <a:rPr lang="en-US" sz="2000" dirty="0" smtClean="0"/>
                            <a:t>LONG TERM BORROWINGS &amp; SHORT TERM BORROWINGS</a:t>
                          </a:r>
                        </a:p>
                        <a:p>
                          <a:r>
                            <a:rPr lang="en-US" sz="2000" dirty="0" smtClean="0"/>
                            <a:t>NON-CURRENT &amp;  CURRENT LIABILITIES</a:t>
                          </a:r>
                        </a:p>
                        <a:p>
                          <a:r>
                            <a:rPr lang="en-US" sz="2000" dirty="0" smtClean="0"/>
                            <a:t> FIXED ASSETS - TANGIBLE, INTANGIBLE, CAPITAL WIP, INTANGIBLE UNDER DEVELOPMENT</a:t>
                          </a:r>
                        </a:p>
                        <a:p>
                          <a:r>
                            <a:rPr lang="en-US" sz="2000" dirty="0" smtClean="0"/>
                            <a:t>NON-CURRENT INVESTMENTS &amp; CURRENT INVESTMENTS</a:t>
                          </a:r>
                        </a:p>
                        <a:p>
                          <a:r>
                            <a:rPr lang="en-US" sz="2000" dirty="0" smtClean="0"/>
                            <a:t>LONG TERM &amp;  SHORT TERM LOANS  &amp; ADVANCES</a:t>
                          </a:r>
                          <a:endParaRPr lang="en-US" sz="2000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F82C55" w:rsidRDefault="00F82C5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7200A8" w:rsidRDefault="007200A8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  <w:r w:rsidRPr="007200A8">
        <w:rPr>
          <w:noProof/>
          <w:color w:val="0070C0"/>
        </w:rPr>
        <w:drawing>
          <wp:inline distT="0" distB="0" distL="0" distR="0">
            <wp:extent cx="6381750" cy="4362450"/>
            <wp:effectExtent l="0" t="0" r="0" b="0"/>
            <wp:docPr id="1" name="Objec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143999" cy="6202361"/>
                      <a:chOff x="0" y="274638"/>
                      <a:chExt cx="9143999" cy="6202361"/>
                    </a:xfrm>
                  </a:grpSpPr>
                  <a:sp>
                    <a:nvSpPr>
                      <a:cNvPr id="4" name="Title 3"/>
                      <a:cNvSpPr>
                        <a:spLocks noGrp="1"/>
                      </a:cNvSpPr>
                    </a:nvSpPr>
                    <a:spPr>
                      <a:xfrm>
                        <a:off x="457200" y="274638"/>
                        <a:ext cx="8229600" cy="11430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>
                          <a:normAutofit/>
                        </a:bodyPr>
                        <a:lstStyle>
                          <a:lvl1pPr algn="ctr" defTabSz="914400" rtl="0" eaLnBrk="1" latinLnBrk="0" hangingPunct="1">
                            <a:spcBef>
                              <a:spcPct val="0"/>
                            </a:spcBef>
                            <a:buNone/>
                            <a:defRPr sz="4400" kern="1200">
                              <a:solidFill>
                                <a:schemeClr val="tx1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</a:lstStyle>
                        <a:p>
                          <a:r>
                            <a:rPr lang="en-US" dirty="0" smtClean="0">
                              <a:solidFill>
                                <a:srgbClr val="FF0000"/>
                              </a:solidFill>
                              <a:latin typeface="Algerian" pitchFamily="82" charset="0"/>
                            </a:rPr>
                            <a:t>COMPARISON OF P&amp;L</a:t>
                          </a:r>
                          <a:endParaRPr lang="en-US" dirty="0">
                            <a:solidFill>
                              <a:srgbClr val="FF0000"/>
                            </a:solidFill>
                            <a:latin typeface="Algerian" pitchFamily="82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" name="Text Placeholder 4"/>
                      <a:cNvSpPr>
                        <a:spLocks noGrp="1"/>
                      </a:cNvSpPr>
                    </a:nvSpPr>
                    <a:spPr>
                      <a:xfrm>
                        <a:off x="0" y="1524000"/>
                        <a:ext cx="3733800" cy="639762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b">
                          <a:normAutofit/>
                        </a:bodyPr>
                        <a:lstStyle>
                          <a:lvl1pPr marL="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4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8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3200" dirty="0" smtClean="0">
                              <a:latin typeface="Algerian" pitchFamily="82" charset="0"/>
                            </a:rPr>
                            <a:t>OLD SCHEDULE-VI</a:t>
                          </a:r>
                          <a:endParaRPr lang="en-US" sz="3200" dirty="0">
                            <a:latin typeface="Algerian" pitchFamily="82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" name="Content Placeholder 5"/>
                      <a:cNvSpPr>
                        <a:spLocks noGrp="1"/>
                      </a:cNvSpPr>
                    </a:nvSpPr>
                    <a:spPr>
                      <a:xfrm>
                        <a:off x="228600" y="2174875"/>
                        <a:ext cx="2667000" cy="395128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>
                          <a:normAutofit/>
                        </a:bodyPr>
                        <a:lstStyle>
                          <a:lvl1pPr marL="342900" indent="-3429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–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1430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6002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–"/>
                            <a:defRPr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20574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»"/>
                            <a:defRPr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5146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9718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4290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8862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2000" dirty="0" smtClean="0">
                              <a:solidFill>
                                <a:srgbClr val="0000FF"/>
                              </a:solidFill>
                            </a:rPr>
                            <a:t>COST OF SALES </a:t>
                          </a:r>
                        </a:p>
                        <a:p>
                          <a:r>
                            <a:rPr lang="en-US" sz="2000" dirty="0" smtClean="0">
                              <a:solidFill>
                                <a:srgbClr val="0000FF"/>
                              </a:solidFill>
                            </a:rPr>
                            <a:t>INDIRECT EXPENSES</a:t>
                          </a:r>
                        </a:p>
                        <a:p>
                          <a:r>
                            <a:rPr lang="en-US" sz="2000" dirty="0" smtClean="0">
                              <a:solidFill>
                                <a:srgbClr val="0000FF"/>
                              </a:solidFill>
                            </a:rPr>
                            <a:t>STAFF WELFARE EXPENSES </a:t>
                          </a:r>
                        </a:p>
                        <a:p>
                          <a:r>
                            <a:rPr lang="en-US" sz="2000" dirty="0" smtClean="0">
                              <a:solidFill>
                                <a:srgbClr val="0000FF"/>
                              </a:solidFill>
                            </a:rPr>
                            <a:t>PBT</a:t>
                          </a:r>
                        </a:p>
                        <a:p>
                          <a:r>
                            <a:rPr lang="en-US" sz="2000" dirty="0" smtClean="0">
                              <a:solidFill>
                                <a:srgbClr val="0000FF"/>
                              </a:solidFill>
                            </a:rPr>
                            <a:t>PAT</a:t>
                          </a:r>
                        </a:p>
                        <a:p>
                          <a:r>
                            <a:rPr lang="en-US" sz="2000" dirty="0" smtClean="0">
                              <a:solidFill>
                                <a:srgbClr val="0000FF"/>
                              </a:solidFill>
                            </a:rPr>
                            <a:t>SURPLUS</a:t>
                          </a:r>
                          <a:endParaRPr lang="en-US" sz="2000" dirty="0">
                            <a:solidFill>
                              <a:srgbClr val="0000FF"/>
                            </a:solidFill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" name="Text Placeholder 6"/>
                      <a:cNvSpPr>
                        <a:spLocks noGrp="1"/>
                      </a:cNvSpPr>
                    </a:nvSpPr>
                    <a:spPr>
                      <a:xfrm>
                        <a:off x="3962401" y="1535113"/>
                        <a:ext cx="4724400" cy="639762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b">
                          <a:normAutofit/>
                        </a:bodyPr>
                        <a:lstStyle>
                          <a:lvl1pPr marL="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4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8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3200" dirty="0" smtClean="0">
                              <a:latin typeface="Algerian" pitchFamily="82" charset="0"/>
                            </a:rPr>
                            <a:t>REVISED SCHEDULE-VI</a:t>
                          </a:r>
                          <a:endParaRPr lang="en-US" sz="3200" dirty="0">
                            <a:latin typeface="Algerian" pitchFamily="82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" name="Content Placeholder 7"/>
                      <a:cNvSpPr>
                        <a:spLocks noGrp="1"/>
                      </a:cNvSpPr>
                    </a:nvSpPr>
                    <a:spPr>
                      <a:xfrm>
                        <a:off x="3886200" y="2174874"/>
                        <a:ext cx="5257799" cy="430212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>
                          <a:normAutofit/>
                        </a:bodyPr>
                        <a:lstStyle>
                          <a:lvl1pPr marL="342900" indent="-3429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–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1430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6002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–"/>
                            <a:defRPr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20574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»"/>
                            <a:defRPr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5146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9718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4290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8862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2000" dirty="0" smtClean="0">
                              <a:solidFill>
                                <a:srgbClr val="0000FF"/>
                              </a:solidFill>
                            </a:rPr>
                            <a:t>PURCHASES &amp;  CHANGES IN STOCK , DIRECT EXPENSES </a:t>
                          </a:r>
                        </a:p>
                        <a:p>
                          <a:r>
                            <a:rPr lang="en-US" sz="2000" dirty="0" smtClean="0">
                              <a:solidFill>
                                <a:srgbClr val="0000FF"/>
                              </a:solidFill>
                            </a:rPr>
                            <a:t>INDIRECT EXPENSES .</a:t>
                          </a:r>
                        </a:p>
                        <a:p>
                          <a:r>
                            <a:rPr lang="en-US" sz="2000" dirty="0" smtClean="0">
                              <a:solidFill>
                                <a:srgbClr val="0000FF"/>
                              </a:solidFill>
                            </a:rPr>
                            <a:t>EMPLOYEE BENEFIT EXPENSES.</a:t>
                          </a:r>
                        </a:p>
                        <a:p>
                          <a:r>
                            <a:rPr lang="en-US" sz="2000" dirty="0" smtClean="0">
                              <a:solidFill>
                                <a:srgbClr val="0000FF"/>
                              </a:solidFill>
                            </a:rPr>
                            <a:t>PROFIT BEFORE EXCEPTIONAL &amp; EXTRAORDINARY ITEMS &amp; TAX,</a:t>
                          </a:r>
                        </a:p>
                        <a:p>
                          <a:r>
                            <a:rPr lang="en-US" sz="2000" dirty="0" smtClean="0">
                              <a:solidFill>
                                <a:srgbClr val="0000FF"/>
                              </a:solidFill>
                            </a:rPr>
                            <a:t>PROFIT BEFORE EXTRAORDINARY ITEMS &amp; TAX.</a:t>
                          </a:r>
                        </a:p>
                        <a:p>
                          <a:r>
                            <a:rPr lang="en-US" sz="2000" dirty="0" smtClean="0">
                              <a:solidFill>
                                <a:srgbClr val="0000FF"/>
                              </a:solidFill>
                            </a:rPr>
                            <a:t>PBT. </a:t>
                          </a:r>
                        </a:p>
                        <a:p>
                          <a:r>
                            <a:rPr lang="en-US" sz="2000" dirty="0" smtClean="0">
                              <a:solidFill>
                                <a:srgbClr val="0000FF"/>
                              </a:solidFill>
                            </a:rPr>
                            <a:t>P/L DISCONTINUING OPERATION.</a:t>
                          </a:r>
                        </a:p>
                        <a:p>
                          <a:r>
                            <a:rPr lang="en-US" sz="2000" dirty="0" smtClean="0">
                              <a:solidFill>
                                <a:srgbClr val="0000FF"/>
                              </a:solidFill>
                            </a:rPr>
                            <a:t>EPS SHOULD BE SHOWN SEPARATELY     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66135" w:rsidRDefault="0086613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866135" w:rsidRDefault="0086613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866135" w:rsidRDefault="0086613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866135" w:rsidRDefault="0086613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866135" w:rsidRDefault="0086613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866135" w:rsidRDefault="0086613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866135" w:rsidRDefault="0086613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866135" w:rsidRDefault="0086613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866135" w:rsidRDefault="0086613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866135" w:rsidRDefault="0086613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866135" w:rsidRDefault="0086613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866135" w:rsidRDefault="0086613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866135" w:rsidRDefault="0086613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866135" w:rsidRDefault="0086613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866135" w:rsidRDefault="0086613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866135" w:rsidRDefault="00866135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7B2227" w:rsidRDefault="007B2227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7B2227" w:rsidRDefault="007B2227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p w:rsidR="007B2227" w:rsidRPr="008A4EFD" w:rsidRDefault="007B2227" w:rsidP="00EC248E">
      <w:pPr>
        <w:autoSpaceDE w:val="0"/>
        <w:autoSpaceDN w:val="0"/>
        <w:adjustRightInd w:val="0"/>
        <w:spacing w:after="0" w:line="240" w:lineRule="auto"/>
        <w:rPr>
          <w:color w:val="0070C0"/>
        </w:rPr>
      </w:pPr>
    </w:p>
    <w:sectPr w:rsidR="007B2227" w:rsidRPr="008A4EFD" w:rsidSect="00BE02E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ACE" w:rsidRDefault="007D4ACE" w:rsidP="007B2227">
      <w:pPr>
        <w:spacing w:after="0" w:line="240" w:lineRule="auto"/>
      </w:pPr>
      <w:r>
        <w:separator/>
      </w:r>
    </w:p>
  </w:endnote>
  <w:endnote w:type="continuationSeparator" w:id="1">
    <w:p w:rsidR="007D4ACE" w:rsidRDefault="007D4ACE" w:rsidP="007B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ahom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ACE" w:rsidRDefault="007D4ACE">
    <w:pPr>
      <w:pStyle w:val="Footer"/>
    </w:pPr>
    <w:r>
      <w:t xml:space="preserve">Indian XBRL Team </w:t>
    </w:r>
  </w:p>
  <w:p w:rsidR="007D4ACE" w:rsidRDefault="007D4ACE">
    <w:pPr>
      <w:pStyle w:val="Footer"/>
    </w:pPr>
    <w:r>
      <w:t>Grow together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ACE" w:rsidRDefault="007D4ACE" w:rsidP="007B2227">
      <w:pPr>
        <w:spacing w:after="0" w:line="240" w:lineRule="auto"/>
      </w:pPr>
      <w:r>
        <w:separator/>
      </w:r>
    </w:p>
  </w:footnote>
  <w:footnote w:type="continuationSeparator" w:id="1">
    <w:p w:rsidR="007D4ACE" w:rsidRDefault="007D4ACE" w:rsidP="007B22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1C70"/>
    <w:multiLevelType w:val="hybridMultilevel"/>
    <w:tmpl w:val="65D4DD5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B278DA"/>
    <w:multiLevelType w:val="hybridMultilevel"/>
    <w:tmpl w:val="48ECF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E5FFC"/>
    <w:multiLevelType w:val="hybridMultilevel"/>
    <w:tmpl w:val="CB725B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38428C"/>
    <w:multiLevelType w:val="hybridMultilevel"/>
    <w:tmpl w:val="0FF0CB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4516F4"/>
    <w:multiLevelType w:val="hybridMultilevel"/>
    <w:tmpl w:val="C122C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AC4568"/>
    <w:multiLevelType w:val="hybridMultilevel"/>
    <w:tmpl w:val="21C01B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20DA1"/>
    <w:rsid w:val="00020409"/>
    <w:rsid w:val="000230EB"/>
    <w:rsid w:val="00034DA5"/>
    <w:rsid w:val="0006443C"/>
    <w:rsid w:val="0006595A"/>
    <w:rsid w:val="00076098"/>
    <w:rsid w:val="00105959"/>
    <w:rsid w:val="00122F45"/>
    <w:rsid w:val="001654C7"/>
    <w:rsid w:val="001661AB"/>
    <w:rsid w:val="001A5958"/>
    <w:rsid w:val="001B499C"/>
    <w:rsid w:val="001B5A9F"/>
    <w:rsid w:val="001B7833"/>
    <w:rsid w:val="0021370B"/>
    <w:rsid w:val="002421ED"/>
    <w:rsid w:val="0028496F"/>
    <w:rsid w:val="00292EF0"/>
    <w:rsid w:val="002A57FC"/>
    <w:rsid w:val="002D642D"/>
    <w:rsid w:val="002E02A0"/>
    <w:rsid w:val="002E1445"/>
    <w:rsid w:val="002E3EF9"/>
    <w:rsid w:val="003147CB"/>
    <w:rsid w:val="00325AE6"/>
    <w:rsid w:val="00361F86"/>
    <w:rsid w:val="00390930"/>
    <w:rsid w:val="003D26F8"/>
    <w:rsid w:val="003D68D9"/>
    <w:rsid w:val="003F0A14"/>
    <w:rsid w:val="004176D2"/>
    <w:rsid w:val="004305D7"/>
    <w:rsid w:val="00447826"/>
    <w:rsid w:val="004757A4"/>
    <w:rsid w:val="00493926"/>
    <w:rsid w:val="004C5BE3"/>
    <w:rsid w:val="004D730C"/>
    <w:rsid w:val="004E1F9E"/>
    <w:rsid w:val="004E3CE8"/>
    <w:rsid w:val="004E6178"/>
    <w:rsid w:val="00521997"/>
    <w:rsid w:val="00526282"/>
    <w:rsid w:val="005323B7"/>
    <w:rsid w:val="005943DD"/>
    <w:rsid w:val="005A7A0B"/>
    <w:rsid w:val="005B49A0"/>
    <w:rsid w:val="005C390B"/>
    <w:rsid w:val="005C3A91"/>
    <w:rsid w:val="005C7381"/>
    <w:rsid w:val="0061131A"/>
    <w:rsid w:val="0069314A"/>
    <w:rsid w:val="006939BA"/>
    <w:rsid w:val="006952C7"/>
    <w:rsid w:val="006B45DD"/>
    <w:rsid w:val="006B6091"/>
    <w:rsid w:val="006D3957"/>
    <w:rsid w:val="006D3F14"/>
    <w:rsid w:val="00710584"/>
    <w:rsid w:val="007200A8"/>
    <w:rsid w:val="00724AAF"/>
    <w:rsid w:val="00746FF3"/>
    <w:rsid w:val="0074724C"/>
    <w:rsid w:val="007B2227"/>
    <w:rsid w:val="007D4ACE"/>
    <w:rsid w:val="007F6B01"/>
    <w:rsid w:val="008101A3"/>
    <w:rsid w:val="0081390C"/>
    <w:rsid w:val="00814A76"/>
    <w:rsid w:val="008200E4"/>
    <w:rsid w:val="00820DA1"/>
    <w:rsid w:val="00845D43"/>
    <w:rsid w:val="00866135"/>
    <w:rsid w:val="00867D43"/>
    <w:rsid w:val="00887689"/>
    <w:rsid w:val="008A4EFD"/>
    <w:rsid w:val="008B674A"/>
    <w:rsid w:val="008C76A6"/>
    <w:rsid w:val="008D345C"/>
    <w:rsid w:val="00945ADF"/>
    <w:rsid w:val="00950232"/>
    <w:rsid w:val="00992228"/>
    <w:rsid w:val="009B45EC"/>
    <w:rsid w:val="009C3341"/>
    <w:rsid w:val="00A3644C"/>
    <w:rsid w:val="00A43E41"/>
    <w:rsid w:val="00A93E2F"/>
    <w:rsid w:val="00B53138"/>
    <w:rsid w:val="00B94C15"/>
    <w:rsid w:val="00B94F2F"/>
    <w:rsid w:val="00BB456D"/>
    <w:rsid w:val="00BC405F"/>
    <w:rsid w:val="00BE02E1"/>
    <w:rsid w:val="00BE3733"/>
    <w:rsid w:val="00BE4FA2"/>
    <w:rsid w:val="00C03398"/>
    <w:rsid w:val="00C14918"/>
    <w:rsid w:val="00C538F5"/>
    <w:rsid w:val="00C6293B"/>
    <w:rsid w:val="00C734CB"/>
    <w:rsid w:val="00C76286"/>
    <w:rsid w:val="00C806EA"/>
    <w:rsid w:val="00CE4D18"/>
    <w:rsid w:val="00CE76F7"/>
    <w:rsid w:val="00D02D93"/>
    <w:rsid w:val="00D53DD8"/>
    <w:rsid w:val="00D5775B"/>
    <w:rsid w:val="00D61D10"/>
    <w:rsid w:val="00D644E6"/>
    <w:rsid w:val="00D87B30"/>
    <w:rsid w:val="00DB2982"/>
    <w:rsid w:val="00DC0996"/>
    <w:rsid w:val="00DC5AF0"/>
    <w:rsid w:val="00E06412"/>
    <w:rsid w:val="00E075CA"/>
    <w:rsid w:val="00E52809"/>
    <w:rsid w:val="00E61788"/>
    <w:rsid w:val="00E7225B"/>
    <w:rsid w:val="00E777A3"/>
    <w:rsid w:val="00EC1E78"/>
    <w:rsid w:val="00EC248E"/>
    <w:rsid w:val="00EC68FB"/>
    <w:rsid w:val="00F0799A"/>
    <w:rsid w:val="00F150AF"/>
    <w:rsid w:val="00F804F8"/>
    <w:rsid w:val="00F829B6"/>
    <w:rsid w:val="00F82C55"/>
    <w:rsid w:val="00FB19ED"/>
    <w:rsid w:val="00FB22E3"/>
    <w:rsid w:val="00FD2FEF"/>
    <w:rsid w:val="00FE5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2E1"/>
  </w:style>
  <w:style w:type="paragraph" w:styleId="Heading1">
    <w:name w:val="heading 1"/>
    <w:basedOn w:val="Normal"/>
    <w:next w:val="Normal"/>
    <w:link w:val="Heading1Char"/>
    <w:uiPriority w:val="9"/>
    <w:qFormat/>
    <w:rsid w:val="006113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0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DA1"/>
    <w:pPr>
      <w:ind w:left="720"/>
      <w:contextualSpacing/>
    </w:pPr>
  </w:style>
  <w:style w:type="table" w:styleId="TableGrid">
    <w:name w:val="Table Grid"/>
    <w:basedOn w:val="TableNormal"/>
    <w:uiPriority w:val="59"/>
    <w:rsid w:val="00122F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25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113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10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7B22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2227"/>
  </w:style>
  <w:style w:type="paragraph" w:styleId="Footer">
    <w:name w:val="footer"/>
    <w:basedOn w:val="Normal"/>
    <w:link w:val="FooterChar"/>
    <w:uiPriority w:val="99"/>
    <w:semiHidden/>
    <w:unhideWhenUsed/>
    <w:rsid w:val="007B22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22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593BD-8B73-4614-BE82-9FEA1334A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5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TaurusQuest Services Private Limited</Company>
  <LinksUpToDate>false</LinksUpToDate>
  <CharactersWithSpaces>5605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281damodaram</dc:creator>
  <cp:keywords/>
  <dc:description/>
  <cp:lastModifiedBy>281damodaram</cp:lastModifiedBy>
  <cp:revision>173</cp:revision>
  <dcterms:created xsi:type="dcterms:W3CDTF">2012-04-23T09:16:00Z</dcterms:created>
  <dcterms:modified xsi:type="dcterms:W3CDTF">2012-05-14T13:57:00Z</dcterms:modified>
</cp:coreProperties>
</file>