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color w:val="000000"/>
          <w:sz w:val="36"/>
          <w:szCs w:val="36"/>
          <w:u w:val="single"/>
        </w:rPr>
      </w:pPr>
      <w:r w:rsidRPr="00B53ACC">
        <w:rPr>
          <w:rFonts w:ascii="BookAntiqua-Bold" w:hAnsi="BookAntiqua-Bold" w:cs="BookAntiqua-Bold"/>
          <w:b/>
          <w:bCs/>
          <w:color w:val="000000"/>
          <w:sz w:val="36"/>
          <w:szCs w:val="36"/>
          <w:u w:val="single"/>
        </w:rPr>
        <w:t>Definition of Share capital and debentures in Company Bill 2011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BookAntiqua" w:hAnsi="BookAntiqua" w:cs="BookAntiqua"/>
          <w:color w:val="000000"/>
          <w:sz w:val="32"/>
          <w:szCs w:val="32"/>
        </w:rPr>
        <w:t>Equity share capital has now been defined as: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Arial" w:hAnsi="Arial" w:cs="Arial"/>
          <w:color w:val="000000"/>
          <w:sz w:val="32"/>
          <w:szCs w:val="32"/>
        </w:rPr>
        <w:t>􀂾</w:t>
      </w:r>
      <w:r w:rsidRPr="00B53ACC">
        <w:rPr>
          <w:rFonts w:ascii="Wingdings-Regular" w:hAnsi="Wingdings-Regular" w:cs="Wingdings-Regular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Equity share capital, with reference to any company limited by shares, means</w:t>
      </w:r>
    </w:p>
    <w:p w:rsidR="00B53ACC" w:rsidRPr="00B53ACC" w:rsidRDefault="00B53ACC" w:rsidP="00B53A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BookAntiqua" w:hAnsi="BookAntiqua" w:cs="BookAntiqua"/>
          <w:color w:val="000000"/>
          <w:sz w:val="32"/>
          <w:szCs w:val="32"/>
        </w:rPr>
        <w:t>all share capital which is not preference share capital and preference share</w:t>
      </w: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ind w:left="360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BookAntiqua" w:hAnsi="BookAntiqua" w:cs="BookAntiqua"/>
          <w:color w:val="000000"/>
          <w:sz w:val="32"/>
          <w:szCs w:val="32"/>
        </w:rPr>
        <w:t>capital with reference to any company limited by shares, means that part of theissued share capital of the company which carries or would carry a preferential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right with respect to—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Courier New" w:hAnsi="Courier New" w:cs="Courier New"/>
          <w:color w:val="000000"/>
          <w:sz w:val="32"/>
          <w:szCs w:val="32"/>
        </w:rPr>
        <w:t xml:space="preserve">o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payment of dividend, either as a fixed amount or an amount calculated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at a fixed rate, which may either be free of or subject to income-tax; and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Courier New" w:hAnsi="Courier New" w:cs="Courier New"/>
          <w:color w:val="000000"/>
          <w:sz w:val="32"/>
          <w:szCs w:val="32"/>
        </w:rPr>
        <w:t xml:space="preserve">o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repayment, in the case of a winding up or repayment of capital, of the</w:t>
      </w: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BookAntiqua" w:hAnsi="BookAntiqua" w:cs="BookAntiqua"/>
          <w:color w:val="000000"/>
          <w:sz w:val="32"/>
          <w:szCs w:val="32"/>
        </w:rPr>
        <w:t>amount of the share capital paid-up or deemed to have been paid-up,</w:t>
      </w: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BookAntiqua" w:hAnsi="BookAntiqua" w:cs="BookAntiqua"/>
          <w:color w:val="000000"/>
          <w:sz w:val="32"/>
          <w:szCs w:val="32"/>
        </w:rPr>
        <w:t>whether or not, there is a preferential right to the payment of any fixed</w:t>
      </w: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BookAntiqua" w:hAnsi="BookAntiqua" w:cs="BookAntiqua"/>
          <w:color w:val="000000"/>
          <w:sz w:val="32"/>
          <w:szCs w:val="32"/>
        </w:rPr>
        <w:t>premium or premium on any fixed scale, specified in the memorandum</w:t>
      </w: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BookAntiqua" w:hAnsi="BookAntiqua" w:cs="BookAntiqua"/>
          <w:color w:val="000000"/>
          <w:sz w:val="32"/>
          <w:szCs w:val="32"/>
        </w:rPr>
        <w:t>or articles of the company [clause 43].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Arial" w:hAnsi="Arial" w:cs="Arial"/>
          <w:color w:val="000000"/>
          <w:sz w:val="32"/>
          <w:szCs w:val="32"/>
        </w:rPr>
        <w:t>􀂾</w:t>
      </w:r>
      <w:r w:rsidRPr="00B53ACC">
        <w:rPr>
          <w:rFonts w:ascii="Wingdings-Regular" w:hAnsi="Wingdings-Regular" w:cs="Wingdings-Regular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If a company with intent to defraud, issues a duplicate certificate of shares,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the company shall be punishable with fine which shall not be less than five times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the face value of the shares involved in the issue of the duplicate certificate but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which may extend to ten times the face value of such shares or Rs.10 crore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whichever is higher. Stringent penalties have also been imposed for defaulting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officers of the company [Clause 46(5)]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Arial" w:hAnsi="Arial" w:cs="Arial"/>
          <w:color w:val="000000"/>
          <w:sz w:val="32"/>
          <w:szCs w:val="32"/>
        </w:rPr>
        <w:t>􀂾</w:t>
      </w:r>
      <w:r w:rsidRPr="00B53ACC">
        <w:rPr>
          <w:rFonts w:ascii="Wingdings-Regular" w:hAnsi="Wingdings-Regular" w:cs="Wingdings-Regular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Where any depository has transferred shares with an intention to defraud a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person, it shall be punishable under clause 447 [Clause 46(6)]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Arial" w:hAnsi="Arial" w:cs="Arial"/>
          <w:color w:val="000000"/>
          <w:sz w:val="32"/>
          <w:szCs w:val="32"/>
        </w:rPr>
        <w:t>􀂾</w:t>
      </w:r>
      <w:r w:rsidRPr="00B53ACC">
        <w:rPr>
          <w:rFonts w:ascii="Wingdings-Regular" w:hAnsi="Wingdings-Regular" w:cs="Wingdings-Regular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Security Premium Account may also be applied for the purchase of its ownshares or other securities [Clause 52(2)(e)]</w:t>
      </w: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Arial" w:hAnsi="Arial" w:cs="Arial"/>
          <w:color w:val="000000"/>
          <w:sz w:val="32"/>
          <w:szCs w:val="32"/>
        </w:rPr>
        <w:lastRenderedPageBreak/>
        <w:t>􀂾</w:t>
      </w:r>
      <w:r w:rsidRPr="00B53ACC">
        <w:rPr>
          <w:rFonts w:ascii="Wingdings-Regular" w:hAnsi="Wingdings-Regular" w:cs="Wingdings-Regular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A company can not issue share at a discount. Any share issued by a company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at a discounted price shall be void [Clause (53)]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Arial" w:hAnsi="Arial" w:cs="Arial"/>
          <w:color w:val="000000"/>
          <w:sz w:val="32"/>
          <w:szCs w:val="32"/>
        </w:rPr>
        <w:t>􀂾</w:t>
      </w:r>
      <w:r w:rsidRPr="00B53ACC">
        <w:rPr>
          <w:rFonts w:ascii="Wingdings-Regular" w:hAnsi="Wingdings-Regular" w:cs="Wingdings-Regular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A company limited by shares can not issue any preference shares which are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 xml:space="preserve">irredeemable. However, a company limited by shares may, if so 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authorized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by its articles, can issue preference shares which are liable to be redeemed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within a period not exceeding twenty years from the date of their issue. This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period of twenty years may, however, be excluded in case of such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infrastructural projects as may be prescribed [Clause 55].</w:t>
      </w:r>
    </w:p>
    <w:p w:rsid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B53ACC" w:rsidRPr="00B53ACC" w:rsidRDefault="00B53ACC" w:rsidP="00B53ACC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color w:val="000000"/>
          <w:sz w:val="32"/>
          <w:szCs w:val="32"/>
        </w:rPr>
      </w:pPr>
      <w:r w:rsidRPr="00B53ACC">
        <w:rPr>
          <w:rFonts w:ascii="Arial" w:hAnsi="Arial" w:cs="Arial"/>
          <w:color w:val="000000"/>
          <w:sz w:val="32"/>
          <w:szCs w:val="32"/>
        </w:rPr>
        <w:t>􀂾</w:t>
      </w:r>
      <w:r w:rsidRPr="00B53ACC">
        <w:rPr>
          <w:rFonts w:ascii="Wingdings-Regular" w:hAnsi="Wingdings-Regular" w:cs="Wingdings-Regular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Every company shall deliver Debenture Certificate issued by the company</w:t>
      </w:r>
      <w:r>
        <w:rPr>
          <w:rFonts w:ascii="BookAntiqua" w:hAnsi="BookAntiqua" w:cs="BookAntiqua"/>
          <w:color w:val="000000"/>
          <w:sz w:val="32"/>
          <w:szCs w:val="32"/>
        </w:rPr>
        <w:t xml:space="preserve"> </w:t>
      </w:r>
      <w:r w:rsidRPr="00B53ACC">
        <w:rPr>
          <w:rFonts w:ascii="BookAntiqua" w:hAnsi="BookAntiqua" w:cs="BookAntiqua"/>
          <w:color w:val="000000"/>
          <w:sz w:val="32"/>
          <w:szCs w:val="32"/>
        </w:rPr>
        <w:t>within six months of allotment [Clause 56(4)(d)].</w:t>
      </w:r>
    </w:p>
    <w:p w:rsidR="0084225C" w:rsidRPr="00B53ACC" w:rsidRDefault="0084225C">
      <w:pPr>
        <w:rPr>
          <w:sz w:val="32"/>
          <w:szCs w:val="32"/>
        </w:rPr>
      </w:pPr>
    </w:p>
    <w:sectPr w:rsidR="0084225C" w:rsidRPr="00B53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25C" w:rsidRDefault="0084225C" w:rsidP="00B53ACC">
      <w:pPr>
        <w:spacing w:after="0" w:line="240" w:lineRule="auto"/>
      </w:pPr>
      <w:r>
        <w:separator/>
      </w:r>
    </w:p>
  </w:endnote>
  <w:endnote w:type="continuationSeparator" w:id="1">
    <w:p w:rsidR="0084225C" w:rsidRDefault="0084225C" w:rsidP="00B5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Antiqu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25C" w:rsidRDefault="0084225C" w:rsidP="00B53ACC">
      <w:pPr>
        <w:spacing w:after="0" w:line="240" w:lineRule="auto"/>
      </w:pPr>
      <w:r>
        <w:separator/>
      </w:r>
    </w:p>
  </w:footnote>
  <w:footnote w:type="continuationSeparator" w:id="1">
    <w:p w:rsidR="0084225C" w:rsidRDefault="0084225C" w:rsidP="00B53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A2600"/>
    <w:multiLevelType w:val="hybridMultilevel"/>
    <w:tmpl w:val="126E4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3ACC"/>
    <w:rsid w:val="0084225C"/>
    <w:rsid w:val="00B5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3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3ACC"/>
  </w:style>
  <w:style w:type="paragraph" w:styleId="Footer">
    <w:name w:val="footer"/>
    <w:basedOn w:val="Normal"/>
    <w:link w:val="FooterChar"/>
    <w:uiPriority w:val="99"/>
    <w:semiHidden/>
    <w:unhideWhenUsed/>
    <w:rsid w:val="00B53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3ACC"/>
  </w:style>
  <w:style w:type="paragraph" w:styleId="ListParagraph">
    <w:name w:val="List Paragraph"/>
    <w:basedOn w:val="Normal"/>
    <w:uiPriority w:val="34"/>
    <w:qFormat/>
    <w:rsid w:val="00B53A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D7F94-04C3-4F98-ABB9-DCA8E3EB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1967</Characters>
  <Application>Microsoft Office Word</Application>
  <DocSecurity>0</DocSecurity>
  <Lines>16</Lines>
  <Paragraphs>4</Paragraphs>
  <ScaleCrop>false</ScaleCrop>
  <Company>OJHA &amp; CO.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CA2</dc:creator>
  <cp:keywords/>
  <dc:description/>
  <cp:lastModifiedBy>CA2</cp:lastModifiedBy>
  <cp:revision>2</cp:revision>
  <dcterms:created xsi:type="dcterms:W3CDTF">2011-12-19T09:28:00Z</dcterms:created>
  <dcterms:modified xsi:type="dcterms:W3CDTF">2011-12-19T09:32:00Z</dcterms:modified>
</cp:coreProperties>
</file>