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>Good News: CA firms with LLPs can now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Helvetica-Bold" w:hAnsi="Helvetica-Bold" w:cs="Helvetica-Bold"/>
          <w:b/>
          <w:bCs/>
          <w:sz w:val="28"/>
          <w:szCs w:val="28"/>
        </w:rPr>
        <w:t>act</w:t>
      </w:r>
      <w:proofErr w:type="gramEnd"/>
      <w:r>
        <w:rPr>
          <w:rFonts w:ascii="Helvetica-Bold" w:hAnsi="Helvetica-Bold" w:cs="Helvetica-Bold"/>
          <w:b/>
          <w:bCs/>
          <w:sz w:val="28"/>
          <w:szCs w:val="28"/>
        </w:rPr>
        <w:t xml:space="preserve"> as statutory auditors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r>
        <w:rPr>
          <w:rFonts w:ascii="Times-Roman" w:hAnsi="Times-Roman" w:cs="Times-Roman"/>
          <w:color w:val="000000"/>
          <w:sz w:val="28"/>
          <w:szCs w:val="28"/>
        </w:rPr>
        <w:t>A limited liability partnership (LLP) of chartered accountants (CAs) can now act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as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 xml:space="preserve"> a statutory auditor of a company notwithstanding Section 226 (3) (a) of the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r>
        <w:rPr>
          <w:rFonts w:ascii="Times-Roman" w:hAnsi="Times-Roman" w:cs="Times-Roman"/>
          <w:color w:val="000000"/>
          <w:sz w:val="28"/>
          <w:szCs w:val="28"/>
        </w:rPr>
        <w:t>Companies Act, 1956, which stipulates that a ‘body corporate’ is disqualified from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such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 xml:space="preserve"> an appointment.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r>
        <w:rPr>
          <w:rFonts w:ascii="Times-Roman" w:hAnsi="Times-Roman" w:cs="Times-Roman"/>
          <w:color w:val="000000"/>
          <w:sz w:val="28"/>
          <w:szCs w:val="28"/>
        </w:rPr>
        <w:t>In this regard, the Ministry of Corporate Affairs (MCA) has recently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CD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issued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 xml:space="preserve"> </w:t>
      </w:r>
      <w:r>
        <w:rPr>
          <w:rFonts w:ascii="Times-Bold" w:hAnsi="Times-Bold" w:cs="Times-Bold"/>
          <w:b/>
          <w:bCs/>
          <w:color w:val="000000"/>
          <w:sz w:val="28"/>
          <w:szCs w:val="28"/>
        </w:rPr>
        <w:t xml:space="preserve">a </w:t>
      </w:r>
      <w:r>
        <w:rPr>
          <w:rFonts w:ascii="Times-Bold" w:hAnsi="Times-Bold" w:cs="Times-Bold"/>
          <w:b/>
          <w:bCs/>
          <w:color w:val="0000CD"/>
          <w:sz w:val="28"/>
          <w:szCs w:val="28"/>
        </w:rPr>
        <w:t>clarification vide General Circular No. 30A/2011 that detaches LLPs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Bold" w:hAnsi="Times-Bold" w:cs="Times-Bold"/>
          <w:b/>
          <w:bCs/>
          <w:color w:val="0000CD"/>
          <w:sz w:val="28"/>
          <w:szCs w:val="28"/>
        </w:rPr>
        <w:t>of</w:t>
      </w:r>
      <w:proofErr w:type="gramEnd"/>
      <w:r>
        <w:rPr>
          <w:rFonts w:ascii="Times-Bold" w:hAnsi="Times-Bold" w:cs="Times-Bold"/>
          <w:b/>
          <w:bCs/>
          <w:color w:val="0000CD"/>
          <w:sz w:val="28"/>
          <w:szCs w:val="28"/>
        </w:rPr>
        <w:t xml:space="preserve"> CAs </w:t>
      </w:r>
      <w:r>
        <w:rPr>
          <w:rFonts w:ascii="Times-Roman" w:hAnsi="Times-Roman" w:cs="Times-Roman"/>
          <w:color w:val="000000"/>
          <w:sz w:val="28"/>
          <w:szCs w:val="28"/>
        </w:rPr>
        <w:t>from the definition of ‘body corporate' for the limited purpose of Section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226(3) (a) of the Companies Act.</w:t>
      </w:r>
      <w:proofErr w:type="gramEnd"/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r>
        <w:rPr>
          <w:rFonts w:ascii="Times-Roman" w:hAnsi="Times-Roman" w:cs="Times-Roman"/>
          <w:color w:val="000000"/>
          <w:sz w:val="28"/>
          <w:szCs w:val="28"/>
        </w:rPr>
        <w:t>The release comes pursuant to representations from the Institute of Chartered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r>
        <w:rPr>
          <w:rFonts w:ascii="Times-Roman" w:hAnsi="Times-Roman" w:cs="Times-Roman"/>
          <w:color w:val="000000"/>
          <w:sz w:val="28"/>
          <w:szCs w:val="28"/>
        </w:rPr>
        <w:t>Accountants of India (ICAI) to the MCA wherein ICAI had submitted that an LLP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of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 xml:space="preserve"> CAs being a ‘body corporate’ under Section 3 (1) of the Limited Liability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r>
        <w:rPr>
          <w:rFonts w:ascii="Times-Roman" w:hAnsi="Times-Roman" w:cs="Times-Roman"/>
          <w:color w:val="000000"/>
          <w:sz w:val="28"/>
          <w:szCs w:val="28"/>
        </w:rPr>
        <w:t>Partnership Act, 2006 would not be qualified for appointment as auditor by a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company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>.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r>
        <w:rPr>
          <w:rFonts w:ascii="Times-Roman" w:hAnsi="Times-Roman" w:cs="Times-Roman"/>
          <w:color w:val="000000"/>
          <w:sz w:val="28"/>
          <w:szCs w:val="28"/>
        </w:rPr>
        <w:t>This Government move is sure to trigger conversion of CA firms into LLPs by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seeking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 xml:space="preserve"> to address the limit on the number of partners (which is presently restricted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to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 xml:space="preserve"> a maximum of 20 partners under the Partnership Act, 1932). More so, this would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enable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 xml:space="preserve"> these firms to form multidisciplinary LLPs with cost and works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accountants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>, company secretaries, lawyers as well as chartered engineers whilst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suitable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 xml:space="preserve"> amendments are being carried out in the legislations governing their</w:t>
      </w:r>
    </w:p>
    <w:p w:rsidR="009F248F" w:rsidRDefault="009F248F" w:rsidP="009F248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8"/>
          <w:szCs w:val="28"/>
        </w:rPr>
      </w:pPr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regulators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 xml:space="preserve"> like the ICAI, the Institute of Company Secretaries of India (ICSI) and</w:t>
      </w:r>
    </w:p>
    <w:p w:rsidR="00F464C3" w:rsidRDefault="009F248F" w:rsidP="009F248F">
      <w:proofErr w:type="gramStart"/>
      <w:r>
        <w:rPr>
          <w:rFonts w:ascii="Times-Roman" w:hAnsi="Times-Roman" w:cs="Times-Roman"/>
          <w:color w:val="000000"/>
          <w:sz w:val="28"/>
          <w:szCs w:val="28"/>
        </w:rPr>
        <w:t>the</w:t>
      </w:r>
      <w:proofErr w:type="gramEnd"/>
      <w:r>
        <w:rPr>
          <w:rFonts w:ascii="Times-Roman" w:hAnsi="Times-Roman" w:cs="Times-Roman"/>
          <w:color w:val="000000"/>
          <w:sz w:val="28"/>
          <w:szCs w:val="28"/>
        </w:rPr>
        <w:t xml:space="preserve"> Institute of Cost and Works Accountants of India (ICWAI).</w:t>
      </w:r>
    </w:p>
    <w:sectPr w:rsidR="00F464C3" w:rsidSect="00261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248F"/>
    <w:rsid w:val="002610EF"/>
    <w:rsid w:val="00723804"/>
    <w:rsid w:val="009F248F"/>
    <w:rsid w:val="00A47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7F0B9-C98B-442A-88E2-0226660D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2011-06-27T10:00:00Z</dcterms:created>
  <dcterms:modified xsi:type="dcterms:W3CDTF">2011-06-27T10:01:00Z</dcterms:modified>
</cp:coreProperties>
</file>