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0C" w:rsidRDefault="004B010C" w:rsidP="004B010C">
      <w:pPr>
        <w:pStyle w:val="NormalWeb"/>
      </w:pPr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 xml:space="preserve">List of major differences between the old and the new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>Sch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 xml:space="preserve"> VI-</w:t>
      </w:r>
      <w:proofErr w:type="gramStart"/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>  By</w:t>
      </w:r>
      <w:proofErr w:type="gramEnd"/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>Saumya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  <w:u w:val="single"/>
        </w:rPr>
        <w:t xml:space="preserve"> Sheth</w:t>
      </w:r>
      <w:r>
        <w:br/>
        <w:t> 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"/>
        <w:gridCol w:w="1844"/>
        <w:gridCol w:w="3530"/>
        <w:gridCol w:w="3626"/>
      </w:tblGrid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Sr. No.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Particulars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Old Schedule Vi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Revised Schedule Vi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Rounding off of Figures appearing in financial statement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Turnover of less than Rs. 100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R/off to the nearest Hundreds, thousands or decimal thereof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Turnover of Rs. 100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more but less than Rs. 500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R/off to the nearest Hundreds, thousands,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millions or decimal thereof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Turnover of Rs. 500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more - R/off to the nearest Hundreds, thousands,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millions 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or decimal thereof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Turnover of less than Rs. 100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R/off to the nearest Hundreds, thousands,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millions or decimal thereof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Turnover of Rs. 100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more - R/off to the nearest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millions 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or decimal thereof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Net Working Capital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assets &amp; Liabilities are shown together under application of funds. The net working capital appears on balance sheet.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Assets &amp; Liabilities are to be bifurcated in to current &amp; Non-current and to be shown separately. Hence, net working capital will not be appearing in Balance sheet.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Assets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was no bifurcation required in to tangible &amp; intangible assets.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assets to be shown under non-current assets and it has to be bifurcated in to Tangible &amp; intangible assets.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Borrowings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Short term &amp; long term borrowings are grouped together under the head Loan funds sub-head Secured / Unsecured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Long term borrowings to be shown under non-current liabilities and short term borrowings to be shown under current liabilities with separate disclosure of secured / unsecured loans.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and amount of continuing default as on the balance sheet date in repayment of loans and interest to be separately specified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lease obligation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lease obligations are included in current liabilities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lease obligations are to be grouped under the head non-current liabilities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Deposits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Lease deposits are part of loans &amp; advances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Lease deposits to be disclosed as long term loans &amp; advances under the head non-current assets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Investments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current &amp; non-current investments to be disclosed under the head investments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and non-current investments are to be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discosed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separately under current assets &amp; non-current assets respectively.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Loans &amp; Advances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Loans &amp; Advance are disclosed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alongwith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current assets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Loans &amp; Advances to be broken up in long term &amp; short term and to be disclosed under non-current &amp; current assets respectively.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Loans &amp; Advance to subsidiaries &amp; others to be disclosed separately.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Loans &amp; Advance from related parties &amp; others to be disclosed separately.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Deffered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Tax Assets / Liabilities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Deferred Tax assets / liabilities to be disclosed separately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Deferred Tax assets / liabilities to be disclosed under non-current assets / liabilities as the case may be.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Cash &amp; Bank Balances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Bank balance to be bifurcated in scheduled banks &amp; others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Bank balances in relation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ermarked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balances, held as margin money against borrowings, deposits with more than 12 months maturity, each of these to be shown separately.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Profit &amp; Loss</w:t>
            </w:r>
            <w:r>
              <w:rPr>
                <w:rFonts w:ascii="Arial" w:hAnsi="Arial" w:cs="Arial"/>
                <w:sz w:val="20"/>
                <w:szCs w:val="20"/>
              </w:rPr>
              <w:br/>
              <w:t>(Dr Balance)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P&amp;L debit balance to be shown under the head Miscellaneous expenditure &amp; losses.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Debit balance of Profit and Loss Account to be shown as negative figure under the head Surplus. Therefore, reserve &amp; surplus balance can be negative.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Sundry Creditors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Creditors to be broken up in to micro &amp; small suppliers and other creditors.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named as Trade payables and there is no mention of micro &amp; small enterprise disclosure.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current liabilities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No specific mention for separate disclosure of Current maturities of long term debt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maturities of long term debt to be disclosed under other current liabilities.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No specific mention for separate disclosure of Current maturities of finance lease obligation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maturities of finance lease obligation to be disclosed.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Separate line item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Disclosure criteria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any item under which expense exceeds one per cent of the total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revenue of the company or Rs. 5,000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which ever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higher; shall be disclosed separately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any item of income / expense which exceeds one per cent of the revenue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from operations or Rs. 1,00,000,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which ever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higher; to be disclosed separately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Expense classification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 wise &amp; nature wise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Expenses in Statement of Profit and Loss to be classified based on nature of expenses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Cost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cost to be classified in fixed loans &amp; other loans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Finance cost shall be classified as interest expense, other borrowing costs &amp; Gain / Loss on foreign currency transaction &amp;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translaton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Foreign exchange gain / loss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Gain / Loss on foreign currency transaction to be shown under finance cost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Gain / Loss on foreign currency transaction to be separated into finance costs and other expenses</w:t>
            </w:r>
            <w:r>
              <w:t xml:space="preserve"> </w:t>
            </w:r>
          </w:p>
        </w:tc>
      </w:tr>
      <w:tr w:rsidR="004B010C" w:rsidTr="004B01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Purchases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purchase made and the opening &amp; closing stock, giving break up in respect of each class of goods traded in by the company and indicating the quantities thereof.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10C" w:rsidRDefault="004B010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Goods traded in by the company to be disclosed in broad heads in notes. Disclosure of quantitative details of goods is diluted</w:t>
            </w:r>
          </w:p>
        </w:tc>
      </w:tr>
    </w:tbl>
    <w:p w:rsidR="00B00DCC" w:rsidRDefault="004B010C">
      <w:r>
        <w:rPr>
          <w:rFonts w:ascii="Arial" w:hAnsi="Arial" w:cs="Arial"/>
          <w:sz w:val="20"/>
          <w:szCs w:val="20"/>
        </w:rPr>
        <w:br/>
      </w:r>
    </w:p>
    <w:sectPr w:rsidR="00B00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010C"/>
    <w:rsid w:val="004B010C"/>
    <w:rsid w:val="00B0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010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sunilk</dc:creator>
  <cp:keywords/>
  <dc:description/>
  <cp:lastModifiedBy>sunilk</cp:lastModifiedBy>
  <cp:revision>3</cp:revision>
  <dcterms:created xsi:type="dcterms:W3CDTF">2011-03-18T04:18:00Z</dcterms:created>
  <dcterms:modified xsi:type="dcterms:W3CDTF">2011-03-18T04:18:00Z</dcterms:modified>
</cp:coreProperties>
</file>