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303" w:rsidRPr="00C91303" w:rsidRDefault="00C91303" w:rsidP="00C91303">
      <w:pPr>
        <w:jc w:val="center"/>
        <w:rPr>
          <w:b/>
          <w:sz w:val="24"/>
          <w:u w:val="single"/>
        </w:rPr>
      </w:pPr>
      <w:r w:rsidRPr="00C91303">
        <w:rPr>
          <w:b/>
          <w:sz w:val="24"/>
          <w:u w:val="single"/>
        </w:rPr>
        <w:t>Winding Up</w:t>
      </w:r>
    </w:p>
    <w:p w:rsidR="00EA5D07" w:rsidRDefault="00EA5D07" w:rsidP="000D02E0">
      <w:pPr>
        <w:pStyle w:val="ListBullet"/>
      </w:pPr>
      <w:r>
        <w:t>3 Types of Winding ups:</w:t>
      </w:r>
    </w:p>
    <w:p w:rsidR="00EA5D07" w:rsidRDefault="00EA5D07" w:rsidP="00EA5D07">
      <w:pPr>
        <w:pStyle w:val="ListBullet"/>
        <w:numPr>
          <w:ilvl w:val="0"/>
          <w:numId w:val="11"/>
        </w:numPr>
      </w:pPr>
      <w:r>
        <w:t>Compulsory or by Court</w:t>
      </w:r>
    </w:p>
    <w:p w:rsidR="00EA5D07" w:rsidRDefault="00EA5D07" w:rsidP="00EA5D07">
      <w:pPr>
        <w:pStyle w:val="ListBullet"/>
        <w:numPr>
          <w:ilvl w:val="0"/>
          <w:numId w:val="11"/>
        </w:numPr>
      </w:pPr>
      <w:r>
        <w:t>Voluntary by Members or Creditors</w:t>
      </w:r>
    </w:p>
    <w:p w:rsidR="00EA5D07" w:rsidRDefault="00EA5D07" w:rsidP="00EA5D07">
      <w:pPr>
        <w:pStyle w:val="ListBullet"/>
        <w:numPr>
          <w:ilvl w:val="0"/>
          <w:numId w:val="11"/>
        </w:numPr>
      </w:pPr>
      <w:r>
        <w:t>Subject to supervision of Court</w:t>
      </w:r>
    </w:p>
    <w:p w:rsidR="00EA5D07" w:rsidRDefault="00EA5D07" w:rsidP="00EA5D07">
      <w:pPr>
        <w:pStyle w:val="ListBullet"/>
        <w:numPr>
          <w:ilvl w:val="0"/>
          <w:numId w:val="0"/>
        </w:numPr>
        <w:ind w:left="360"/>
      </w:pPr>
      <w:r>
        <w:t xml:space="preserve">There can be direct Dissolution without Winding up also as under Section </w:t>
      </w:r>
      <w:r w:rsidR="0083570C">
        <w:t>394</w:t>
      </w:r>
    </w:p>
    <w:p w:rsidR="000D02E0" w:rsidRDefault="000D02E0" w:rsidP="000D02E0">
      <w:pPr>
        <w:pStyle w:val="ListBullet"/>
      </w:pPr>
      <w:r>
        <w:t>Compulsory Winding Up:</w:t>
      </w:r>
    </w:p>
    <w:p w:rsidR="000D02E0" w:rsidRDefault="000D02E0" w:rsidP="000D02E0">
      <w:pPr>
        <w:pStyle w:val="ListBullet"/>
        <w:numPr>
          <w:ilvl w:val="0"/>
          <w:numId w:val="2"/>
        </w:numPr>
      </w:pPr>
      <w:r>
        <w:t>Section 433 &amp; 434: Grounds for Winding up</w:t>
      </w:r>
    </w:p>
    <w:p w:rsidR="000D02E0" w:rsidRDefault="000D02E0" w:rsidP="000D02E0">
      <w:pPr>
        <w:pStyle w:val="ListBullet"/>
        <w:numPr>
          <w:ilvl w:val="0"/>
          <w:numId w:val="2"/>
        </w:numPr>
      </w:pPr>
      <w:r>
        <w:t>Section 439</w:t>
      </w:r>
      <w:r w:rsidR="005A7A76">
        <w:t xml:space="preserve"> &amp;</w:t>
      </w:r>
      <w:r>
        <w:t xml:space="preserve"> 440: Petition for winding up to Court</w:t>
      </w:r>
    </w:p>
    <w:p w:rsidR="000D02E0" w:rsidRDefault="000D02E0" w:rsidP="000D02E0">
      <w:pPr>
        <w:pStyle w:val="ListBullet"/>
        <w:numPr>
          <w:ilvl w:val="0"/>
          <w:numId w:val="2"/>
        </w:numPr>
      </w:pPr>
      <w:r>
        <w:t>Section 441: Commencement of Wing Up</w:t>
      </w:r>
    </w:p>
    <w:p w:rsidR="000D02E0" w:rsidRDefault="000D02E0" w:rsidP="000D02E0">
      <w:pPr>
        <w:pStyle w:val="ListBullet"/>
        <w:numPr>
          <w:ilvl w:val="0"/>
          <w:numId w:val="2"/>
        </w:numPr>
      </w:pPr>
      <w:r>
        <w:t>Section 442 &amp; 443: Powers of Court after the petition has been presented</w:t>
      </w:r>
    </w:p>
    <w:p w:rsidR="000D02E0" w:rsidRDefault="000D02E0" w:rsidP="000D02E0">
      <w:pPr>
        <w:pStyle w:val="ListBullet"/>
        <w:numPr>
          <w:ilvl w:val="0"/>
          <w:numId w:val="2"/>
        </w:numPr>
      </w:pPr>
      <w:r>
        <w:t>Section 444- 447: Consequences of Winding up order</w:t>
      </w:r>
    </w:p>
    <w:p w:rsidR="000D02E0" w:rsidRDefault="000D02E0" w:rsidP="000D02E0">
      <w:pPr>
        <w:pStyle w:val="ListBullet"/>
        <w:numPr>
          <w:ilvl w:val="0"/>
          <w:numId w:val="2"/>
        </w:numPr>
      </w:pPr>
      <w:r>
        <w:t>Section 448- 463: Provisions relating to Liquidators</w:t>
      </w:r>
    </w:p>
    <w:p w:rsidR="000D02E0" w:rsidRDefault="000D02E0" w:rsidP="000D02E0">
      <w:pPr>
        <w:pStyle w:val="ListBullet"/>
        <w:numPr>
          <w:ilvl w:val="0"/>
          <w:numId w:val="2"/>
        </w:numPr>
      </w:pPr>
      <w:r>
        <w:t>Section 464- 465: Committee of Inspection</w:t>
      </w:r>
    </w:p>
    <w:p w:rsidR="000D02E0" w:rsidRDefault="000D02E0" w:rsidP="000D02E0">
      <w:pPr>
        <w:pStyle w:val="ListBullet"/>
        <w:numPr>
          <w:ilvl w:val="0"/>
          <w:numId w:val="2"/>
        </w:numPr>
      </w:pPr>
      <w:r>
        <w:t>Section 466- 483: Powers of Court after Winding up order</w:t>
      </w:r>
    </w:p>
    <w:p w:rsidR="009045DC" w:rsidRDefault="005902F9" w:rsidP="009045DC">
      <w:pPr>
        <w:pStyle w:val="ListBullet"/>
      </w:pPr>
      <w:r>
        <w:t>Voluntary Winding up Provisions:</w:t>
      </w:r>
    </w:p>
    <w:p w:rsidR="009045DC" w:rsidRDefault="005902F9" w:rsidP="005902F9">
      <w:pPr>
        <w:pStyle w:val="ListBullet"/>
        <w:numPr>
          <w:ilvl w:val="0"/>
          <w:numId w:val="3"/>
        </w:numPr>
      </w:pPr>
      <w:r>
        <w:t>Provisions common to CVWU and MVWU</w:t>
      </w:r>
    </w:p>
    <w:p w:rsidR="005902F9" w:rsidRDefault="005902F9" w:rsidP="005902F9">
      <w:pPr>
        <w:pStyle w:val="ListBullet"/>
        <w:numPr>
          <w:ilvl w:val="1"/>
          <w:numId w:val="3"/>
        </w:numPr>
      </w:pPr>
      <w:r>
        <w:t>Part A: Section 484- 487</w:t>
      </w:r>
    </w:p>
    <w:p w:rsidR="0054193A" w:rsidRDefault="00D61E2B" w:rsidP="0054193A">
      <w:pPr>
        <w:pStyle w:val="ListBullet"/>
        <w:numPr>
          <w:ilvl w:val="0"/>
          <w:numId w:val="0"/>
        </w:numPr>
        <w:ind w:left="360" w:hanging="360"/>
      </w:pPr>
      <w:r>
        <w:rPr>
          <w:noProof/>
        </w:rPr>
      </w:r>
      <w:r w:rsidR="00F21722">
        <w:pict>
          <v:group id="_x0000_s1032" editas="canvas" style="width:468.5pt;height:71.75pt;mso-position-horizontal-relative:char;mso-position-vertical-relative:line" coordsize="9370,14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9370;height:1435" o:preferrelative="f">
              <v:fill o:detectmouseclick="t"/>
              <v:path o:extrusionok="t" o:connecttype="none"/>
              <o:lock v:ext="edit" text="t"/>
            </v:shape>
            <v:shape id="_x0000_s1033" type="#_x0000_t75" style="position:absolute;width:9370;height:1435">
              <v:imagedata r:id="rId5" o:title=""/>
            </v:shape>
            <v:rect id="_x0000_s1034" style="position:absolute;left:165;width:330;height:256" stroked="f"/>
            <w10:wrap type="none"/>
            <w10:anchorlock/>
          </v:group>
        </w:pict>
      </w:r>
    </w:p>
    <w:p w:rsidR="005902F9" w:rsidRDefault="005902F9" w:rsidP="005902F9">
      <w:pPr>
        <w:pStyle w:val="ListBullet"/>
        <w:numPr>
          <w:ilvl w:val="1"/>
          <w:numId w:val="3"/>
        </w:numPr>
      </w:pPr>
      <w:r>
        <w:t>Part B: Section 510- 520</w:t>
      </w:r>
    </w:p>
    <w:p w:rsidR="0054193A" w:rsidRDefault="00F21722" w:rsidP="0054193A">
      <w:pPr>
        <w:pStyle w:val="ListBullet"/>
        <w:numPr>
          <w:ilvl w:val="0"/>
          <w:numId w:val="0"/>
        </w:numPr>
        <w:ind w:left="360" w:hanging="360"/>
      </w:pPr>
      <w:r>
        <w:rPr>
          <w:noProof/>
        </w:rPr>
        <w:pict>
          <v:rect id="_x0000_s1035" style="position:absolute;left:0;text-align:left;margin-left:8.25pt;margin-top:3.75pt;width:20.25pt;height:12.8pt;z-index:251658240" stroked="f"/>
        </w:pict>
      </w:r>
      <w:r w:rsidR="0054193A">
        <w:rPr>
          <w:noProof/>
        </w:rPr>
        <w:drawing>
          <wp:inline distT="0" distB="0" distL="0" distR="0">
            <wp:extent cx="5943600" cy="17245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943600" cy="1724500"/>
                    </a:xfrm>
                    <a:prstGeom prst="rect">
                      <a:avLst/>
                    </a:prstGeom>
                    <a:noFill/>
                    <a:ln w="9525">
                      <a:noFill/>
                      <a:miter lim="800000"/>
                      <a:headEnd/>
                      <a:tailEnd/>
                    </a:ln>
                  </pic:spPr>
                </pic:pic>
              </a:graphicData>
            </a:graphic>
          </wp:inline>
        </w:drawing>
      </w:r>
    </w:p>
    <w:p w:rsidR="00C34A58" w:rsidRDefault="00C34A58" w:rsidP="00C34A58">
      <w:pPr>
        <w:pStyle w:val="ListBullet"/>
        <w:numPr>
          <w:ilvl w:val="0"/>
          <w:numId w:val="3"/>
        </w:numPr>
      </w:pPr>
      <w:r>
        <w:t>Declaration of Solvency: Section 488</w:t>
      </w:r>
    </w:p>
    <w:p w:rsidR="00C34A58" w:rsidRDefault="00C34A58" w:rsidP="00C34A58">
      <w:pPr>
        <w:pStyle w:val="ListBullet"/>
        <w:numPr>
          <w:ilvl w:val="0"/>
          <w:numId w:val="3"/>
        </w:numPr>
      </w:pPr>
      <w:r>
        <w:t>Provisions applicable to CVWU</w:t>
      </w:r>
      <w:r w:rsidR="005A7A76">
        <w:t>: Section 499- 509</w:t>
      </w:r>
    </w:p>
    <w:p w:rsidR="005A7A76" w:rsidRDefault="006C7995" w:rsidP="005A7A76">
      <w:pPr>
        <w:pStyle w:val="ListBullet"/>
        <w:numPr>
          <w:ilvl w:val="0"/>
          <w:numId w:val="0"/>
        </w:numPr>
        <w:ind w:left="360" w:hanging="360"/>
      </w:pPr>
      <w:r>
        <w:rPr>
          <w:noProof/>
        </w:rPr>
        <w:lastRenderedPageBreak/>
        <w:drawing>
          <wp:inline distT="0" distB="0" distL="0" distR="0">
            <wp:extent cx="5943600" cy="556531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3600" cy="5565313"/>
                    </a:xfrm>
                    <a:prstGeom prst="rect">
                      <a:avLst/>
                    </a:prstGeom>
                    <a:noFill/>
                    <a:ln w="9525">
                      <a:noFill/>
                      <a:miter lim="800000"/>
                      <a:headEnd/>
                      <a:tailEnd/>
                    </a:ln>
                  </pic:spPr>
                </pic:pic>
              </a:graphicData>
            </a:graphic>
          </wp:inline>
        </w:drawing>
      </w:r>
    </w:p>
    <w:p w:rsidR="00D90C2E" w:rsidRDefault="00D90C2E" w:rsidP="00D90C2E">
      <w:pPr>
        <w:pStyle w:val="ListBullet"/>
        <w:numPr>
          <w:ilvl w:val="0"/>
          <w:numId w:val="6"/>
        </w:numPr>
      </w:pPr>
      <w:r>
        <w:t>Meeting of Creditors – 500</w:t>
      </w:r>
    </w:p>
    <w:p w:rsidR="00D90C2E" w:rsidRDefault="00D90C2E" w:rsidP="00D90C2E">
      <w:pPr>
        <w:pStyle w:val="ListBullet"/>
        <w:numPr>
          <w:ilvl w:val="0"/>
          <w:numId w:val="6"/>
        </w:numPr>
      </w:pPr>
      <w:r>
        <w:t>Filing copy of Resolution with ROC</w:t>
      </w:r>
    </w:p>
    <w:p w:rsidR="00D90C2E" w:rsidRDefault="00D90C2E" w:rsidP="00D90C2E">
      <w:pPr>
        <w:pStyle w:val="ListBullet"/>
        <w:numPr>
          <w:ilvl w:val="0"/>
          <w:numId w:val="6"/>
        </w:numPr>
      </w:pPr>
      <w:r>
        <w:t>Appointment of Liquidator</w:t>
      </w:r>
    </w:p>
    <w:p w:rsidR="00D90C2E" w:rsidRDefault="00F51C6B" w:rsidP="00D90C2E">
      <w:pPr>
        <w:pStyle w:val="ListBullet"/>
        <w:numPr>
          <w:ilvl w:val="0"/>
          <w:numId w:val="0"/>
        </w:numPr>
        <w:ind w:left="360" w:hanging="360"/>
      </w:pPr>
      <w:r>
        <w:rPr>
          <w:noProof/>
        </w:rPr>
      </w:r>
      <w:r>
        <w:pict>
          <v:group id="_x0000_s1041" editas="canvas" style="width:468.5pt;height:433.25pt;mso-position-horizontal-relative:char;mso-position-vertical-relative:line" coordsize="9370,8665">
            <o:lock v:ext="edit" aspectratio="t"/>
            <v:shape id="_x0000_s1040" type="#_x0000_t75" style="position:absolute;width:9370;height:8665" o:preferrelative="f">
              <v:fill o:detectmouseclick="t"/>
              <v:path o:extrusionok="t" o:connecttype="none"/>
              <o:lock v:ext="edit" text="t"/>
            </v:shape>
            <v:shape id="_x0000_s1042" type="#_x0000_t75" style="position:absolute;top:75;width:9370;height:8590">
              <v:imagedata r:id="rId8" o:title="" croptop="567f"/>
            </v:shape>
            <w10:wrap type="none"/>
            <w10:anchorlock/>
          </v:group>
        </w:pict>
      </w:r>
    </w:p>
    <w:p w:rsidR="00D90C2E" w:rsidRDefault="00D90C2E" w:rsidP="00D90C2E">
      <w:pPr>
        <w:pStyle w:val="ListBullet"/>
        <w:numPr>
          <w:ilvl w:val="0"/>
          <w:numId w:val="6"/>
        </w:numPr>
      </w:pPr>
      <w:r>
        <w:t>Fixing of Liquidator’s Remuneration</w:t>
      </w:r>
    </w:p>
    <w:p w:rsidR="00D90C2E" w:rsidRDefault="00D90C2E" w:rsidP="00D90C2E">
      <w:pPr>
        <w:pStyle w:val="ListBullet"/>
        <w:numPr>
          <w:ilvl w:val="0"/>
          <w:numId w:val="6"/>
        </w:numPr>
      </w:pPr>
      <w:r>
        <w:t>Filling of Vacancy</w:t>
      </w:r>
      <w:r w:rsidR="0054193A">
        <w:t xml:space="preserve"> &amp; Appointment of Committee of Inspection</w:t>
      </w:r>
    </w:p>
    <w:p w:rsidR="0054193A" w:rsidRDefault="0054193A" w:rsidP="0054193A">
      <w:pPr>
        <w:pStyle w:val="ListBullet"/>
        <w:numPr>
          <w:ilvl w:val="0"/>
          <w:numId w:val="6"/>
        </w:numPr>
        <w:spacing w:after="0"/>
        <w:ind w:left="1077" w:hanging="357"/>
      </w:pPr>
      <w:r>
        <w:t>Cessation of BOD’s power after appointment of Liquidator</w:t>
      </w:r>
    </w:p>
    <w:p w:rsidR="0054193A" w:rsidRPr="0054193A" w:rsidRDefault="0054193A" w:rsidP="0054193A">
      <w:pPr>
        <w:pStyle w:val="ListParagraph"/>
        <w:numPr>
          <w:ilvl w:val="0"/>
          <w:numId w:val="6"/>
        </w:numPr>
        <w:autoSpaceDE w:val="0"/>
        <w:autoSpaceDN w:val="0"/>
        <w:adjustRightInd w:val="0"/>
        <w:spacing w:after="0" w:line="240" w:lineRule="auto"/>
        <w:ind w:left="1077" w:hanging="357"/>
      </w:pPr>
      <w:r w:rsidRPr="0054193A">
        <w:t>Duty of Liquidator to call meeting of members &amp; creditors</w:t>
      </w:r>
    </w:p>
    <w:p w:rsidR="0054193A" w:rsidRDefault="0054193A" w:rsidP="0054193A">
      <w:pPr>
        <w:pStyle w:val="ListParagraph"/>
        <w:numPr>
          <w:ilvl w:val="0"/>
          <w:numId w:val="6"/>
        </w:numPr>
        <w:autoSpaceDE w:val="0"/>
        <w:autoSpaceDN w:val="0"/>
        <w:adjustRightInd w:val="0"/>
        <w:spacing w:after="0" w:line="240" w:lineRule="auto"/>
        <w:ind w:left="1077" w:hanging="357"/>
      </w:pPr>
      <w:r w:rsidRPr="0054193A">
        <w:t>Final Meeting &amp; dissolution</w:t>
      </w:r>
    </w:p>
    <w:p w:rsidR="0054193A" w:rsidRDefault="0054193A" w:rsidP="0054193A">
      <w:pPr>
        <w:pStyle w:val="ListBullet"/>
        <w:numPr>
          <w:ilvl w:val="0"/>
          <w:numId w:val="3"/>
        </w:numPr>
      </w:pPr>
      <w:r>
        <w:t>Provisions applicable to MVWU: Section 489- 494, 496, 497</w:t>
      </w:r>
    </w:p>
    <w:p w:rsidR="0054193A" w:rsidRDefault="0054193A" w:rsidP="0054193A">
      <w:pPr>
        <w:pStyle w:val="ListBullet"/>
        <w:numPr>
          <w:ilvl w:val="1"/>
          <w:numId w:val="3"/>
        </w:numPr>
      </w:pPr>
      <w:r>
        <w:t>Appointment of Liquidator and Fixation of Remuneration - 490</w:t>
      </w:r>
    </w:p>
    <w:p w:rsidR="0054193A" w:rsidRDefault="0054193A" w:rsidP="0054193A">
      <w:pPr>
        <w:pStyle w:val="ListBullet"/>
        <w:numPr>
          <w:ilvl w:val="1"/>
          <w:numId w:val="3"/>
        </w:numPr>
      </w:pPr>
      <w:r>
        <w:t>Filling of Casual Vacancy - 492</w:t>
      </w:r>
    </w:p>
    <w:p w:rsidR="0054193A" w:rsidRDefault="0054193A" w:rsidP="0054193A">
      <w:pPr>
        <w:pStyle w:val="ListBullet"/>
        <w:numPr>
          <w:ilvl w:val="1"/>
          <w:numId w:val="3"/>
        </w:numPr>
      </w:pPr>
      <w:r>
        <w:t>Notice to ROC - 493</w:t>
      </w:r>
    </w:p>
    <w:p w:rsidR="0054193A" w:rsidRDefault="0054193A" w:rsidP="0054193A">
      <w:pPr>
        <w:pStyle w:val="ListBullet"/>
        <w:numPr>
          <w:ilvl w:val="1"/>
          <w:numId w:val="3"/>
        </w:numPr>
      </w:pPr>
      <w:r>
        <w:t>Consequences of appointment of Liquidator - 491</w:t>
      </w:r>
    </w:p>
    <w:p w:rsidR="0054193A" w:rsidRDefault="0054193A" w:rsidP="0054193A">
      <w:pPr>
        <w:pStyle w:val="ListBullet"/>
        <w:numPr>
          <w:ilvl w:val="1"/>
          <w:numId w:val="3"/>
        </w:numPr>
      </w:pPr>
      <w:r>
        <w:t>Duty of Liquidator to call GM - 496</w:t>
      </w:r>
    </w:p>
    <w:p w:rsidR="0054193A" w:rsidRDefault="0054193A" w:rsidP="0054193A">
      <w:pPr>
        <w:pStyle w:val="ListBullet"/>
        <w:numPr>
          <w:ilvl w:val="1"/>
          <w:numId w:val="3"/>
        </w:numPr>
      </w:pPr>
      <w:r>
        <w:t>Final Meeting and Dissolution - 497</w:t>
      </w:r>
    </w:p>
    <w:p w:rsidR="0054193A" w:rsidRDefault="0054193A" w:rsidP="0054193A">
      <w:pPr>
        <w:pStyle w:val="ListBullet"/>
        <w:numPr>
          <w:ilvl w:val="0"/>
          <w:numId w:val="3"/>
        </w:numPr>
      </w:pPr>
      <w:r>
        <w:t>Provisions when MVWU is converted into CVWU: Section 495, 498</w:t>
      </w:r>
    </w:p>
    <w:p w:rsidR="0054193A" w:rsidRPr="004725EE" w:rsidRDefault="00F21722" w:rsidP="0054193A">
      <w:pPr>
        <w:pStyle w:val="ListBullet"/>
        <w:numPr>
          <w:ilvl w:val="0"/>
          <w:numId w:val="0"/>
        </w:numPr>
        <w:ind w:left="360" w:hanging="360"/>
      </w:pPr>
      <w:r>
        <w:rPr>
          <w:noProof/>
        </w:rPr>
        <w:lastRenderedPageBreak/>
        <w:pict>
          <v:rect id="_x0000_s1036" style="position:absolute;left:0;text-align:left;margin-left:11.25pt;margin-top:.75pt;width:20.25pt;height:12.8pt;z-index:251659264" stroked="f"/>
        </w:pict>
      </w:r>
      <w:r w:rsidR="0054193A">
        <w:rPr>
          <w:noProof/>
        </w:rPr>
        <w:drawing>
          <wp:inline distT="0" distB="0" distL="0" distR="0">
            <wp:extent cx="5943600" cy="4908806"/>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943600" cy="4908806"/>
                    </a:xfrm>
                    <a:prstGeom prst="rect">
                      <a:avLst/>
                    </a:prstGeom>
                    <a:noFill/>
                    <a:ln w="9525">
                      <a:noFill/>
                      <a:miter lim="800000"/>
                      <a:headEnd/>
                      <a:tailEnd/>
                    </a:ln>
                  </pic:spPr>
                </pic:pic>
              </a:graphicData>
            </a:graphic>
          </wp:inline>
        </w:drawing>
      </w:r>
    </w:p>
    <w:p w:rsidR="003D743C" w:rsidRDefault="003D743C" w:rsidP="003D743C">
      <w:pPr>
        <w:pStyle w:val="ListBullet"/>
        <w:spacing w:after="0"/>
      </w:pPr>
      <w:r>
        <w:t xml:space="preserve">Creditors and Contributories can inspect the Statement of affairs submitted by Company to the liquidator / Provisional liquidator. Liquidator makes a report to </w:t>
      </w:r>
      <w:r w:rsidR="008B43D6">
        <w:t xml:space="preserve">Court </w:t>
      </w:r>
      <w:r>
        <w:t>on the basis of Statement of affairs.</w:t>
      </w:r>
      <w:r>
        <w:br/>
        <w:t xml:space="preserve">Liquidator / Provisional liquidator takes all the property of the Company in his custody which is deemed to be in the custody of </w:t>
      </w:r>
      <w:r w:rsidR="0084751F">
        <w:t>Court</w:t>
      </w:r>
      <w:r>
        <w:t>. Liquidator can call meeting of creditors or contributories suo moto or on request of specified number of creditors / members.</w:t>
      </w:r>
    </w:p>
    <w:p w:rsidR="0054193A" w:rsidRDefault="00F21722" w:rsidP="004725EE">
      <w:pPr>
        <w:pStyle w:val="ListBullet"/>
        <w:spacing w:after="0"/>
      </w:pPr>
      <w:r>
        <w:rPr>
          <w:noProof/>
        </w:rPr>
        <w:lastRenderedPageBreak/>
        <w:pict>
          <v:rect id="_x0000_s1038" style="position:absolute;left:0;text-align:left;margin-left:18.75pt;margin-top:-.05pt;width:15.75pt;height:12.8pt;z-index:251660288" stroked="f"/>
        </w:pict>
      </w:r>
      <w:r w:rsidR="0054193A">
        <w:rPr>
          <w:noProof/>
        </w:rPr>
        <w:drawing>
          <wp:inline distT="0" distB="0" distL="0" distR="0">
            <wp:extent cx="5943600" cy="2348089"/>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5943600" cy="2348089"/>
                    </a:xfrm>
                    <a:prstGeom prst="rect">
                      <a:avLst/>
                    </a:prstGeom>
                    <a:noFill/>
                    <a:ln w="9525">
                      <a:noFill/>
                      <a:miter lim="800000"/>
                      <a:headEnd/>
                      <a:tailEnd/>
                    </a:ln>
                  </pic:spPr>
                </pic:pic>
              </a:graphicData>
            </a:graphic>
          </wp:inline>
        </w:drawing>
      </w:r>
    </w:p>
    <w:p w:rsidR="00DF2350" w:rsidRPr="00DF2350" w:rsidRDefault="004725EE" w:rsidP="004725EE">
      <w:pPr>
        <w:pStyle w:val="ListBullet"/>
        <w:spacing w:after="0"/>
        <w:rPr>
          <w:lang w:val="en-IN"/>
        </w:rPr>
      </w:pPr>
      <w:r>
        <w:t>A committee of inspection may be appointed to act alongside liquidator. It contai</w:t>
      </w:r>
      <w:r w:rsidR="00DF2350">
        <w:t>ns creditors and contributories</w:t>
      </w:r>
    </w:p>
    <w:p w:rsidR="004725EE" w:rsidRPr="00DF2350" w:rsidRDefault="004725EE" w:rsidP="004725EE">
      <w:pPr>
        <w:pStyle w:val="ListBullet"/>
        <w:spacing w:after="0"/>
        <w:rPr>
          <w:lang w:val="en-IN"/>
        </w:rPr>
      </w:pPr>
      <w:r>
        <w:t>The fun</w:t>
      </w:r>
      <w:r w:rsidR="00435AD4">
        <w:t>ction of liquidator is to realiz</w:t>
      </w:r>
      <w:r>
        <w:t>e and divide the assets in the agreed proportion b/w creditors and contributories. But first he must assist them in reaching such an agreement. Also preparation of correct list of contributories and creditors is a must.</w:t>
      </w:r>
      <w:r>
        <w:br/>
        <w:t xml:space="preserve">Committee inspects the a/cs of liquidator and represent their respective group in meetings. The meetings may be of creditors or members or just committee. Its purpose is to safeguard the interests of its group and to take the decision at the committee meeting via simple majority. </w:t>
      </w:r>
      <w:r w:rsidRPr="00DF2350">
        <w:rPr>
          <w:lang w:val="en-IN"/>
        </w:rPr>
        <w:t>Members and creditors jointly appoint the committee. Creditors have a say through this committee only. It safeguards their interests.</w:t>
      </w:r>
    </w:p>
    <w:p w:rsidR="004725EE" w:rsidRDefault="004725EE" w:rsidP="004725EE">
      <w:pPr>
        <w:pStyle w:val="ListBullet"/>
        <w:spacing w:after="0"/>
        <w:rPr>
          <w:lang w:val="en-IN"/>
        </w:rPr>
      </w:pPr>
      <w:r w:rsidRPr="004725EE">
        <w:rPr>
          <w:lang w:val="en-IN"/>
        </w:rPr>
        <w:t xml:space="preserve">The  </w:t>
      </w:r>
      <w:r w:rsidR="00F07B89">
        <w:rPr>
          <w:lang w:val="en-IN"/>
        </w:rPr>
        <w:t>Court</w:t>
      </w:r>
      <w:r w:rsidRPr="004725EE">
        <w:rPr>
          <w:lang w:val="en-IN"/>
        </w:rPr>
        <w:t xml:space="preserve">  has  power  to  enforce  payment  of  any  sum,  other  than  cal</w:t>
      </w:r>
      <w:r w:rsidR="003D743C">
        <w:rPr>
          <w:lang w:val="en-IN"/>
        </w:rPr>
        <w:t xml:space="preserve">ls,  due  from contributories. </w:t>
      </w:r>
      <w:r w:rsidRPr="004725EE">
        <w:rPr>
          <w:lang w:val="en-IN"/>
        </w:rPr>
        <w:t>It can make calls separat</w:t>
      </w:r>
      <w:r>
        <w:rPr>
          <w:lang w:val="en-IN"/>
        </w:rPr>
        <w:t>ely by virtue of powers u/s 470</w:t>
      </w:r>
      <w:r w:rsidR="00214CB4">
        <w:rPr>
          <w:lang w:val="en-IN"/>
        </w:rPr>
        <w:tab/>
      </w:r>
      <w:r w:rsidR="00214CB4">
        <w:rPr>
          <w:lang w:val="en-IN"/>
        </w:rPr>
        <w:tab/>
        <w:t>[PDF-91]</w:t>
      </w:r>
    </w:p>
    <w:p w:rsidR="004725EE" w:rsidRDefault="004725EE" w:rsidP="004725EE">
      <w:pPr>
        <w:pStyle w:val="ListBullet"/>
        <w:spacing w:after="0"/>
        <w:rPr>
          <w:lang w:val="en-IN"/>
        </w:rPr>
      </w:pPr>
      <w:r w:rsidRPr="004725EE">
        <w:rPr>
          <w:lang w:val="en-IN"/>
        </w:rPr>
        <w:t>Prior to passing of resolution in GM, the BOD must make the Declaration of Solvency</w:t>
      </w:r>
    </w:p>
    <w:p w:rsidR="004725EE" w:rsidRDefault="004725EE" w:rsidP="004725EE">
      <w:pPr>
        <w:pStyle w:val="ListBullet"/>
        <w:spacing w:after="0"/>
        <w:rPr>
          <w:lang w:val="en-IN"/>
        </w:rPr>
      </w:pPr>
      <w:r w:rsidRPr="004725EE">
        <w:rPr>
          <w:lang w:val="en-IN"/>
        </w:rPr>
        <w:t xml:space="preserve">In </w:t>
      </w:r>
      <w:r w:rsidR="005B37A5">
        <w:rPr>
          <w:lang w:val="en-IN"/>
        </w:rPr>
        <w:t>C</w:t>
      </w:r>
      <w:r w:rsidRPr="004725EE">
        <w:rPr>
          <w:lang w:val="en-IN"/>
        </w:rPr>
        <w:t xml:space="preserve">ompulsory winding up, the liquidator is appointed by the </w:t>
      </w:r>
      <w:r w:rsidR="005C5ABA">
        <w:rPr>
          <w:lang w:val="en-IN"/>
        </w:rPr>
        <w:t>Court</w:t>
      </w:r>
      <w:r w:rsidRPr="004725EE">
        <w:rPr>
          <w:lang w:val="en-IN"/>
        </w:rPr>
        <w:t xml:space="preserve"> whereas in </w:t>
      </w:r>
      <w:r w:rsidR="0084751F">
        <w:rPr>
          <w:lang w:val="en-IN"/>
        </w:rPr>
        <w:t>VWU</w:t>
      </w:r>
      <w:r w:rsidRPr="004725EE">
        <w:rPr>
          <w:lang w:val="en-IN"/>
        </w:rPr>
        <w:t>, the liquidator is appointed in the meeting</w:t>
      </w:r>
    </w:p>
    <w:p w:rsidR="004725EE" w:rsidRPr="004725EE" w:rsidRDefault="004725EE" w:rsidP="004725EE">
      <w:pPr>
        <w:pStyle w:val="ListBullet"/>
        <w:spacing w:after="0"/>
      </w:pPr>
      <w:r w:rsidRPr="004725EE">
        <w:rPr>
          <w:lang w:val="en-IN"/>
        </w:rPr>
        <w:t xml:space="preserve">In </w:t>
      </w:r>
      <w:r w:rsidR="00F67C32">
        <w:rPr>
          <w:lang w:val="en-IN"/>
        </w:rPr>
        <w:t>CVWU</w:t>
      </w:r>
      <w:r w:rsidRPr="004725EE">
        <w:rPr>
          <w:lang w:val="en-IN"/>
        </w:rPr>
        <w:t>, creditors alone cannot wind up the Company by passing a resolution. Their resolution should be preceded by members’ resolution u/s 484. But since members pass this under pressure from creditors so this winding up is known as Creditors voluntary winding up</w:t>
      </w:r>
    </w:p>
    <w:p w:rsidR="004725EE" w:rsidRPr="00BC30D6" w:rsidRDefault="004725EE" w:rsidP="004725EE">
      <w:pPr>
        <w:pStyle w:val="ListBullet"/>
        <w:spacing w:after="0"/>
        <w:rPr>
          <w:b/>
        </w:rPr>
      </w:pPr>
      <w:r w:rsidRPr="00BC30D6">
        <w:rPr>
          <w:b/>
          <w:lang w:val="en-IN"/>
        </w:rPr>
        <w:t xml:space="preserve">Committee of inspection may be appointed in compulsory as well as </w:t>
      </w:r>
      <w:r w:rsidR="00E9269E">
        <w:rPr>
          <w:b/>
          <w:lang w:val="en-IN"/>
        </w:rPr>
        <w:t>CVWU</w:t>
      </w:r>
      <w:r w:rsidRPr="00BC30D6">
        <w:rPr>
          <w:b/>
          <w:lang w:val="en-IN"/>
        </w:rPr>
        <w:t xml:space="preserve"> but not in </w:t>
      </w:r>
      <w:r w:rsidR="00E9269E">
        <w:rPr>
          <w:b/>
          <w:lang w:val="en-IN"/>
        </w:rPr>
        <w:t>MVWU</w:t>
      </w:r>
    </w:p>
    <w:p w:rsidR="00FC00F1" w:rsidRDefault="004725EE" w:rsidP="00BC30D6">
      <w:pPr>
        <w:pStyle w:val="ListBullet"/>
        <w:spacing w:after="0"/>
      </w:pPr>
      <w:r>
        <w:t>In CVWU, any resolution to be passed by the creditors in the creditors meeting should be preceded by same resolution in the corresponding members meeting. This is ensured by the Inspection committee in advance</w:t>
      </w:r>
      <w:r>
        <w:tab/>
      </w:r>
      <w:r>
        <w:tab/>
      </w:r>
      <w:r>
        <w:tab/>
      </w:r>
    </w:p>
    <w:sectPr w:rsidR="00FC00F1" w:rsidSect="00CF6C6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DA6674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EC13834"/>
    <w:multiLevelType w:val="hybridMultilevel"/>
    <w:tmpl w:val="51F46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0FB26560"/>
    <w:multiLevelType w:val="hybridMultilevel"/>
    <w:tmpl w:val="B96E308C"/>
    <w:lvl w:ilvl="0" w:tplc="68B66CFE">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4D5BC5"/>
    <w:multiLevelType w:val="hybridMultilevel"/>
    <w:tmpl w:val="B81A4B9C"/>
    <w:lvl w:ilvl="0" w:tplc="68B66CFE">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504F95"/>
    <w:multiLevelType w:val="hybridMultilevel"/>
    <w:tmpl w:val="8DFEB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2345B7"/>
    <w:multiLevelType w:val="hybridMultilevel"/>
    <w:tmpl w:val="C53C3B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120222"/>
    <w:multiLevelType w:val="hybridMultilevel"/>
    <w:tmpl w:val="09205C32"/>
    <w:lvl w:ilvl="0" w:tplc="68B66CFE">
      <w:start w:val="2"/>
      <w:numFmt w:val="lowerLetter"/>
      <w:lvlText w:val="%1."/>
      <w:lvlJc w:val="left"/>
      <w:pPr>
        <w:ind w:left="108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26B5E4A"/>
    <w:multiLevelType w:val="hybridMultilevel"/>
    <w:tmpl w:val="EA402B96"/>
    <w:lvl w:ilvl="0" w:tplc="68B66CFE">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20093D"/>
    <w:multiLevelType w:val="hybridMultilevel"/>
    <w:tmpl w:val="31B2E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1E3D1C"/>
    <w:multiLevelType w:val="hybridMultilevel"/>
    <w:tmpl w:val="3898A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4"/>
  </w:num>
  <w:num w:numId="4">
    <w:abstractNumId w:val="8"/>
  </w:num>
  <w:num w:numId="5">
    <w:abstractNumId w:val="5"/>
  </w:num>
  <w:num w:numId="6">
    <w:abstractNumId w:val="6"/>
  </w:num>
  <w:num w:numId="7">
    <w:abstractNumId w:val="0"/>
  </w:num>
  <w:num w:numId="8">
    <w:abstractNumId w:val="2"/>
  </w:num>
  <w:num w:numId="9">
    <w:abstractNumId w:val="7"/>
  </w:num>
  <w:num w:numId="10">
    <w:abstractNumId w:val="3"/>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4725EE"/>
    <w:rsid w:val="000D02E0"/>
    <w:rsid w:val="000F01F7"/>
    <w:rsid w:val="00122934"/>
    <w:rsid w:val="00214CB4"/>
    <w:rsid w:val="002D3376"/>
    <w:rsid w:val="00350D92"/>
    <w:rsid w:val="003D743C"/>
    <w:rsid w:val="00435AD4"/>
    <w:rsid w:val="004725EE"/>
    <w:rsid w:val="0054193A"/>
    <w:rsid w:val="005902F9"/>
    <w:rsid w:val="005A7A76"/>
    <w:rsid w:val="005B37A5"/>
    <w:rsid w:val="005C5ABA"/>
    <w:rsid w:val="006C7995"/>
    <w:rsid w:val="0083570C"/>
    <w:rsid w:val="0084751F"/>
    <w:rsid w:val="008B43D6"/>
    <w:rsid w:val="009045DC"/>
    <w:rsid w:val="00B6034D"/>
    <w:rsid w:val="00BC30D6"/>
    <w:rsid w:val="00C34A58"/>
    <w:rsid w:val="00C91303"/>
    <w:rsid w:val="00CF6C64"/>
    <w:rsid w:val="00D61E2B"/>
    <w:rsid w:val="00D90C2E"/>
    <w:rsid w:val="00DF2350"/>
    <w:rsid w:val="00E9269E"/>
    <w:rsid w:val="00EA5D07"/>
    <w:rsid w:val="00F07B89"/>
    <w:rsid w:val="00F21722"/>
    <w:rsid w:val="00F51C6B"/>
    <w:rsid w:val="00F67C32"/>
    <w:rsid w:val="00FC00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C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4725EE"/>
    <w:pPr>
      <w:numPr>
        <w:numId w:val="1"/>
      </w:numPr>
      <w:contextualSpacing/>
    </w:pPr>
  </w:style>
  <w:style w:type="paragraph" w:styleId="BalloonText">
    <w:name w:val="Balloon Text"/>
    <w:basedOn w:val="Normal"/>
    <w:link w:val="BalloonTextChar"/>
    <w:uiPriority w:val="99"/>
    <w:semiHidden/>
    <w:unhideWhenUsed/>
    <w:rsid w:val="006C79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995"/>
    <w:rPr>
      <w:rFonts w:ascii="Tahoma" w:hAnsi="Tahoma" w:cs="Tahoma"/>
      <w:sz w:val="16"/>
      <w:szCs w:val="16"/>
    </w:rPr>
  </w:style>
  <w:style w:type="paragraph" w:styleId="ListParagraph">
    <w:name w:val="List Paragraph"/>
    <w:basedOn w:val="Normal"/>
    <w:uiPriority w:val="34"/>
    <w:qFormat/>
    <w:rsid w:val="0054193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TEJASVE</dc:creator>
  <cp:keywords/>
  <dc:description/>
  <cp:lastModifiedBy>TEJASVE</cp:lastModifiedBy>
  <cp:revision>32</cp:revision>
  <dcterms:created xsi:type="dcterms:W3CDTF">2010-11-11T05:38:00Z</dcterms:created>
  <dcterms:modified xsi:type="dcterms:W3CDTF">2010-11-11T09:05:00Z</dcterms:modified>
</cp:coreProperties>
</file>