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F71" w:rsidRPr="00B02874" w:rsidRDefault="008B1E04" w:rsidP="008B1E04">
      <w:pPr>
        <w:jc w:val="center"/>
        <w:rPr>
          <w:b/>
          <w:color w:val="215868" w:themeColor="accent5" w:themeShade="80"/>
          <w:sz w:val="32"/>
          <w:szCs w:val="32"/>
        </w:rPr>
      </w:pPr>
      <w:r w:rsidRPr="00B02874">
        <w:rPr>
          <w:b/>
          <w:color w:val="215868" w:themeColor="accent5" w:themeShade="80"/>
          <w:sz w:val="32"/>
          <w:szCs w:val="32"/>
        </w:rPr>
        <w:t>DEPOSITORY ACT</w:t>
      </w:r>
      <w:r w:rsidR="00D820AB" w:rsidRPr="00B02874">
        <w:rPr>
          <w:b/>
          <w:color w:val="215868" w:themeColor="accent5" w:themeShade="80"/>
          <w:sz w:val="32"/>
          <w:szCs w:val="32"/>
        </w:rPr>
        <w:t>, 1996</w:t>
      </w:r>
      <w:r w:rsidR="00823BE3" w:rsidRPr="00B02874">
        <w:rPr>
          <w:b/>
          <w:color w:val="215868" w:themeColor="accent5" w:themeShade="80"/>
          <w:sz w:val="32"/>
          <w:szCs w:val="32"/>
        </w:rPr>
        <w:t>.</w:t>
      </w:r>
    </w:p>
    <w:p w:rsidR="008B1E04" w:rsidRDefault="008B1E04" w:rsidP="008B1E04">
      <w:pPr>
        <w:jc w:val="center"/>
        <w:rPr>
          <w:b/>
          <w:color w:val="4A442A" w:themeColor="background2" w:themeShade="40"/>
          <w:sz w:val="32"/>
          <w:szCs w:val="32"/>
        </w:rPr>
      </w:pPr>
    </w:p>
    <w:p w:rsidR="008B1E04" w:rsidRDefault="008B1E04" w:rsidP="008B1E04">
      <w:pPr>
        <w:jc w:val="both"/>
      </w:pPr>
      <w:r>
        <w:rPr>
          <w:color w:val="4A442A" w:themeColor="background2" w:themeShade="40"/>
        </w:rPr>
        <w:t>According to Section 2(</w:t>
      </w:r>
      <w:proofErr w:type="spellStart"/>
      <w:r>
        <w:rPr>
          <w:color w:val="4A442A" w:themeColor="background2" w:themeShade="40"/>
        </w:rPr>
        <w:t>i</w:t>
      </w:r>
      <w:proofErr w:type="spellEnd"/>
      <w:r>
        <w:rPr>
          <w:color w:val="4A442A" w:themeColor="background2" w:themeShade="40"/>
        </w:rPr>
        <w:t>) of The Depository Act, 1996 ”</w:t>
      </w:r>
      <w:r>
        <w:rPr>
          <w:b/>
          <w:color w:val="215868" w:themeColor="accent5" w:themeShade="80"/>
        </w:rPr>
        <w:t>Depository means a Company formed and registered under the Companies Act and which has been granted a certificate of registration U/s 12 (1A) of The SEBI Act, 1992.</w:t>
      </w:r>
      <w:r>
        <w:rPr>
          <w:b/>
        </w:rPr>
        <w:t>”</w:t>
      </w:r>
      <w:r>
        <w:t xml:space="preserve"> A Depository cannot act as a Depository unless it obtains a certificate of commencement of business from SEBI. All the securities held by a depository shall be dematerialized and shall be in fungible form.</w:t>
      </w:r>
    </w:p>
    <w:p w:rsidR="00823BE3" w:rsidRDefault="00823BE3" w:rsidP="008B1E04">
      <w:pPr>
        <w:jc w:val="both"/>
      </w:pPr>
      <w:r>
        <w:t>In India at present there are just two Depositories:</w:t>
      </w:r>
    </w:p>
    <w:p w:rsidR="00823BE3" w:rsidRDefault="00823BE3" w:rsidP="00823BE3">
      <w:pPr>
        <w:pStyle w:val="ListParagraph"/>
        <w:numPr>
          <w:ilvl w:val="0"/>
          <w:numId w:val="1"/>
        </w:numPr>
        <w:jc w:val="both"/>
      </w:pPr>
      <w:r>
        <w:t>NSDL</w:t>
      </w:r>
    </w:p>
    <w:p w:rsidR="00823BE3" w:rsidRDefault="00823BE3" w:rsidP="00823BE3">
      <w:pPr>
        <w:pStyle w:val="ListParagraph"/>
        <w:numPr>
          <w:ilvl w:val="0"/>
          <w:numId w:val="1"/>
        </w:numPr>
        <w:jc w:val="both"/>
      </w:pPr>
      <w:r>
        <w:t>CDSL</w:t>
      </w:r>
    </w:p>
    <w:p w:rsidR="008B1E04" w:rsidRDefault="008B1E04" w:rsidP="008B1E04">
      <w:pPr>
        <w:jc w:val="both"/>
      </w:pPr>
    </w:p>
    <w:p w:rsidR="008B1E04" w:rsidRDefault="00823BE3" w:rsidP="008B1E04">
      <w:pPr>
        <w:jc w:val="both"/>
      </w:pPr>
      <w:r>
        <w:rPr>
          <w:b/>
          <w:color w:val="943634" w:themeColor="accent2" w:themeShade="BF"/>
        </w:rPr>
        <w:t>CONCEPT OF FUNGIBILITY:</w:t>
      </w:r>
      <w:r>
        <w:rPr>
          <w:b/>
        </w:rPr>
        <w:t xml:space="preserve"> </w:t>
      </w:r>
      <w:r>
        <w:t xml:space="preserve">This concept </w:t>
      </w:r>
      <w:r w:rsidRPr="00823BE3">
        <w:t>implies that all Certificates of the same security are interchangeable in the sense that investor loses the right to obtain the exact certificate they surrender at the time of expiry into depository.</w:t>
      </w:r>
    </w:p>
    <w:p w:rsidR="00823BE3" w:rsidRDefault="00823BE3" w:rsidP="008B1E04">
      <w:pPr>
        <w:jc w:val="both"/>
      </w:pPr>
    </w:p>
    <w:p w:rsidR="00823BE3" w:rsidRDefault="00823BE3" w:rsidP="008B1E04">
      <w:pPr>
        <w:jc w:val="both"/>
      </w:pPr>
      <w:r w:rsidRPr="00823BE3">
        <w:rPr>
          <w:b/>
          <w:color w:val="943634" w:themeColor="accent2" w:themeShade="BF"/>
        </w:rPr>
        <w:t>DEPOSITORY</w:t>
      </w:r>
      <w:r>
        <w:t xml:space="preserve"> </w:t>
      </w:r>
      <w:r w:rsidRPr="00823BE3">
        <w:rPr>
          <w:b/>
          <w:color w:val="943634" w:themeColor="accent2" w:themeShade="BF"/>
        </w:rPr>
        <w:t>PARTICIPANTS:</w:t>
      </w:r>
      <w:r>
        <w:rPr>
          <w:color w:val="943634" w:themeColor="accent2" w:themeShade="BF"/>
        </w:rPr>
        <w:t xml:space="preserve">  </w:t>
      </w:r>
      <w:r w:rsidRPr="00823BE3">
        <w:t xml:space="preserve">Depository </w:t>
      </w:r>
      <w:r>
        <w:t>does not render services directly but only through an agent who is registered as Depository Participant with SEBI. The relationship between the Depository and the Participant is that of a principal and agent and is governed by the bylaws of the depository and the agreement between them.</w:t>
      </w:r>
    </w:p>
    <w:p w:rsidR="00456B23" w:rsidRDefault="00456B23" w:rsidP="008B1E04">
      <w:pPr>
        <w:jc w:val="both"/>
      </w:pPr>
      <w:r>
        <w:t>Depository Participants are similar to the Broker who trades on your behalf in and outside the Stock Exchange. A depository Participant is your representative in the Depository System. It maintains your securities account balance and intimates you the status of your holding from time to time.</w:t>
      </w:r>
    </w:p>
    <w:p w:rsidR="00823BE3" w:rsidRDefault="00823BE3" w:rsidP="00823BE3">
      <w:pPr>
        <w:contextualSpacing/>
        <w:jc w:val="both"/>
      </w:pPr>
      <w:r>
        <w:t>All the stock brokers, bank who offer the services of Depository (DEMAT) are depository participants.</w:t>
      </w:r>
    </w:p>
    <w:p w:rsidR="00823BE3" w:rsidRDefault="00823BE3" w:rsidP="008B1E04">
      <w:pPr>
        <w:jc w:val="both"/>
      </w:pPr>
      <w:r>
        <w:t xml:space="preserve">Examples: </w:t>
      </w:r>
      <w:proofErr w:type="spellStart"/>
      <w:r>
        <w:t>Ashika</w:t>
      </w:r>
      <w:proofErr w:type="spellEnd"/>
      <w:r>
        <w:t xml:space="preserve"> Stock Broking, SKP Securities Ltd., India Bulls Ltd., </w:t>
      </w:r>
      <w:proofErr w:type="spellStart"/>
      <w:r w:rsidR="00B02874">
        <w:t>Sharekhan</w:t>
      </w:r>
      <w:proofErr w:type="spellEnd"/>
      <w:r w:rsidR="00B02874">
        <w:t xml:space="preserve"> Ltd, ICICI Bank, Axis Bank Etc.</w:t>
      </w:r>
    </w:p>
    <w:p w:rsidR="00B02874" w:rsidRDefault="00B02874" w:rsidP="008B1E04">
      <w:pPr>
        <w:jc w:val="both"/>
      </w:pPr>
    </w:p>
    <w:p w:rsidR="00B02874" w:rsidRDefault="00B02874" w:rsidP="008B1E04">
      <w:pPr>
        <w:jc w:val="both"/>
      </w:pPr>
      <w:r w:rsidRPr="00B02874">
        <w:rPr>
          <w:b/>
          <w:color w:val="943634" w:themeColor="accent2" w:themeShade="BF"/>
        </w:rPr>
        <w:t>REGISTERED OWNER Vs BENEFICIAL OWNER:</w:t>
      </w:r>
      <w:r>
        <w:rPr>
          <w:color w:val="943634" w:themeColor="accent2" w:themeShade="BF"/>
        </w:rPr>
        <w:t xml:space="preserve"> </w:t>
      </w:r>
      <w:r>
        <w:t>Depository is deemed owner of the securities lying in the depository and such registered owner shall have right to affect the transfer of securities on behalf of the beneficial owner, but shall not have a right to vote or other rights associated with the securities.</w:t>
      </w:r>
    </w:p>
    <w:p w:rsidR="00B02874" w:rsidRDefault="00B02874" w:rsidP="008B1E04">
      <w:pPr>
        <w:jc w:val="both"/>
      </w:pPr>
      <w:r>
        <w:t xml:space="preserve">Beneficial owner are the actual owner </w:t>
      </w:r>
      <w:r w:rsidR="006E0FDB">
        <w:t xml:space="preserve">(real owner) </w:t>
      </w:r>
      <w:r>
        <w:t>of the securities lying with the Depository. They enjoy all the rights associated with a security such as right to dividend, right to bonus, voting rights etc.</w:t>
      </w:r>
    </w:p>
    <w:p w:rsidR="00B02874" w:rsidRDefault="00B02874" w:rsidP="008B1E04">
      <w:pPr>
        <w:jc w:val="both"/>
      </w:pPr>
    </w:p>
    <w:p w:rsidR="00B02874" w:rsidRPr="00B02874" w:rsidRDefault="00B02874" w:rsidP="008B1E04">
      <w:pPr>
        <w:jc w:val="both"/>
      </w:pPr>
      <w:r w:rsidRPr="00B02874">
        <w:rPr>
          <w:b/>
          <w:color w:val="943634" w:themeColor="accent2" w:themeShade="BF"/>
        </w:rPr>
        <w:lastRenderedPageBreak/>
        <w:t>CONCEPT OF FREE TRANSFERABILITY OF SHARES:</w:t>
      </w:r>
      <w:r>
        <w:rPr>
          <w:b/>
          <w:color w:val="943634" w:themeColor="accent2" w:themeShade="BF"/>
        </w:rPr>
        <w:t xml:space="preserve"> </w:t>
      </w:r>
      <w:r>
        <w:t xml:space="preserve">It refers to a situation where on receipt of an intimation regarding settlement of purchase transaction, the transfer of security is </w:t>
      </w:r>
      <w:r w:rsidR="00273CEC">
        <w:t>affected</w:t>
      </w:r>
      <w:r>
        <w:t xml:space="preserve"> immediately and the transferee enjoys all the right and obligation associated with the security.</w:t>
      </w:r>
    </w:p>
    <w:p w:rsidR="00823BE3" w:rsidRDefault="00273CEC" w:rsidP="008B1E04">
      <w:pPr>
        <w:jc w:val="both"/>
      </w:pPr>
      <w:r w:rsidRPr="00273CEC">
        <w:rPr>
          <w:b/>
          <w:color w:val="943634" w:themeColor="accent2" w:themeShade="BF"/>
        </w:rPr>
        <w:t>DEPOSITORY IS THE BANK OF SECURITY:</w:t>
      </w:r>
      <w:r>
        <w:rPr>
          <w:b/>
          <w:color w:val="943634" w:themeColor="accent2" w:themeShade="BF"/>
        </w:rPr>
        <w:t xml:space="preserve"> </w:t>
      </w:r>
      <w:r>
        <w:t>In a layman’s word a depository can be described as a bank of securities. It renders all those services with regard to securities which a bank does with currency.</w:t>
      </w:r>
    </w:p>
    <w:p w:rsidR="00273CEC" w:rsidRPr="00273CEC" w:rsidRDefault="00273CEC" w:rsidP="008B1E04">
      <w:pPr>
        <w:jc w:val="both"/>
        <w:rPr>
          <w:b/>
          <w:color w:val="4F6228" w:themeColor="accent3" w:themeShade="80"/>
        </w:rPr>
      </w:pPr>
      <w:r w:rsidRPr="00273CEC">
        <w:rPr>
          <w:b/>
          <w:color w:val="4F6228" w:themeColor="accent3" w:themeShade="80"/>
        </w:rPr>
        <w:t>Comparison of Depository with a Bank:</w:t>
      </w:r>
    </w:p>
    <w:p w:rsidR="00823BE3" w:rsidRDefault="00715F65" w:rsidP="008B1E04">
      <w:pPr>
        <w:jc w:val="both"/>
      </w:pPr>
      <w:r>
        <w:rPr>
          <w:sz w:val="20"/>
          <w:szCs w:val="20"/>
        </w:rPr>
        <w:t>A bank and a depository are similar in several ways, as under:</w:t>
      </w:r>
    </w:p>
    <w:tbl>
      <w:tblPr>
        <w:tblW w:w="9288" w:type="dxa"/>
        <w:tblInd w:w="180" w:type="dxa"/>
        <w:tblBorders>
          <w:top w:val="nil"/>
          <w:left w:val="nil"/>
          <w:bottom w:val="nil"/>
          <w:right w:val="nil"/>
        </w:tblBorders>
        <w:tblLayout w:type="fixed"/>
        <w:tblLook w:val="0000"/>
      </w:tblPr>
      <w:tblGrid>
        <w:gridCol w:w="4518"/>
        <w:gridCol w:w="4770"/>
      </w:tblGrid>
      <w:tr w:rsidR="00715F65" w:rsidTr="00715F65">
        <w:tblPrEx>
          <w:tblCellMar>
            <w:top w:w="0" w:type="dxa"/>
            <w:bottom w:w="0" w:type="dxa"/>
          </w:tblCellMar>
        </w:tblPrEx>
        <w:trPr>
          <w:trHeight w:val="127"/>
        </w:trPr>
        <w:tc>
          <w:tcPr>
            <w:tcW w:w="4518" w:type="dxa"/>
            <w:tcBorders>
              <w:top w:val="single" w:sz="8" w:space="0" w:color="000000"/>
              <w:left w:val="single" w:sz="8" w:space="0" w:color="000000"/>
              <w:bottom w:val="single" w:sz="8" w:space="0" w:color="000000"/>
              <w:right w:val="single" w:sz="8" w:space="0" w:color="000000"/>
            </w:tcBorders>
            <w:shd w:val="clear" w:color="auto" w:fill="CCC0D9" w:themeFill="accent4" w:themeFillTint="66"/>
          </w:tcPr>
          <w:p w:rsidR="00715F65" w:rsidRPr="00715F65" w:rsidRDefault="00715F65" w:rsidP="00715F65">
            <w:pPr>
              <w:pStyle w:val="Default"/>
              <w:spacing w:before="100" w:after="100"/>
              <w:jc w:val="center"/>
              <w:rPr>
                <w:color w:val="403152" w:themeColor="accent4" w:themeShade="80"/>
                <w:sz w:val="20"/>
                <w:szCs w:val="20"/>
              </w:rPr>
            </w:pPr>
            <w:r w:rsidRPr="00715F65">
              <w:rPr>
                <w:b/>
                <w:bCs/>
                <w:color w:val="403152" w:themeColor="accent4" w:themeShade="80"/>
                <w:sz w:val="20"/>
                <w:szCs w:val="20"/>
              </w:rPr>
              <w:t>A Bank</w:t>
            </w:r>
          </w:p>
        </w:tc>
        <w:tc>
          <w:tcPr>
            <w:tcW w:w="4770" w:type="dxa"/>
            <w:tcBorders>
              <w:top w:val="single" w:sz="8" w:space="0" w:color="000000"/>
              <w:left w:val="single" w:sz="8" w:space="0" w:color="000000"/>
              <w:bottom w:val="single" w:sz="8" w:space="0" w:color="000000"/>
              <w:right w:val="single" w:sz="8" w:space="0" w:color="000000"/>
            </w:tcBorders>
            <w:shd w:val="clear" w:color="auto" w:fill="CCC0D9" w:themeFill="accent4" w:themeFillTint="66"/>
          </w:tcPr>
          <w:p w:rsidR="00715F65" w:rsidRPr="00715F65" w:rsidRDefault="00715F65" w:rsidP="00715F65">
            <w:pPr>
              <w:pStyle w:val="Default"/>
              <w:spacing w:before="100" w:after="100"/>
              <w:jc w:val="center"/>
              <w:rPr>
                <w:color w:val="403152" w:themeColor="accent4" w:themeShade="80"/>
                <w:sz w:val="20"/>
                <w:szCs w:val="20"/>
              </w:rPr>
            </w:pPr>
            <w:r w:rsidRPr="00715F65">
              <w:rPr>
                <w:b/>
                <w:bCs/>
                <w:color w:val="403152" w:themeColor="accent4" w:themeShade="80"/>
                <w:sz w:val="20"/>
                <w:szCs w:val="20"/>
              </w:rPr>
              <w:t>A Depository</w:t>
            </w:r>
          </w:p>
        </w:tc>
      </w:tr>
      <w:tr w:rsidR="00715F65" w:rsidTr="00715F65">
        <w:tblPrEx>
          <w:tblCellMar>
            <w:top w:w="0" w:type="dxa"/>
            <w:bottom w:w="0" w:type="dxa"/>
          </w:tblCellMar>
        </w:tblPrEx>
        <w:trPr>
          <w:trHeight w:val="305"/>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Promoted by persons and institutions of repute and good standing. </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Promoted by persons and institutions of repute and good standing. </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Renders services like safe keeping of the money (funds) of customers in book entry form. </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Renders services like safe keeping of securities (shares, bonds, debentures etc.) of the customers in book entry form. </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Has an administrative Central Office and renders services (like account opening), generally, through branches. </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Has an administrative Central Office and renders services through Depository Participants (DPs) and their branches. </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Is required to verify the identity and address of the customer before opening a bank account. </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Is required to verify the identity and address of the investor before opening a </w:t>
            </w:r>
            <w:proofErr w:type="spellStart"/>
            <w:r>
              <w:rPr>
                <w:sz w:val="20"/>
                <w:szCs w:val="20"/>
              </w:rPr>
              <w:t>demat</w:t>
            </w:r>
            <w:proofErr w:type="spellEnd"/>
            <w:r>
              <w:rPr>
                <w:sz w:val="20"/>
                <w:szCs w:val="20"/>
              </w:rPr>
              <w:t xml:space="preserve"> account. </w:t>
            </w:r>
          </w:p>
        </w:tc>
      </w:tr>
      <w:tr w:rsidR="00715F65" w:rsidTr="00715F65">
        <w:tblPrEx>
          <w:tblCellMar>
            <w:top w:w="0" w:type="dxa"/>
            <w:bottom w:w="0" w:type="dxa"/>
          </w:tblCellMar>
        </w:tblPrEx>
        <w:trPr>
          <w:trHeight w:val="952"/>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The bank is entitled to charge some fees for the services like account maintenance, remittances, safe custody etc.</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The depository is entitled to charge some fees for the services like account maintenance, dematerialization, pledging, transaction charges etc. </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Facilitates transfer of funds within the bank (transfer) and also between two banking institutions (through clearing). </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Facilitates transfer of ownership of securities within the depository (transfer) and also between two depositories (Inter Depository transfer)</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rsidP="00715F65">
            <w:pPr>
              <w:pStyle w:val="Default"/>
              <w:spacing w:before="100" w:after="100"/>
              <w:jc w:val="both"/>
              <w:rPr>
                <w:sz w:val="20"/>
                <w:szCs w:val="20"/>
              </w:rPr>
            </w:pPr>
            <w:r>
              <w:rPr>
                <w:sz w:val="20"/>
                <w:szCs w:val="20"/>
              </w:rPr>
              <w:t xml:space="preserve">Currency notes held in physical form are specific and have distinctive identification features and numbers. However, the funds (say, Indian Rupees or U S Dollars) lying in a bank account are fungible (i.e. exactly similar, inseparable and without any identification number). </w:t>
            </w:r>
          </w:p>
          <w:p w:rsidR="00715F65" w:rsidRDefault="00715F65">
            <w:pPr>
              <w:pStyle w:val="Default"/>
              <w:spacing w:before="100" w:after="100"/>
              <w:jc w:val="both"/>
              <w:rPr>
                <w:sz w:val="20"/>
                <w:szCs w:val="20"/>
              </w:rPr>
            </w:pP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Securities held in physical form are specific and have distinctive identification features and numbers. However, the securities (say, Equity Shares, bonds, debentures, Government Securities etc.) lying in a </w:t>
            </w:r>
            <w:proofErr w:type="spellStart"/>
            <w:r>
              <w:rPr>
                <w:sz w:val="20"/>
                <w:szCs w:val="20"/>
              </w:rPr>
              <w:t>demat</w:t>
            </w:r>
            <w:proofErr w:type="spellEnd"/>
            <w:r>
              <w:rPr>
                <w:sz w:val="20"/>
                <w:szCs w:val="20"/>
              </w:rPr>
              <w:t xml:space="preserve"> account are fungible (i.e. exactly similar, inseparable and without any identification number). </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A bank needs express written consent of the customer (like a cheque) for debiting his account. </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A depository needs express written consent (Debit Instruction Slip) of the account holder for debiting his account.</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rsidP="00715F65">
            <w:pPr>
              <w:pStyle w:val="Default"/>
              <w:spacing w:before="100" w:after="100"/>
              <w:jc w:val="both"/>
              <w:rPr>
                <w:sz w:val="20"/>
                <w:szCs w:val="20"/>
              </w:rPr>
            </w:pPr>
            <w:r>
              <w:rPr>
                <w:sz w:val="20"/>
                <w:szCs w:val="20"/>
              </w:rPr>
              <w:t>Power of attorney holder can operate a bank account.</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A </w:t>
            </w:r>
            <w:proofErr w:type="spellStart"/>
            <w:r>
              <w:rPr>
                <w:sz w:val="20"/>
                <w:szCs w:val="20"/>
              </w:rPr>
              <w:t>demat</w:t>
            </w:r>
            <w:proofErr w:type="spellEnd"/>
            <w:r>
              <w:rPr>
                <w:sz w:val="20"/>
                <w:szCs w:val="20"/>
              </w:rPr>
              <w:t xml:space="preserve"> account can be operated by power of attorney holder </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rsidP="00715F65">
            <w:pPr>
              <w:pStyle w:val="Default"/>
              <w:spacing w:before="100" w:after="100"/>
              <w:jc w:val="both"/>
              <w:rPr>
                <w:sz w:val="20"/>
                <w:szCs w:val="20"/>
              </w:rPr>
            </w:pPr>
            <w:r>
              <w:rPr>
                <w:sz w:val="20"/>
                <w:szCs w:val="20"/>
              </w:rPr>
              <w:lastRenderedPageBreak/>
              <w:t xml:space="preserve">A bank customer is entitled to get a statement of account from the branch periodically. </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An account holder is entitled to get a statement of </w:t>
            </w:r>
            <w:proofErr w:type="spellStart"/>
            <w:r>
              <w:rPr>
                <w:sz w:val="20"/>
                <w:szCs w:val="20"/>
              </w:rPr>
              <w:t>demat</w:t>
            </w:r>
            <w:proofErr w:type="spellEnd"/>
            <w:r>
              <w:rPr>
                <w:sz w:val="20"/>
                <w:szCs w:val="20"/>
              </w:rPr>
              <w:t xml:space="preserve"> account periodically from the DP.</w:t>
            </w:r>
          </w:p>
        </w:tc>
      </w:tr>
      <w:tr w:rsidR="00715F65" w:rsidTr="00715F65">
        <w:tblPrEx>
          <w:tblCellMar>
            <w:top w:w="0" w:type="dxa"/>
            <w:bottom w:w="0" w:type="dxa"/>
          </w:tblCellMar>
        </w:tblPrEx>
        <w:trPr>
          <w:trHeight w:val="486"/>
        </w:trPr>
        <w:tc>
          <w:tcPr>
            <w:tcW w:w="4518" w:type="dxa"/>
            <w:tcBorders>
              <w:top w:val="single" w:sz="8" w:space="0" w:color="000000"/>
              <w:left w:val="single" w:sz="8" w:space="0" w:color="000000"/>
              <w:bottom w:val="single" w:sz="8" w:space="0" w:color="000000"/>
              <w:right w:val="single" w:sz="8" w:space="0" w:color="000000"/>
            </w:tcBorders>
          </w:tcPr>
          <w:p w:rsidR="00715F65" w:rsidRDefault="00715F65" w:rsidP="00715F65">
            <w:pPr>
              <w:pStyle w:val="Default"/>
              <w:spacing w:before="100" w:after="100"/>
              <w:jc w:val="both"/>
              <w:rPr>
                <w:sz w:val="20"/>
                <w:szCs w:val="20"/>
              </w:rPr>
            </w:pPr>
            <w:r>
              <w:rPr>
                <w:sz w:val="20"/>
                <w:szCs w:val="20"/>
              </w:rPr>
              <w:t>Nomination facility is available in the bank account.</w:t>
            </w:r>
          </w:p>
        </w:tc>
        <w:tc>
          <w:tcPr>
            <w:tcW w:w="4770" w:type="dxa"/>
            <w:tcBorders>
              <w:top w:val="single" w:sz="8" w:space="0" w:color="000000"/>
              <w:left w:val="single" w:sz="8" w:space="0" w:color="000000"/>
              <w:bottom w:val="single" w:sz="8" w:space="0" w:color="000000"/>
              <w:right w:val="single" w:sz="8" w:space="0" w:color="000000"/>
            </w:tcBorders>
          </w:tcPr>
          <w:p w:rsidR="00715F65" w:rsidRDefault="00715F65">
            <w:pPr>
              <w:pStyle w:val="Default"/>
              <w:spacing w:before="100" w:after="100"/>
              <w:jc w:val="both"/>
              <w:rPr>
                <w:sz w:val="20"/>
                <w:szCs w:val="20"/>
              </w:rPr>
            </w:pPr>
            <w:r>
              <w:rPr>
                <w:sz w:val="20"/>
                <w:szCs w:val="20"/>
              </w:rPr>
              <w:t xml:space="preserve">Nomination facility is available in case of </w:t>
            </w:r>
            <w:proofErr w:type="spellStart"/>
            <w:r>
              <w:rPr>
                <w:sz w:val="20"/>
                <w:szCs w:val="20"/>
              </w:rPr>
              <w:t>demat</w:t>
            </w:r>
            <w:proofErr w:type="spellEnd"/>
            <w:r>
              <w:rPr>
                <w:sz w:val="20"/>
                <w:szCs w:val="20"/>
              </w:rPr>
              <w:t xml:space="preserve"> accounts also. </w:t>
            </w:r>
          </w:p>
        </w:tc>
      </w:tr>
    </w:tbl>
    <w:p w:rsidR="006E0FDB" w:rsidRDefault="006E0FDB" w:rsidP="008B1E04">
      <w:pPr>
        <w:jc w:val="both"/>
      </w:pPr>
    </w:p>
    <w:p w:rsidR="006E0FDB" w:rsidRDefault="006E0FDB" w:rsidP="008B1E04">
      <w:pPr>
        <w:jc w:val="both"/>
      </w:pPr>
    </w:p>
    <w:p w:rsidR="008A52D4" w:rsidRDefault="008A52D4" w:rsidP="008A52D4">
      <w:pPr>
        <w:jc w:val="both"/>
      </w:pPr>
      <w:r>
        <w:rPr>
          <w:sz w:val="20"/>
          <w:szCs w:val="20"/>
        </w:rPr>
        <w:t>A bank and a depository are not similar in several ways, as under:</w:t>
      </w:r>
    </w:p>
    <w:p w:rsidR="008A52D4" w:rsidRDefault="008A52D4" w:rsidP="008B1E04">
      <w:pPr>
        <w:jc w:val="both"/>
      </w:pPr>
    </w:p>
    <w:tbl>
      <w:tblPr>
        <w:tblStyle w:val="TableGrid"/>
        <w:tblW w:w="0" w:type="auto"/>
        <w:tblLook w:val="04A0"/>
      </w:tblPr>
      <w:tblGrid>
        <w:gridCol w:w="4788"/>
        <w:gridCol w:w="4788"/>
      </w:tblGrid>
      <w:tr w:rsidR="008A52D4" w:rsidTr="008A52D4">
        <w:tc>
          <w:tcPr>
            <w:tcW w:w="4788" w:type="dxa"/>
            <w:shd w:val="clear" w:color="auto" w:fill="CCC0D9" w:themeFill="accent4" w:themeFillTint="66"/>
          </w:tcPr>
          <w:p w:rsidR="008A52D4" w:rsidRPr="008A52D4" w:rsidRDefault="008A52D4" w:rsidP="008A52D4">
            <w:pPr>
              <w:pStyle w:val="Default"/>
              <w:spacing w:before="100" w:after="100"/>
              <w:jc w:val="center"/>
              <w:rPr>
                <w:color w:val="403152" w:themeColor="accent4" w:themeShade="80"/>
                <w:sz w:val="20"/>
                <w:szCs w:val="20"/>
              </w:rPr>
            </w:pPr>
            <w:r w:rsidRPr="008A52D4">
              <w:rPr>
                <w:b/>
                <w:bCs/>
                <w:color w:val="403152" w:themeColor="accent4" w:themeShade="80"/>
                <w:sz w:val="20"/>
                <w:szCs w:val="20"/>
              </w:rPr>
              <w:t xml:space="preserve">A Bank </w:t>
            </w:r>
          </w:p>
        </w:tc>
        <w:tc>
          <w:tcPr>
            <w:tcW w:w="4788" w:type="dxa"/>
            <w:shd w:val="clear" w:color="auto" w:fill="CCC0D9" w:themeFill="accent4" w:themeFillTint="66"/>
          </w:tcPr>
          <w:p w:rsidR="008A52D4" w:rsidRPr="008A52D4" w:rsidRDefault="008A52D4" w:rsidP="008A52D4">
            <w:pPr>
              <w:pStyle w:val="Default"/>
              <w:spacing w:before="100" w:after="100"/>
              <w:ind w:right="1463"/>
              <w:jc w:val="center"/>
              <w:rPr>
                <w:color w:val="403152" w:themeColor="accent4" w:themeShade="80"/>
                <w:sz w:val="20"/>
                <w:szCs w:val="20"/>
              </w:rPr>
            </w:pPr>
            <w:r w:rsidRPr="008A52D4">
              <w:rPr>
                <w:b/>
                <w:bCs/>
                <w:color w:val="403152" w:themeColor="accent4" w:themeShade="80"/>
                <w:sz w:val="20"/>
                <w:szCs w:val="20"/>
              </w:rPr>
              <w:t>A Depository</w:t>
            </w:r>
          </w:p>
        </w:tc>
      </w:tr>
      <w:tr w:rsidR="008A52D4" w:rsidTr="008A52D4">
        <w:tc>
          <w:tcPr>
            <w:tcW w:w="4788" w:type="dxa"/>
          </w:tcPr>
          <w:p w:rsidR="008A52D4" w:rsidRDefault="008A52D4" w:rsidP="00766FC9">
            <w:pPr>
              <w:pStyle w:val="Default"/>
              <w:spacing w:before="100" w:after="100"/>
              <w:jc w:val="both"/>
              <w:rPr>
                <w:sz w:val="20"/>
                <w:szCs w:val="20"/>
              </w:rPr>
            </w:pPr>
            <w:r>
              <w:rPr>
                <w:sz w:val="20"/>
                <w:szCs w:val="20"/>
              </w:rPr>
              <w:t xml:space="preserve">For opening a bank account, such as a savings bank account, a minimum balance has to be deposited along with the account opening form. </w:t>
            </w:r>
          </w:p>
        </w:tc>
        <w:tc>
          <w:tcPr>
            <w:tcW w:w="4788" w:type="dxa"/>
          </w:tcPr>
          <w:p w:rsidR="008A52D4" w:rsidRDefault="008A52D4" w:rsidP="008A52D4">
            <w:pPr>
              <w:pStyle w:val="Default"/>
              <w:tabs>
                <w:tab w:val="left" w:pos="4572"/>
              </w:tabs>
              <w:spacing w:before="100" w:after="100"/>
              <w:jc w:val="both"/>
              <w:rPr>
                <w:sz w:val="20"/>
                <w:szCs w:val="20"/>
              </w:rPr>
            </w:pPr>
            <w:r>
              <w:rPr>
                <w:sz w:val="20"/>
                <w:szCs w:val="20"/>
              </w:rPr>
              <w:t xml:space="preserve">A </w:t>
            </w:r>
            <w:proofErr w:type="spellStart"/>
            <w:r>
              <w:rPr>
                <w:sz w:val="20"/>
                <w:szCs w:val="20"/>
              </w:rPr>
              <w:t>demat</w:t>
            </w:r>
            <w:proofErr w:type="spellEnd"/>
            <w:r>
              <w:rPr>
                <w:sz w:val="20"/>
                <w:szCs w:val="20"/>
              </w:rPr>
              <w:t xml:space="preserve"> account can be opened by an investor even without having/ owning any securities i.e. with zero balance.</w:t>
            </w:r>
          </w:p>
        </w:tc>
      </w:tr>
      <w:tr w:rsidR="008A52D4" w:rsidTr="008A52D4">
        <w:tc>
          <w:tcPr>
            <w:tcW w:w="4788" w:type="dxa"/>
          </w:tcPr>
          <w:p w:rsidR="008A52D4" w:rsidRDefault="008A52D4" w:rsidP="00766FC9">
            <w:pPr>
              <w:pStyle w:val="Default"/>
              <w:spacing w:before="100" w:after="100"/>
              <w:jc w:val="both"/>
              <w:rPr>
                <w:sz w:val="20"/>
                <w:szCs w:val="20"/>
              </w:rPr>
            </w:pPr>
            <w:r>
              <w:rPr>
                <w:sz w:val="20"/>
                <w:szCs w:val="20"/>
              </w:rPr>
              <w:t xml:space="preserve">A customer having an account with a bank is called as </w:t>
            </w:r>
            <w:proofErr w:type="gramStart"/>
            <w:r>
              <w:rPr>
                <w:sz w:val="20"/>
                <w:szCs w:val="20"/>
              </w:rPr>
              <w:t>a</w:t>
            </w:r>
            <w:proofErr w:type="gramEnd"/>
            <w:r>
              <w:rPr>
                <w:sz w:val="20"/>
                <w:szCs w:val="20"/>
              </w:rPr>
              <w:t xml:space="preserve"> Account Holder. </w:t>
            </w:r>
          </w:p>
        </w:tc>
        <w:tc>
          <w:tcPr>
            <w:tcW w:w="4788" w:type="dxa"/>
          </w:tcPr>
          <w:p w:rsidR="008A52D4" w:rsidRDefault="008A52D4" w:rsidP="008A52D4">
            <w:pPr>
              <w:pStyle w:val="Default"/>
              <w:spacing w:before="100" w:after="100"/>
              <w:jc w:val="both"/>
              <w:rPr>
                <w:sz w:val="20"/>
                <w:szCs w:val="20"/>
              </w:rPr>
            </w:pPr>
            <w:r>
              <w:rPr>
                <w:sz w:val="20"/>
                <w:szCs w:val="20"/>
              </w:rPr>
              <w:t xml:space="preserve">An account holder of the depository is called as Beneficial Owner (of the securities). </w:t>
            </w:r>
          </w:p>
        </w:tc>
      </w:tr>
      <w:tr w:rsidR="008A52D4" w:rsidTr="008A52D4">
        <w:tc>
          <w:tcPr>
            <w:tcW w:w="4788" w:type="dxa"/>
          </w:tcPr>
          <w:p w:rsidR="008A52D4" w:rsidRDefault="008A52D4" w:rsidP="00766FC9">
            <w:pPr>
              <w:pStyle w:val="Default"/>
              <w:spacing w:before="100" w:after="100"/>
              <w:jc w:val="both"/>
              <w:rPr>
                <w:sz w:val="20"/>
                <w:szCs w:val="20"/>
              </w:rPr>
            </w:pPr>
            <w:r>
              <w:rPr>
                <w:sz w:val="20"/>
                <w:szCs w:val="20"/>
              </w:rPr>
              <w:t xml:space="preserve">A bank is entitled to use funds lying in the savings or current deposit accounts of the customers in the normal course of business and pays interest to them for the use. </w:t>
            </w:r>
          </w:p>
        </w:tc>
        <w:tc>
          <w:tcPr>
            <w:tcW w:w="4788" w:type="dxa"/>
          </w:tcPr>
          <w:p w:rsidR="008A52D4" w:rsidRDefault="008A52D4" w:rsidP="008A52D4">
            <w:pPr>
              <w:pStyle w:val="Default"/>
              <w:spacing w:before="100" w:after="100"/>
              <w:jc w:val="both"/>
              <w:rPr>
                <w:sz w:val="20"/>
                <w:szCs w:val="20"/>
              </w:rPr>
            </w:pPr>
            <w:r>
              <w:rPr>
                <w:sz w:val="20"/>
                <w:szCs w:val="20"/>
              </w:rPr>
              <w:t xml:space="preserve">A depository is not entitled to use the securities lying in the </w:t>
            </w:r>
            <w:proofErr w:type="spellStart"/>
            <w:r>
              <w:rPr>
                <w:sz w:val="20"/>
                <w:szCs w:val="20"/>
              </w:rPr>
              <w:t>demat</w:t>
            </w:r>
            <w:proofErr w:type="spellEnd"/>
            <w:r>
              <w:rPr>
                <w:sz w:val="20"/>
                <w:szCs w:val="20"/>
              </w:rPr>
              <w:t xml:space="preserve"> accounts of the customers and hence does not pay any interest to them. </w:t>
            </w:r>
          </w:p>
        </w:tc>
      </w:tr>
      <w:tr w:rsidR="008A52D4" w:rsidTr="008A52D4">
        <w:tc>
          <w:tcPr>
            <w:tcW w:w="4788" w:type="dxa"/>
          </w:tcPr>
          <w:p w:rsidR="008A52D4" w:rsidRDefault="008A52D4" w:rsidP="00766FC9">
            <w:pPr>
              <w:pStyle w:val="Default"/>
              <w:spacing w:before="100" w:after="100"/>
              <w:jc w:val="both"/>
              <w:rPr>
                <w:sz w:val="20"/>
                <w:szCs w:val="20"/>
              </w:rPr>
            </w:pPr>
            <w:r>
              <w:rPr>
                <w:sz w:val="20"/>
                <w:szCs w:val="20"/>
              </w:rPr>
              <w:t xml:space="preserve">A bank account can be operated upon “jointly”, or, by “either or survivor” of the account holders or by “any one/two/three of", the joint account holders. </w:t>
            </w:r>
          </w:p>
        </w:tc>
        <w:tc>
          <w:tcPr>
            <w:tcW w:w="4788" w:type="dxa"/>
          </w:tcPr>
          <w:p w:rsidR="008A52D4" w:rsidRDefault="008A52D4" w:rsidP="008A52D4">
            <w:pPr>
              <w:pStyle w:val="Default"/>
              <w:spacing w:before="100" w:after="100"/>
              <w:jc w:val="both"/>
              <w:rPr>
                <w:sz w:val="20"/>
                <w:szCs w:val="20"/>
              </w:rPr>
            </w:pPr>
            <w:r>
              <w:rPr>
                <w:sz w:val="20"/>
                <w:szCs w:val="20"/>
              </w:rPr>
              <w:t xml:space="preserve">A </w:t>
            </w:r>
            <w:proofErr w:type="spellStart"/>
            <w:r>
              <w:rPr>
                <w:sz w:val="20"/>
                <w:szCs w:val="20"/>
              </w:rPr>
              <w:t>demat</w:t>
            </w:r>
            <w:proofErr w:type="spellEnd"/>
            <w:r>
              <w:rPr>
                <w:sz w:val="20"/>
                <w:szCs w:val="20"/>
              </w:rPr>
              <w:t xml:space="preserve"> account can be opened, operated upon only by ALL the account holders JOINTLY, at present. </w:t>
            </w:r>
          </w:p>
        </w:tc>
      </w:tr>
      <w:tr w:rsidR="008A52D4" w:rsidTr="008A52D4">
        <w:tc>
          <w:tcPr>
            <w:tcW w:w="4788" w:type="dxa"/>
          </w:tcPr>
          <w:p w:rsidR="008A52D4" w:rsidRDefault="008A52D4" w:rsidP="00766FC9">
            <w:pPr>
              <w:pStyle w:val="Default"/>
              <w:spacing w:before="100" w:after="100"/>
              <w:jc w:val="both"/>
              <w:rPr>
                <w:sz w:val="20"/>
                <w:szCs w:val="20"/>
              </w:rPr>
            </w:pPr>
            <w:r>
              <w:rPr>
                <w:sz w:val="20"/>
                <w:szCs w:val="20"/>
              </w:rPr>
              <w:t xml:space="preserve">In the bank account, addition or deletion of name(s) of one or more of the account holders is permitted. </w:t>
            </w:r>
          </w:p>
        </w:tc>
        <w:tc>
          <w:tcPr>
            <w:tcW w:w="4788" w:type="dxa"/>
          </w:tcPr>
          <w:p w:rsidR="008A52D4" w:rsidRDefault="008A52D4" w:rsidP="008A52D4">
            <w:pPr>
              <w:pStyle w:val="Default"/>
              <w:spacing w:before="100" w:after="100"/>
              <w:jc w:val="both"/>
              <w:rPr>
                <w:sz w:val="20"/>
                <w:szCs w:val="20"/>
              </w:rPr>
            </w:pPr>
            <w:r>
              <w:rPr>
                <w:sz w:val="20"/>
                <w:szCs w:val="20"/>
              </w:rPr>
              <w:t xml:space="preserve">In the </w:t>
            </w:r>
            <w:proofErr w:type="spellStart"/>
            <w:r>
              <w:rPr>
                <w:sz w:val="20"/>
                <w:szCs w:val="20"/>
              </w:rPr>
              <w:t>demat</w:t>
            </w:r>
            <w:proofErr w:type="spellEnd"/>
            <w:r>
              <w:rPr>
                <w:sz w:val="20"/>
                <w:szCs w:val="20"/>
              </w:rPr>
              <w:t xml:space="preserve"> account, addition or deletion of name(s) of one or more of the account holders (beneficial owners) is NOT permitted. </w:t>
            </w:r>
          </w:p>
        </w:tc>
      </w:tr>
    </w:tbl>
    <w:p w:rsidR="006E0FDB" w:rsidRDefault="006E0FDB" w:rsidP="008B1E04">
      <w:pPr>
        <w:jc w:val="both"/>
      </w:pPr>
    </w:p>
    <w:p w:rsidR="008A52D4" w:rsidRDefault="006E0FDB" w:rsidP="006E0FDB">
      <w:pPr>
        <w:pStyle w:val="Heading1"/>
        <w:rPr>
          <w:color w:val="5F497A" w:themeColor="accent4" w:themeShade="BF"/>
        </w:rPr>
      </w:pPr>
      <w:r>
        <w:rPr>
          <w:color w:val="5F497A" w:themeColor="accent4" w:themeShade="BF"/>
        </w:rPr>
        <w:t>DEMAT:</w:t>
      </w:r>
    </w:p>
    <w:p w:rsidR="006E0FDB" w:rsidRPr="008A52D4" w:rsidRDefault="006E0FDB" w:rsidP="008A52D4">
      <w:pPr>
        <w:pStyle w:val="Heading1"/>
        <w:rPr>
          <w:color w:val="5F497A" w:themeColor="accent4" w:themeShade="BF"/>
        </w:rPr>
      </w:pPr>
      <w:r>
        <w:t xml:space="preserve">Benefits of </w:t>
      </w:r>
      <w:proofErr w:type="spellStart"/>
      <w:r>
        <w:t>Dematerialisation</w:t>
      </w:r>
      <w:proofErr w:type="spellEnd"/>
    </w:p>
    <w:p w:rsidR="006E0FDB" w:rsidRDefault="006E0FDB" w:rsidP="006E0FDB">
      <w:pPr>
        <w:pStyle w:val="ListParagraph"/>
        <w:numPr>
          <w:ilvl w:val="0"/>
          <w:numId w:val="2"/>
        </w:numPr>
      </w:pPr>
      <w:r>
        <w:t>A great reform to the Capital Market.</w:t>
      </w:r>
    </w:p>
    <w:p w:rsidR="006E0FDB" w:rsidRDefault="006E0FDB" w:rsidP="006E0FDB">
      <w:pPr>
        <w:pStyle w:val="ListParagraph"/>
        <w:numPr>
          <w:ilvl w:val="0"/>
          <w:numId w:val="2"/>
        </w:numPr>
      </w:pPr>
      <w:r>
        <w:t>It gives liquidity to the Capital Market.</w:t>
      </w:r>
    </w:p>
    <w:p w:rsidR="006E0FDB" w:rsidRDefault="006E0FDB" w:rsidP="006E0FDB">
      <w:pPr>
        <w:pStyle w:val="ListParagraph"/>
        <w:numPr>
          <w:ilvl w:val="0"/>
          <w:numId w:val="2"/>
        </w:numPr>
      </w:pPr>
      <w:r>
        <w:t>It prevents bad delivery.</w:t>
      </w:r>
    </w:p>
    <w:p w:rsidR="006E0FDB" w:rsidRDefault="006E0FDB" w:rsidP="006E0FDB">
      <w:pPr>
        <w:pStyle w:val="ListParagraph"/>
        <w:numPr>
          <w:ilvl w:val="0"/>
          <w:numId w:val="2"/>
        </w:numPr>
      </w:pPr>
      <w:r>
        <w:t>Exemption of Stamp Duty on transfer of shares.</w:t>
      </w:r>
    </w:p>
    <w:p w:rsidR="006E0FDB" w:rsidRDefault="006E0FDB" w:rsidP="006E0FDB">
      <w:pPr>
        <w:pStyle w:val="ListParagraph"/>
        <w:numPr>
          <w:ilvl w:val="0"/>
          <w:numId w:val="2"/>
        </w:numPr>
      </w:pPr>
      <w:r>
        <w:t>It prevents loss of Share Certificates in Postal Transit.</w:t>
      </w:r>
    </w:p>
    <w:p w:rsidR="006E0FDB" w:rsidRDefault="006E0FDB" w:rsidP="006E0FDB">
      <w:pPr>
        <w:pStyle w:val="ListParagraph"/>
        <w:numPr>
          <w:ilvl w:val="0"/>
          <w:numId w:val="2"/>
        </w:numPr>
      </w:pPr>
      <w:r>
        <w:t>It saves Postal / Courier Charges.</w:t>
      </w:r>
    </w:p>
    <w:p w:rsidR="006E0FDB" w:rsidRDefault="006E0FDB" w:rsidP="006E0FDB">
      <w:pPr>
        <w:pStyle w:val="ListParagraph"/>
        <w:numPr>
          <w:ilvl w:val="0"/>
          <w:numId w:val="2"/>
        </w:numPr>
      </w:pPr>
      <w:r>
        <w:t>It helps in quick dispersal of Corporate Actions.</w:t>
      </w:r>
    </w:p>
    <w:p w:rsidR="00E23543" w:rsidRPr="008A52D4" w:rsidRDefault="006E0FDB" w:rsidP="00A71C2E">
      <w:pPr>
        <w:pStyle w:val="ListParagraph"/>
        <w:numPr>
          <w:ilvl w:val="0"/>
          <w:numId w:val="2"/>
        </w:numPr>
      </w:pPr>
      <w:r>
        <w:lastRenderedPageBreak/>
        <w:t>It helps in keeping the list of members / shareholders up to date</w:t>
      </w:r>
    </w:p>
    <w:p w:rsidR="00E23543" w:rsidRDefault="00E23543" w:rsidP="00A71C2E">
      <w:pPr>
        <w:pStyle w:val="NoSpacing"/>
        <w:rPr>
          <w:b/>
          <w:color w:val="943634" w:themeColor="accent2" w:themeShade="BF"/>
        </w:rPr>
      </w:pPr>
    </w:p>
    <w:p w:rsidR="00E23543" w:rsidRDefault="00E23543" w:rsidP="00A71C2E">
      <w:pPr>
        <w:pStyle w:val="NoSpacing"/>
        <w:rPr>
          <w:b/>
          <w:color w:val="943634" w:themeColor="accent2" w:themeShade="BF"/>
        </w:rPr>
      </w:pPr>
    </w:p>
    <w:p w:rsidR="006E0FDB" w:rsidRDefault="006E0FDB" w:rsidP="00A71C2E">
      <w:pPr>
        <w:pStyle w:val="NoSpacing"/>
        <w:rPr>
          <w:b/>
          <w:color w:val="943634" w:themeColor="accent2" w:themeShade="BF"/>
        </w:rPr>
      </w:pPr>
      <w:r w:rsidRPr="00A71C2E">
        <w:rPr>
          <w:b/>
          <w:color w:val="943634" w:themeColor="accent2" w:themeShade="BF"/>
        </w:rPr>
        <w:t xml:space="preserve">Process of </w:t>
      </w:r>
      <w:proofErr w:type="spellStart"/>
      <w:r w:rsidRPr="00A71C2E">
        <w:rPr>
          <w:b/>
          <w:color w:val="943634" w:themeColor="accent2" w:themeShade="BF"/>
        </w:rPr>
        <w:t>Dematerialisation</w:t>
      </w:r>
      <w:proofErr w:type="spellEnd"/>
      <w:r w:rsidRPr="00A71C2E">
        <w:rPr>
          <w:b/>
          <w:color w:val="943634" w:themeColor="accent2" w:themeShade="BF"/>
        </w:rPr>
        <w:t>:</w:t>
      </w:r>
    </w:p>
    <w:p w:rsidR="00A71C2E" w:rsidRDefault="00A71C2E" w:rsidP="00A71C2E">
      <w:pPr>
        <w:pStyle w:val="NoSpacing"/>
        <w:rPr>
          <w:sz w:val="24"/>
          <w:szCs w:val="24"/>
        </w:rPr>
      </w:pPr>
    </w:p>
    <w:p w:rsidR="00A71C2E" w:rsidRPr="00456B23" w:rsidRDefault="00A71C2E" w:rsidP="00A71C2E">
      <w:pPr>
        <w:pStyle w:val="NoSpacing"/>
        <w:rPr>
          <w:b/>
          <w:color w:val="365F91" w:themeColor="accent1" w:themeShade="BF"/>
          <w:sz w:val="28"/>
          <w:szCs w:val="28"/>
        </w:rPr>
      </w:pPr>
      <w:r w:rsidRPr="00456B23">
        <w:rPr>
          <w:b/>
          <w:color w:val="365F91" w:themeColor="accent1" w:themeShade="BF"/>
          <w:sz w:val="24"/>
          <w:szCs w:val="24"/>
        </w:rPr>
        <w:t xml:space="preserve">                               (A)                                                                            (B)</w:t>
      </w:r>
    </w:p>
    <w:p w:rsidR="00A71C2E" w:rsidRDefault="00674B84" w:rsidP="00A71C2E">
      <w:pPr>
        <w:pStyle w:val="NoSpacing"/>
        <w:rPr>
          <w:sz w:val="24"/>
          <w:szCs w:val="24"/>
        </w:rPr>
      </w:pPr>
      <w:r>
        <w:rPr>
          <w:noProof/>
          <w:sz w:val="24"/>
          <w:szCs w:val="24"/>
        </w:rPr>
        <w:pict>
          <v:shapetype id="_x0000_t32" coordsize="21600,21600" o:spt="32" o:oned="t" path="m,l21600,21600e" filled="f">
            <v:path arrowok="t" fillok="f" o:connecttype="none"/>
            <o:lock v:ext="edit" shapetype="t"/>
          </v:shapetype>
          <v:shape id="_x0000_s1027" type="#_x0000_t32" style="position:absolute;margin-left:267.75pt;margin-top:7.1pt;width:88.5pt;height:0;z-index:251659264" o:connectortype="straight">
            <v:stroke endarrow="block"/>
          </v:shape>
        </w:pict>
      </w:r>
      <w:r>
        <w:rPr>
          <w:noProof/>
          <w:sz w:val="24"/>
          <w:szCs w:val="24"/>
        </w:rPr>
        <w:pict>
          <v:shape id="_x0000_s1028" type="#_x0000_t32" style="position:absolute;margin-left:45.75pt;margin-top:7.1pt;width:88.5pt;height:0;z-index:251660288" o:connectortype="straight">
            <v:stroke endarrow="block"/>
          </v:shape>
        </w:pict>
      </w:r>
      <w:r w:rsidR="00A71C2E">
        <w:rPr>
          <w:sz w:val="24"/>
          <w:szCs w:val="24"/>
        </w:rPr>
        <w:tab/>
      </w:r>
      <w:r w:rsidR="00A71C2E">
        <w:rPr>
          <w:sz w:val="24"/>
          <w:szCs w:val="24"/>
        </w:rPr>
        <w:tab/>
      </w:r>
      <w:r w:rsidR="00A71C2E">
        <w:rPr>
          <w:sz w:val="24"/>
          <w:szCs w:val="24"/>
        </w:rPr>
        <w:tab/>
      </w:r>
      <w:r w:rsidR="00A71C2E">
        <w:rPr>
          <w:sz w:val="24"/>
          <w:szCs w:val="24"/>
        </w:rPr>
        <w:tab/>
      </w:r>
      <w:r w:rsidR="00A71C2E">
        <w:rPr>
          <w:sz w:val="24"/>
          <w:szCs w:val="24"/>
        </w:rPr>
        <w:tab/>
      </w:r>
      <w:r w:rsidR="00A71C2E">
        <w:rPr>
          <w:sz w:val="24"/>
          <w:szCs w:val="24"/>
        </w:rPr>
        <w:tab/>
      </w:r>
      <w:r w:rsidR="00A71C2E">
        <w:rPr>
          <w:sz w:val="24"/>
          <w:szCs w:val="24"/>
        </w:rPr>
        <w:tab/>
      </w:r>
      <w:r w:rsidR="00A71C2E">
        <w:rPr>
          <w:sz w:val="24"/>
          <w:szCs w:val="24"/>
        </w:rPr>
        <w:tab/>
      </w:r>
    </w:p>
    <w:p w:rsidR="00A71C2E" w:rsidRPr="00456B23" w:rsidRDefault="00A71C2E" w:rsidP="00A71C2E">
      <w:pPr>
        <w:pStyle w:val="NoSpacing"/>
        <w:rPr>
          <w:b/>
          <w:color w:val="548DD4" w:themeColor="text2" w:themeTint="99"/>
          <w:sz w:val="24"/>
          <w:szCs w:val="24"/>
        </w:rPr>
      </w:pPr>
      <w:r w:rsidRPr="00456B23">
        <w:rPr>
          <w:b/>
          <w:color w:val="548DD4" w:themeColor="text2" w:themeTint="99"/>
          <w:sz w:val="24"/>
          <w:szCs w:val="24"/>
        </w:rPr>
        <w:t>Investor</w:t>
      </w:r>
      <w:r w:rsidRPr="00456B23">
        <w:rPr>
          <w:b/>
          <w:color w:val="548DD4" w:themeColor="text2" w:themeTint="99"/>
          <w:sz w:val="24"/>
          <w:szCs w:val="24"/>
        </w:rPr>
        <w:tab/>
      </w:r>
      <w:r w:rsidRPr="00456B23">
        <w:rPr>
          <w:b/>
          <w:color w:val="548DD4" w:themeColor="text2" w:themeTint="99"/>
          <w:sz w:val="24"/>
          <w:szCs w:val="24"/>
        </w:rPr>
        <w:tab/>
      </w:r>
      <w:r w:rsidRPr="00456B23">
        <w:rPr>
          <w:b/>
          <w:color w:val="548DD4" w:themeColor="text2" w:themeTint="99"/>
          <w:sz w:val="24"/>
          <w:szCs w:val="24"/>
        </w:rPr>
        <w:tab/>
        <w:t>Depository Participant</w:t>
      </w:r>
      <w:r w:rsidR="00456B23" w:rsidRPr="00456B23">
        <w:rPr>
          <w:b/>
          <w:color w:val="548DD4" w:themeColor="text2" w:themeTint="99"/>
          <w:sz w:val="24"/>
          <w:szCs w:val="24"/>
        </w:rPr>
        <w:tab/>
      </w:r>
      <w:r w:rsidR="00456B23" w:rsidRPr="00456B23">
        <w:rPr>
          <w:b/>
          <w:color w:val="548DD4" w:themeColor="text2" w:themeTint="99"/>
          <w:sz w:val="24"/>
          <w:szCs w:val="24"/>
        </w:rPr>
        <w:tab/>
      </w:r>
      <w:r w:rsidR="00456B23" w:rsidRPr="00456B23">
        <w:rPr>
          <w:b/>
          <w:color w:val="548DD4" w:themeColor="text2" w:themeTint="99"/>
          <w:sz w:val="24"/>
          <w:szCs w:val="24"/>
        </w:rPr>
        <w:tab/>
        <w:t>Depository</w:t>
      </w:r>
    </w:p>
    <w:p w:rsidR="00A71C2E" w:rsidRPr="00456B23" w:rsidRDefault="00674B84" w:rsidP="00A71C2E">
      <w:pPr>
        <w:pStyle w:val="NoSpacing"/>
        <w:rPr>
          <w:b/>
          <w:color w:val="365F91" w:themeColor="accent1" w:themeShade="BF"/>
          <w:sz w:val="24"/>
          <w:szCs w:val="24"/>
        </w:rPr>
      </w:pPr>
      <w:r w:rsidRPr="00674B84">
        <w:rPr>
          <w:noProof/>
          <w:sz w:val="24"/>
          <w:szCs w:val="24"/>
        </w:rPr>
        <w:pict>
          <v:shape id="_x0000_s1034" type="#_x0000_t32" style="position:absolute;margin-left:230.25pt;margin-top:43.1pt;width:97.5pt;height:61.5pt;flip:y;z-index:251664384" o:connectortype="straight">
            <v:stroke endarrow="block"/>
          </v:shape>
        </w:pict>
      </w:r>
      <w:r w:rsidRPr="00674B84">
        <w:rPr>
          <w:noProof/>
          <w:sz w:val="24"/>
          <w:szCs w:val="24"/>
        </w:rPr>
        <w:pict>
          <v:shape id="_x0000_s1033" type="#_x0000_t32" style="position:absolute;margin-left:193.5pt;margin-top:21.35pt;width:0;height:78pt;z-index:251663360" o:connectortype="straight">
            <v:stroke endarrow="block"/>
          </v:shape>
        </w:pict>
      </w:r>
      <w:r w:rsidRPr="00674B84">
        <w:rPr>
          <w:noProof/>
          <w:sz w:val="24"/>
          <w:szCs w:val="24"/>
        </w:rPr>
        <w:pict>
          <v:shape id="_x0000_s1032" type="#_x0000_t32" style="position:absolute;margin-left:267.75pt;margin-top:16.05pt;width:88.5pt;height:0;flip:x;z-index:251662336" o:connectortype="straight">
            <v:stroke endarrow="block"/>
          </v:shape>
        </w:pict>
      </w:r>
      <w:r w:rsidRPr="00674B84">
        <w:rPr>
          <w:noProof/>
          <w:sz w:val="24"/>
          <w:szCs w:val="24"/>
        </w:rPr>
        <w:pict>
          <v:shape id="_x0000_s1030" type="#_x0000_t32" style="position:absolute;margin-left:45.75pt;margin-top:16.05pt;width:88.5pt;height:0;flip:x;z-index:251661312" o:connectortype="straight">
            <v:stroke endarrow="block"/>
          </v:shape>
        </w:pict>
      </w:r>
      <w:r w:rsidR="00A71C2E">
        <w:rPr>
          <w:sz w:val="24"/>
          <w:szCs w:val="24"/>
        </w:rPr>
        <w:tab/>
      </w:r>
      <w:r w:rsidR="00A71C2E">
        <w:rPr>
          <w:sz w:val="24"/>
          <w:szCs w:val="24"/>
        </w:rPr>
        <w:tab/>
      </w:r>
      <w:r w:rsidR="00A71C2E">
        <w:rPr>
          <w:sz w:val="24"/>
          <w:szCs w:val="24"/>
        </w:rPr>
        <w:tab/>
      </w:r>
      <w:r w:rsidR="00A71C2E">
        <w:rPr>
          <w:sz w:val="24"/>
          <w:szCs w:val="24"/>
        </w:rPr>
        <w:tab/>
      </w:r>
      <w:r w:rsidR="00A71C2E">
        <w:rPr>
          <w:sz w:val="24"/>
          <w:szCs w:val="24"/>
        </w:rPr>
        <w:tab/>
      </w:r>
      <w:r w:rsidR="00A71C2E">
        <w:rPr>
          <w:sz w:val="24"/>
          <w:szCs w:val="24"/>
        </w:rPr>
        <w:tab/>
      </w:r>
      <w:r w:rsidR="00456B23">
        <w:rPr>
          <w:sz w:val="24"/>
          <w:szCs w:val="24"/>
        </w:rPr>
        <w:tab/>
      </w:r>
      <w:r w:rsidR="00456B23">
        <w:rPr>
          <w:sz w:val="24"/>
          <w:szCs w:val="24"/>
        </w:rPr>
        <w:tab/>
      </w:r>
      <w:r w:rsidR="00456B23">
        <w:rPr>
          <w:sz w:val="24"/>
          <w:szCs w:val="24"/>
        </w:rPr>
        <w:tab/>
      </w:r>
      <w:r w:rsidR="00456B23">
        <w:rPr>
          <w:sz w:val="24"/>
          <w:szCs w:val="24"/>
        </w:rPr>
        <w:tab/>
      </w:r>
      <w:r w:rsidR="00456B23">
        <w:rPr>
          <w:sz w:val="24"/>
          <w:szCs w:val="24"/>
        </w:rPr>
        <w:tab/>
      </w:r>
      <w:r w:rsidR="00456B23">
        <w:rPr>
          <w:sz w:val="24"/>
          <w:szCs w:val="24"/>
        </w:rPr>
        <w:tab/>
      </w:r>
      <w:r w:rsidR="00456B23">
        <w:rPr>
          <w:sz w:val="24"/>
          <w:szCs w:val="24"/>
        </w:rPr>
        <w:tab/>
      </w:r>
      <w:r w:rsidR="00456B23">
        <w:rPr>
          <w:sz w:val="24"/>
          <w:szCs w:val="24"/>
        </w:rPr>
        <w:tab/>
      </w:r>
      <w:r w:rsidR="00456B23">
        <w:rPr>
          <w:sz w:val="24"/>
          <w:szCs w:val="24"/>
        </w:rPr>
        <w:tab/>
      </w:r>
      <w:r w:rsidR="00456B23" w:rsidRPr="00456B23">
        <w:rPr>
          <w:b/>
          <w:color w:val="808080" w:themeColor="background1" w:themeShade="80"/>
          <w:sz w:val="24"/>
          <w:szCs w:val="24"/>
        </w:rPr>
        <w:t xml:space="preserve">     </w:t>
      </w:r>
      <w:r w:rsidR="00456B23" w:rsidRPr="00456B23">
        <w:rPr>
          <w:b/>
          <w:color w:val="365F91" w:themeColor="accent1" w:themeShade="BF"/>
          <w:sz w:val="24"/>
          <w:szCs w:val="24"/>
        </w:rPr>
        <w:t>(F)</w:t>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t xml:space="preserve">      (E)</w:t>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t>(</w:t>
      </w:r>
      <w:proofErr w:type="gramStart"/>
      <w:r w:rsidR="00456B23" w:rsidRPr="00456B23">
        <w:rPr>
          <w:b/>
          <w:color w:val="365F91" w:themeColor="accent1" w:themeShade="BF"/>
          <w:sz w:val="24"/>
          <w:szCs w:val="24"/>
        </w:rPr>
        <w:t>C )</w:t>
      </w:r>
      <w:proofErr w:type="gramEnd"/>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t>(D)</w:t>
      </w:r>
      <w:r w:rsidR="00A71C2E"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456B23" w:rsidRPr="00456B23">
        <w:rPr>
          <w:b/>
          <w:color w:val="365F91" w:themeColor="accent1" w:themeShade="BF"/>
          <w:sz w:val="24"/>
          <w:szCs w:val="24"/>
        </w:rPr>
        <w:tab/>
      </w:r>
      <w:r w:rsidR="00A71C2E" w:rsidRPr="00456B23">
        <w:rPr>
          <w:b/>
          <w:color w:val="365F91" w:themeColor="accent1" w:themeShade="BF"/>
          <w:sz w:val="24"/>
          <w:szCs w:val="24"/>
        </w:rPr>
        <w:tab/>
      </w:r>
      <w:r w:rsidR="00A71C2E" w:rsidRPr="00456B23">
        <w:rPr>
          <w:b/>
          <w:color w:val="365F91" w:themeColor="accent1" w:themeShade="BF"/>
          <w:sz w:val="24"/>
          <w:szCs w:val="24"/>
        </w:rPr>
        <w:tab/>
      </w:r>
    </w:p>
    <w:p w:rsidR="00456B23" w:rsidRDefault="00456B23" w:rsidP="00A71C2E">
      <w:pPr>
        <w:pStyle w:val="NoSpacing"/>
        <w:rPr>
          <w:b/>
          <w:color w:val="808080" w:themeColor="background1" w:themeShade="80"/>
          <w:sz w:val="24"/>
          <w:szCs w:val="24"/>
        </w:rPr>
      </w:pPr>
    </w:p>
    <w:p w:rsidR="00456B23" w:rsidRDefault="00456B23" w:rsidP="00A71C2E">
      <w:pPr>
        <w:pStyle w:val="NoSpacing"/>
        <w:rPr>
          <w:b/>
          <w:color w:val="548DD4" w:themeColor="text2" w:themeTint="99"/>
          <w:sz w:val="24"/>
          <w:szCs w:val="24"/>
        </w:rPr>
      </w:pPr>
      <w:r>
        <w:rPr>
          <w:b/>
          <w:color w:val="808080" w:themeColor="background1" w:themeShade="80"/>
          <w:sz w:val="24"/>
          <w:szCs w:val="24"/>
        </w:rPr>
        <w:tab/>
      </w:r>
      <w:r>
        <w:rPr>
          <w:b/>
          <w:color w:val="808080" w:themeColor="background1" w:themeShade="80"/>
          <w:sz w:val="24"/>
          <w:szCs w:val="24"/>
        </w:rPr>
        <w:tab/>
      </w:r>
      <w:r>
        <w:rPr>
          <w:b/>
          <w:color w:val="808080" w:themeColor="background1" w:themeShade="80"/>
          <w:sz w:val="24"/>
          <w:szCs w:val="24"/>
        </w:rPr>
        <w:tab/>
      </w:r>
      <w:r>
        <w:rPr>
          <w:b/>
          <w:color w:val="808080" w:themeColor="background1" w:themeShade="80"/>
          <w:sz w:val="24"/>
          <w:szCs w:val="24"/>
        </w:rPr>
        <w:tab/>
      </w:r>
      <w:r w:rsidRPr="00456B23">
        <w:rPr>
          <w:b/>
          <w:color w:val="548DD4" w:themeColor="text2" w:themeTint="99"/>
          <w:sz w:val="24"/>
          <w:szCs w:val="24"/>
        </w:rPr>
        <w:t>Registrar to Issue</w:t>
      </w:r>
    </w:p>
    <w:p w:rsidR="00456B23" w:rsidRDefault="00456B23" w:rsidP="00A71C2E">
      <w:pPr>
        <w:pStyle w:val="NoSpacing"/>
        <w:rPr>
          <w:b/>
          <w:color w:val="548DD4" w:themeColor="text2" w:themeTint="99"/>
          <w:sz w:val="24"/>
          <w:szCs w:val="24"/>
        </w:rPr>
      </w:pPr>
    </w:p>
    <w:p w:rsidR="00456B23" w:rsidRDefault="00456B23" w:rsidP="00A71C2E">
      <w:pPr>
        <w:pStyle w:val="NoSpacing"/>
        <w:rPr>
          <w:b/>
          <w:color w:val="548DD4" w:themeColor="text2" w:themeTint="99"/>
          <w:sz w:val="24"/>
          <w:szCs w:val="24"/>
        </w:rPr>
      </w:pPr>
    </w:p>
    <w:p w:rsidR="00456B23" w:rsidRPr="00456B23" w:rsidRDefault="00456B23" w:rsidP="00456B23">
      <w:pPr>
        <w:pStyle w:val="NoSpacing"/>
        <w:numPr>
          <w:ilvl w:val="0"/>
          <w:numId w:val="4"/>
        </w:numPr>
        <w:rPr>
          <w:color w:val="548DD4" w:themeColor="text2" w:themeTint="99"/>
          <w:sz w:val="24"/>
          <w:szCs w:val="24"/>
        </w:rPr>
      </w:pPr>
      <w:r w:rsidRPr="00456B23">
        <w:rPr>
          <w:sz w:val="24"/>
          <w:szCs w:val="24"/>
        </w:rPr>
        <w:t>Investor surrenders certificate to Depository Participant</w:t>
      </w:r>
      <w:r>
        <w:rPr>
          <w:sz w:val="24"/>
          <w:szCs w:val="24"/>
        </w:rPr>
        <w:t>.</w:t>
      </w:r>
    </w:p>
    <w:p w:rsidR="00456B23" w:rsidRPr="00456B23" w:rsidRDefault="00456B23" w:rsidP="00456B23">
      <w:pPr>
        <w:pStyle w:val="NoSpacing"/>
        <w:numPr>
          <w:ilvl w:val="0"/>
          <w:numId w:val="4"/>
        </w:numPr>
        <w:rPr>
          <w:color w:val="548DD4" w:themeColor="text2" w:themeTint="99"/>
          <w:sz w:val="24"/>
          <w:szCs w:val="24"/>
        </w:rPr>
      </w:pPr>
      <w:r>
        <w:rPr>
          <w:sz w:val="24"/>
          <w:szCs w:val="24"/>
        </w:rPr>
        <w:t>Depository Participant intimates the Depository.</w:t>
      </w:r>
    </w:p>
    <w:p w:rsidR="00456B23" w:rsidRPr="00456B23" w:rsidRDefault="00456B23" w:rsidP="00456B23">
      <w:pPr>
        <w:pStyle w:val="NoSpacing"/>
        <w:numPr>
          <w:ilvl w:val="0"/>
          <w:numId w:val="4"/>
        </w:numPr>
        <w:rPr>
          <w:color w:val="548DD4" w:themeColor="text2" w:themeTint="99"/>
          <w:sz w:val="24"/>
          <w:szCs w:val="24"/>
        </w:rPr>
      </w:pPr>
      <w:r>
        <w:rPr>
          <w:sz w:val="24"/>
          <w:szCs w:val="24"/>
        </w:rPr>
        <w:t>Depository Participant submits the certificate to Registrar to Issue.</w:t>
      </w:r>
    </w:p>
    <w:p w:rsidR="00456B23" w:rsidRPr="00456B23" w:rsidRDefault="00456B23" w:rsidP="00456B23">
      <w:pPr>
        <w:pStyle w:val="NoSpacing"/>
        <w:numPr>
          <w:ilvl w:val="0"/>
          <w:numId w:val="4"/>
        </w:numPr>
        <w:rPr>
          <w:color w:val="548DD4" w:themeColor="text2" w:themeTint="99"/>
          <w:sz w:val="24"/>
          <w:szCs w:val="24"/>
        </w:rPr>
      </w:pPr>
      <w:r>
        <w:rPr>
          <w:sz w:val="24"/>
          <w:szCs w:val="24"/>
        </w:rPr>
        <w:t>Registrar confirms the dematerialization request from depository.</w:t>
      </w:r>
    </w:p>
    <w:p w:rsidR="00456B23" w:rsidRPr="00456B23" w:rsidRDefault="00456B23" w:rsidP="00456B23">
      <w:pPr>
        <w:pStyle w:val="NoSpacing"/>
        <w:numPr>
          <w:ilvl w:val="0"/>
          <w:numId w:val="4"/>
        </w:numPr>
        <w:rPr>
          <w:color w:val="548DD4" w:themeColor="text2" w:themeTint="99"/>
          <w:sz w:val="24"/>
          <w:szCs w:val="24"/>
        </w:rPr>
      </w:pPr>
      <w:r>
        <w:rPr>
          <w:sz w:val="24"/>
          <w:szCs w:val="24"/>
        </w:rPr>
        <w:t>Depository updates its account and informs the Depository Participant.</w:t>
      </w:r>
    </w:p>
    <w:p w:rsidR="00456B23" w:rsidRPr="00E23543" w:rsidRDefault="00456B23" w:rsidP="00456B23">
      <w:pPr>
        <w:pStyle w:val="NoSpacing"/>
        <w:numPr>
          <w:ilvl w:val="0"/>
          <w:numId w:val="4"/>
        </w:numPr>
        <w:rPr>
          <w:color w:val="548DD4" w:themeColor="text2" w:themeTint="99"/>
          <w:sz w:val="24"/>
          <w:szCs w:val="24"/>
        </w:rPr>
      </w:pPr>
      <w:r>
        <w:rPr>
          <w:sz w:val="24"/>
          <w:szCs w:val="24"/>
        </w:rPr>
        <w:t>Depository Participant updates its accounts and informs the investor.</w:t>
      </w:r>
    </w:p>
    <w:p w:rsidR="00E23543" w:rsidRDefault="00E23543" w:rsidP="00E23543">
      <w:pPr>
        <w:pStyle w:val="NoSpacing"/>
        <w:rPr>
          <w:sz w:val="24"/>
          <w:szCs w:val="24"/>
        </w:rPr>
      </w:pPr>
    </w:p>
    <w:p w:rsidR="00E23543" w:rsidRDefault="00E23543" w:rsidP="00E23543">
      <w:pPr>
        <w:pStyle w:val="NoSpacing"/>
        <w:rPr>
          <w:sz w:val="24"/>
          <w:szCs w:val="24"/>
        </w:rPr>
      </w:pPr>
    </w:p>
    <w:p w:rsidR="00E23543" w:rsidRDefault="00E23543" w:rsidP="00E23543">
      <w:pPr>
        <w:pStyle w:val="NoSpacing"/>
        <w:rPr>
          <w:sz w:val="24"/>
          <w:szCs w:val="24"/>
        </w:rPr>
      </w:pPr>
    </w:p>
    <w:p w:rsidR="00E23543" w:rsidRDefault="00E23543" w:rsidP="00E23543">
      <w:pPr>
        <w:pStyle w:val="NoSpacing"/>
        <w:rPr>
          <w:sz w:val="24"/>
          <w:szCs w:val="24"/>
        </w:rPr>
      </w:pPr>
    </w:p>
    <w:p w:rsidR="00E23543" w:rsidRDefault="00E23543" w:rsidP="00E23543">
      <w:pPr>
        <w:pStyle w:val="NoSpacing"/>
        <w:rPr>
          <w:b/>
          <w:color w:val="943634" w:themeColor="accent2" w:themeShade="BF"/>
        </w:rPr>
      </w:pPr>
      <w:r w:rsidRPr="00A71C2E">
        <w:rPr>
          <w:b/>
          <w:color w:val="943634" w:themeColor="accent2" w:themeShade="BF"/>
        </w:rPr>
        <w:t xml:space="preserve">Process of </w:t>
      </w:r>
      <w:proofErr w:type="spellStart"/>
      <w:r>
        <w:rPr>
          <w:b/>
          <w:color w:val="943634" w:themeColor="accent2" w:themeShade="BF"/>
        </w:rPr>
        <w:t>R</w:t>
      </w:r>
      <w:r w:rsidRPr="00A71C2E">
        <w:rPr>
          <w:b/>
          <w:color w:val="943634" w:themeColor="accent2" w:themeShade="BF"/>
        </w:rPr>
        <w:t>ematerialisation</w:t>
      </w:r>
      <w:proofErr w:type="spellEnd"/>
      <w:r w:rsidRPr="00A71C2E">
        <w:rPr>
          <w:b/>
          <w:color w:val="943634" w:themeColor="accent2" w:themeShade="BF"/>
        </w:rPr>
        <w:t>:</w:t>
      </w:r>
    </w:p>
    <w:p w:rsidR="00E23543" w:rsidRDefault="00E23543" w:rsidP="00E23543">
      <w:pPr>
        <w:pStyle w:val="NoSpacing"/>
        <w:rPr>
          <w:sz w:val="24"/>
          <w:szCs w:val="24"/>
        </w:rPr>
      </w:pPr>
    </w:p>
    <w:p w:rsidR="00E23543" w:rsidRPr="00456B23" w:rsidRDefault="00E23543" w:rsidP="00E23543">
      <w:pPr>
        <w:pStyle w:val="NoSpacing"/>
        <w:rPr>
          <w:b/>
          <w:color w:val="365F91" w:themeColor="accent1" w:themeShade="BF"/>
          <w:sz w:val="28"/>
          <w:szCs w:val="28"/>
        </w:rPr>
      </w:pPr>
      <w:r w:rsidRPr="00456B23">
        <w:rPr>
          <w:b/>
          <w:color w:val="365F91" w:themeColor="accent1" w:themeShade="BF"/>
          <w:sz w:val="24"/>
          <w:szCs w:val="24"/>
        </w:rPr>
        <w:t xml:space="preserve">                               (A)                                                                            (B)</w:t>
      </w:r>
    </w:p>
    <w:p w:rsidR="00E23543" w:rsidRDefault="00674B84" w:rsidP="00E23543">
      <w:pPr>
        <w:pStyle w:val="NoSpacing"/>
        <w:rPr>
          <w:sz w:val="24"/>
          <w:szCs w:val="24"/>
        </w:rPr>
      </w:pPr>
      <w:r>
        <w:rPr>
          <w:noProof/>
          <w:sz w:val="24"/>
          <w:szCs w:val="24"/>
        </w:rPr>
        <w:pict>
          <v:shape id="_x0000_s1035" type="#_x0000_t32" style="position:absolute;margin-left:267.75pt;margin-top:7.1pt;width:88.5pt;height:0;z-index:251666432" o:connectortype="straight">
            <v:stroke endarrow="block"/>
          </v:shape>
        </w:pict>
      </w:r>
      <w:r>
        <w:rPr>
          <w:noProof/>
          <w:sz w:val="24"/>
          <w:szCs w:val="24"/>
        </w:rPr>
        <w:pict>
          <v:shape id="_x0000_s1036" type="#_x0000_t32" style="position:absolute;margin-left:45.75pt;margin-top:7.1pt;width:88.5pt;height:0;z-index:251667456" o:connectortype="straight">
            <v:stroke endarrow="block"/>
          </v:shape>
        </w:pict>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p>
    <w:p w:rsidR="00E23543" w:rsidRPr="00456B23" w:rsidRDefault="00E23543" w:rsidP="00E23543">
      <w:pPr>
        <w:pStyle w:val="NoSpacing"/>
        <w:rPr>
          <w:b/>
          <w:color w:val="548DD4" w:themeColor="text2" w:themeTint="99"/>
          <w:sz w:val="24"/>
          <w:szCs w:val="24"/>
        </w:rPr>
      </w:pPr>
      <w:r w:rsidRPr="00456B23">
        <w:rPr>
          <w:b/>
          <w:color w:val="548DD4" w:themeColor="text2" w:themeTint="99"/>
          <w:sz w:val="24"/>
          <w:szCs w:val="24"/>
        </w:rPr>
        <w:t>Investor</w:t>
      </w:r>
      <w:r w:rsidRPr="00456B23">
        <w:rPr>
          <w:b/>
          <w:color w:val="548DD4" w:themeColor="text2" w:themeTint="99"/>
          <w:sz w:val="24"/>
          <w:szCs w:val="24"/>
        </w:rPr>
        <w:tab/>
      </w:r>
      <w:r w:rsidRPr="00456B23">
        <w:rPr>
          <w:b/>
          <w:color w:val="548DD4" w:themeColor="text2" w:themeTint="99"/>
          <w:sz w:val="24"/>
          <w:szCs w:val="24"/>
        </w:rPr>
        <w:tab/>
      </w:r>
      <w:r w:rsidRPr="00456B23">
        <w:rPr>
          <w:b/>
          <w:color w:val="548DD4" w:themeColor="text2" w:themeTint="99"/>
          <w:sz w:val="24"/>
          <w:szCs w:val="24"/>
        </w:rPr>
        <w:tab/>
        <w:t>Depository Participant</w:t>
      </w:r>
      <w:r w:rsidRPr="00456B23">
        <w:rPr>
          <w:b/>
          <w:color w:val="548DD4" w:themeColor="text2" w:themeTint="99"/>
          <w:sz w:val="24"/>
          <w:szCs w:val="24"/>
        </w:rPr>
        <w:tab/>
      </w:r>
      <w:r w:rsidRPr="00456B23">
        <w:rPr>
          <w:b/>
          <w:color w:val="548DD4" w:themeColor="text2" w:themeTint="99"/>
          <w:sz w:val="24"/>
          <w:szCs w:val="24"/>
        </w:rPr>
        <w:tab/>
      </w:r>
      <w:r w:rsidRPr="00456B23">
        <w:rPr>
          <w:b/>
          <w:color w:val="548DD4" w:themeColor="text2" w:themeTint="99"/>
          <w:sz w:val="24"/>
          <w:szCs w:val="24"/>
        </w:rPr>
        <w:tab/>
        <w:t>Depository</w:t>
      </w:r>
    </w:p>
    <w:p w:rsidR="00E23543" w:rsidRPr="00456B23" w:rsidRDefault="00674B84" w:rsidP="00E23543">
      <w:pPr>
        <w:pStyle w:val="NoSpacing"/>
        <w:rPr>
          <w:b/>
          <w:color w:val="365F91" w:themeColor="accent1" w:themeShade="BF"/>
          <w:sz w:val="24"/>
          <w:szCs w:val="24"/>
        </w:rPr>
      </w:pPr>
      <w:r w:rsidRPr="00674B84">
        <w:rPr>
          <w:noProof/>
          <w:sz w:val="24"/>
          <w:szCs w:val="24"/>
        </w:rPr>
        <w:pict>
          <v:shape id="_x0000_s1042" type="#_x0000_t32" style="position:absolute;margin-left:81pt;margin-top:42.65pt;width:53.25pt;height:73.5pt;flip:x y;z-index:251673600" o:connectortype="straight">
            <v:stroke endarrow="block"/>
          </v:shape>
        </w:pict>
      </w:r>
      <w:r w:rsidRPr="00674B84">
        <w:rPr>
          <w:noProof/>
          <w:sz w:val="24"/>
          <w:szCs w:val="24"/>
        </w:rPr>
        <w:pict>
          <v:shape id="_x0000_s1040" type="#_x0000_t32" style="position:absolute;margin-left:230.25pt;margin-top:47.9pt;width:97.5pt;height:61.5pt;flip:y;z-index:251671552" o:connectortype="straight">
            <v:stroke endarrow="block"/>
          </v:shape>
        </w:pict>
      </w:r>
      <w:r w:rsidRPr="00674B84">
        <w:rPr>
          <w:noProof/>
          <w:sz w:val="24"/>
          <w:szCs w:val="24"/>
        </w:rPr>
        <w:pict>
          <v:shape id="_x0000_s1041" type="#_x0000_t32" style="position:absolute;margin-left:213.75pt;margin-top:34.1pt;width:84.75pt;height:56.25pt;flip:x;z-index:251672576" o:connectortype="straight">
            <v:stroke endarrow="block"/>
          </v:shape>
        </w:pict>
      </w:r>
      <w:r w:rsidRPr="00674B84">
        <w:rPr>
          <w:noProof/>
          <w:sz w:val="24"/>
          <w:szCs w:val="24"/>
        </w:rPr>
        <w:pict>
          <v:shape id="_x0000_s1038" type="#_x0000_t32" style="position:absolute;margin-left:267.75pt;margin-top:16.05pt;width:88.5pt;height:0;flip:x;z-index:251669504" o:connectortype="straight">
            <v:stroke endarrow="block"/>
          </v:shape>
        </w:pict>
      </w:r>
      <w:r w:rsidRPr="00674B84">
        <w:rPr>
          <w:noProof/>
          <w:sz w:val="24"/>
          <w:szCs w:val="24"/>
        </w:rPr>
        <w:pict>
          <v:shape id="_x0000_s1037" type="#_x0000_t32" style="position:absolute;margin-left:45.75pt;margin-top:16.05pt;width:88.5pt;height:0;flip:x;z-index:251668480" o:connectortype="straight">
            <v:stroke endarrow="block"/>
          </v:shape>
        </w:pict>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Pr>
          <w:sz w:val="24"/>
          <w:szCs w:val="24"/>
        </w:rPr>
        <w:tab/>
      </w:r>
      <w:r w:rsidR="00E23543" w:rsidRPr="00456B23">
        <w:rPr>
          <w:b/>
          <w:color w:val="808080" w:themeColor="background1" w:themeShade="80"/>
          <w:sz w:val="24"/>
          <w:szCs w:val="24"/>
        </w:rPr>
        <w:t xml:space="preserve">     </w:t>
      </w:r>
      <w:r w:rsidR="00E23543">
        <w:rPr>
          <w:b/>
          <w:color w:val="365F91" w:themeColor="accent1" w:themeShade="BF"/>
          <w:sz w:val="24"/>
          <w:szCs w:val="24"/>
        </w:rPr>
        <w:t>(G</w:t>
      </w:r>
      <w:r w:rsidR="00E23543" w:rsidRPr="00456B23">
        <w:rPr>
          <w:b/>
          <w:color w:val="365F91" w:themeColor="accent1" w:themeShade="BF"/>
          <w:sz w:val="24"/>
          <w:szCs w:val="24"/>
        </w:rPr>
        <w:t>)</w:t>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t xml:space="preserve">      (E)</w:t>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r>
      <w:r w:rsidR="00E23543">
        <w:rPr>
          <w:b/>
          <w:color w:val="365F91" w:themeColor="accent1" w:themeShade="BF"/>
          <w:sz w:val="24"/>
          <w:szCs w:val="24"/>
        </w:rPr>
        <w:tab/>
        <w:t>(F</w:t>
      </w:r>
      <w:r w:rsidR="00E23543" w:rsidRPr="00456B23">
        <w:rPr>
          <w:b/>
          <w:color w:val="365F91" w:themeColor="accent1" w:themeShade="BF"/>
          <w:sz w:val="24"/>
          <w:szCs w:val="24"/>
        </w:rPr>
        <w:t>)</w:t>
      </w:r>
      <w:r w:rsidR="00E23543" w:rsidRPr="00456B23">
        <w:rPr>
          <w:b/>
          <w:color w:val="365F91" w:themeColor="accent1" w:themeShade="BF"/>
          <w:sz w:val="24"/>
          <w:szCs w:val="24"/>
        </w:rPr>
        <w:tab/>
      </w:r>
      <w:r w:rsidR="00E23543">
        <w:rPr>
          <w:b/>
          <w:color w:val="365F91" w:themeColor="accent1" w:themeShade="BF"/>
          <w:sz w:val="24"/>
          <w:szCs w:val="24"/>
        </w:rPr>
        <w:tab/>
        <w:t xml:space="preserve">                           </w:t>
      </w:r>
      <w:r w:rsidR="00E23543" w:rsidRPr="00456B23">
        <w:rPr>
          <w:b/>
          <w:color w:val="365F91" w:themeColor="accent1" w:themeShade="BF"/>
          <w:sz w:val="24"/>
          <w:szCs w:val="24"/>
        </w:rPr>
        <w:t>(</w:t>
      </w:r>
      <w:proofErr w:type="gramStart"/>
      <w:r w:rsidR="00E23543" w:rsidRPr="00456B23">
        <w:rPr>
          <w:b/>
          <w:color w:val="365F91" w:themeColor="accent1" w:themeShade="BF"/>
          <w:sz w:val="24"/>
          <w:szCs w:val="24"/>
        </w:rPr>
        <w:t>C )</w:t>
      </w:r>
      <w:proofErr w:type="gramEnd"/>
      <w:r w:rsidR="00E23543" w:rsidRPr="00456B23">
        <w:rPr>
          <w:b/>
          <w:color w:val="365F91" w:themeColor="accent1" w:themeShade="BF"/>
          <w:sz w:val="24"/>
          <w:szCs w:val="24"/>
        </w:rPr>
        <w:tab/>
      </w:r>
      <w:r w:rsidR="00E23543">
        <w:rPr>
          <w:b/>
          <w:color w:val="365F91" w:themeColor="accent1" w:themeShade="BF"/>
          <w:sz w:val="24"/>
          <w:szCs w:val="24"/>
        </w:rPr>
        <w:t xml:space="preserve"> </w:t>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t>(D)</w:t>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r w:rsidR="00E23543" w:rsidRPr="00456B23">
        <w:rPr>
          <w:b/>
          <w:color w:val="365F91" w:themeColor="accent1" w:themeShade="BF"/>
          <w:sz w:val="24"/>
          <w:szCs w:val="24"/>
        </w:rPr>
        <w:tab/>
      </w:r>
    </w:p>
    <w:p w:rsidR="00E23543" w:rsidRDefault="00E23543" w:rsidP="00E23543">
      <w:pPr>
        <w:pStyle w:val="NoSpacing"/>
        <w:rPr>
          <w:b/>
          <w:color w:val="808080" w:themeColor="background1" w:themeShade="80"/>
          <w:sz w:val="24"/>
          <w:szCs w:val="24"/>
        </w:rPr>
      </w:pPr>
    </w:p>
    <w:p w:rsidR="00E23543" w:rsidRDefault="00E23543" w:rsidP="00E23543">
      <w:pPr>
        <w:pStyle w:val="NoSpacing"/>
        <w:rPr>
          <w:b/>
          <w:color w:val="548DD4" w:themeColor="text2" w:themeTint="99"/>
          <w:sz w:val="24"/>
          <w:szCs w:val="24"/>
        </w:rPr>
      </w:pPr>
      <w:r>
        <w:rPr>
          <w:b/>
          <w:color w:val="808080" w:themeColor="background1" w:themeShade="80"/>
          <w:sz w:val="24"/>
          <w:szCs w:val="24"/>
        </w:rPr>
        <w:tab/>
      </w:r>
      <w:r>
        <w:rPr>
          <w:b/>
          <w:color w:val="808080" w:themeColor="background1" w:themeShade="80"/>
          <w:sz w:val="24"/>
          <w:szCs w:val="24"/>
        </w:rPr>
        <w:tab/>
      </w:r>
      <w:r>
        <w:rPr>
          <w:b/>
          <w:color w:val="808080" w:themeColor="background1" w:themeShade="80"/>
          <w:sz w:val="24"/>
          <w:szCs w:val="24"/>
        </w:rPr>
        <w:tab/>
      </w:r>
      <w:r>
        <w:rPr>
          <w:b/>
          <w:color w:val="808080" w:themeColor="background1" w:themeShade="80"/>
          <w:sz w:val="24"/>
          <w:szCs w:val="24"/>
        </w:rPr>
        <w:tab/>
      </w:r>
      <w:r w:rsidRPr="00456B23">
        <w:rPr>
          <w:b/>
          <w:color w:val="548DD4" w:themeColor="text2" w:themeTint="99"/>
          <w:sz w:val="24"/>
          <w:szCs w:val="24"/>
        </w:rPr>
        <w:t>Registrar to Issue</w:t>
      </w:r>
    </w:p>
    <w:p w:rsidR="00E23543" w:rsidRDefault="00E23543" w:rsidP="00E23543">
      <w:pPr>
        <w:pStyle w:val="NoSpacing"/>
        <w:rPr>
          <w:color w:val="548DD4" w:themeColor="text2" w:themeTint="99"/>
          <w:sz w:val="24"/>
          <w:szCs w:val="24"/>
        </w:rPr>
      </w:pPr>
    </w:p>
    <w:p w:rsidR="00E23543" w:rsidRDefault="00E23543" w:rsidP="00E23543">
      <w:pPr>
        <w:pStyle w:val="NoSpacing"/>
        <w:rPr>
          <w:color w:val="548DD4" w:themeColor="text2" w:themeTint="99"/>
          <w:sz w:val="24"/>
          <w:szCs w:val="24"/>
        </w:rPr>
      </w:pPr>
    </w:p>
    <w:p w:rsidR="00E23543" w:rsidRPr="00456B23" w:rsidRDefault="00E23543" w:rsidP="00E23543">
      <w:pPr>
        <w:pStyle w:val="NoSpacing"/>
        <w:numPr>
          <w:ilvl w:val="0"/>
          <w:numId w:val="5"/>
        </w:numPr>
        <w:rPr>
          <w:color w:val="548DD4" w:themeColor="text2" w:themeTint="99"/>
          <w:sz w:val="24"/>
          <w:szCs w:val="24"/>
        </w:rPr>
      </w:pPr>
      <w:r>
        <w:rPr>
          <w:sz w:val="24"/>
          <w:szCs w:val="24"/>
        </w:rPr>
        <w:t xml:space="preserve">Beneficial Owner request for </w:t>
      </w:r>
      <w:proofErr w:type="spellStart"/>
      <w:r>
        <w:rPr>
          <w:sz w:val="24"/>
          <w:szCs w:val="24"/>
        </w:rPr>
        <w:t>rematerialisation</w:t>
      </w:r>
      <w:proofErr w:type="spellEnd"/>
      <w:r w:rsidRPr="00456B23">
        <w:rPr>
          <w:sz w:val="24"/>
          <w:szCs w:val="24"/>
        </w:rPr>
        <w:t xml:space="preserve"> to Depository Participant</w:t>
      </w:r>
      <w:r>
        <w:rPr>
          <w:sz w:val="24"/>
          <w:szCs w:val="24"/>
        </w:rPr>
        <w:t>.</w:t>
      </w:r>
    </w:p>
    <w:p w:rsidR="00E23543" w:rsidRPr="00456B23" w:rsidRDefault="00E23543" w:rsidP="00E23543">
      <w:pPr>
        <w:pStyle w:val="NoSpacing"/>
        <w:numPr>
          <w:ilvl w:val="0"/>
          <w:numId w:val="5"/>
        </w:numPr>
        <w:rPr>
          <w:color w:val="548DD4" w:themeColor="text2" w:themeTint="99"/>
          <w:sz w:val="24"/>
          <w:szCs w:val="24"/>
        </w:rPr>
      </w:pPr>
      <w:r>
        <w:rPr>
          <w:sz w:val="24"/>
          <w:szCs w:val="24"/>
        </w:rPr>
        <w:t>Depository Participant intimates the Depository.</w:t>
      </w:r>
    </w:p>
    <w:p w:rsidR="00E23543" w:rsidRPr="00E23543" w:rsidRDefault="00E23543" w:rsidP="00E23543">
      <w:pPr>
        <w:pStyle w:val="NoSpacing"/>
        <w:numPr>
          <w:ilvl w:val="0"/>
          <w:numId w:val="5"/>
        </w:numPr>
        <w:rPr>
          <w:color w:val="548DD4" w:themeColor="text2" w:themeTint="99"/>
          <w:sz w:val="24"/>
          <w:szCs w:val="24"/>
        </w:rPr>
      </w:pPr>
      <w:r w:rsidRPr="00E23543">
        <w:rPr>
          <w:sz w:val="24"/>
          <w:szCs w:val="24"/>
        </w:rPr>
        <w:t xml:space="preserve">Depository Participant </w:t>
      </w:r>
      <w:r>
        <w:rPr>
          <w:sz w:val="24"/>
          <w:szCs w:val="24"/>
        </w:rPr>
        <w:t>confirms the dematerialization request from depository.</w:t>
      </w:r>
    </w:p>
    <w:p w:rsidR="00E23543" w:rsidRPr="00E23543" w:rsidRDefault="00E23543" w:rsidP="00E23543">
      <w:pPr>
        <w:pStyle w:val="NoSpacing"/>
        <w:numPr>
          <w:ilvl w:val="0"/>
          <w:numId w:val="5"/>
        </w:numPr>
        <w:rPr>
          <w:color w:val="548DD4" w:themeColor="text2" w:themeTint="99"/>
          <w:sz w:val="24"/>
          <w:szCs w:val="24"/>
        </w:rPr>
      </w:pPr>
      <w:r>
        <w:rPr>
          <w:sz w:val="24"/>
          <w:szCs w:val="24"/>
        </w:rPr>
        <w:t xml:space="preserve">Registrar </w:t>
      </w:r>
      <w:r w:rsidRPr="00E23543">
        <w:rPr>
          <w:sz w:val="24"/>
          <w:szCs w:val="24"/>
        </w:rPr>
        <w:t>updates</w:t>
      </w:r>
      <w:r>
        <w:rPr>
          <w:sz w:val="24"/>
          <w:szCs w:val="24"/>
        </w:rPr>
        <w:t xml:space="preserve"> its account, prints certificates and confirms to the Depository.</w:t>
      </w:r>
    </w:p>
    <w:p w:rsidR="00E23543" w:rsidRPr="00456B23" w:rsidRDefault="00E23543" w:rsidP="00E23543">
      <w:pPr>
        <w:pStyle w:val="NoSpacing"/>
        <w:numPr>
          <w:ilvl w:val="0"/>
          <w:numId w:val="5"/>
        </w:numPr>
        <w:rPr>
          <w:color w:val="548DD4" w:themeColor="text2" w:themeTint="99"/>
          <w:sz w:val="24"/>
          <w:szCs w:val="24"/>
        </w:rPr>
      </w:pPr>
      <w:r>
        <w:rPr>
          <w:sz w:val="24"/>
          <w:szCs w:val="24"/>
        </w:rPr>
        <w:t>Depository updates its account and informs the Depository Participant.</w:t>
      </w:r>
    </w:p>
    <w:p w:rsidR="00E23543" w:rsidRPr="00E23543" w:rsidRDefault="00E23543" w:rsidP="00E23543">
      <w:pPr>
        <w:pStyle w:val="NoSpacing"/>
        <w:numPr>
          <w:ilvl w:val="0"/>
          <w:numId w:val="5"/>
        </w:numPr>
        <w:rPr>
          <w:color w:val="548DD4" w:themeColor="text2" w:themeTint="99"/>
          <w:sz w:val="24"/>
          <w:szCs w:val="24"/>
        </w:rPr>
      </w:pPr>
      <w:r>
        <w:rPr>
          <w:sz w:val="24"/>
          <w:szCs w:val="24"/>
        </w:rPr>
        <w:t>Registrar dispatches certificates to Investor.</w:t>
      </w:r>
    </w:p>
    <w:p w:rsidR="00E23543" w:rsidRDefault="00E23543" w:rsidP="00E23543">
      <w:pPr>
        <w:pStyle w:val="NoSpacing"/>
        <w:numPr>
          <w:ilvl w:val="0"/>
          <w:numId w:val="5"/>
        </w:numPr>
        <w:rPr>
          <w:color w:val="548DD4" w:themeColor="text2" w:themeTint="99"/>
          <w:sz w:val="24"/>
          <w:szCs w:val="24"/>
        </w:rPr>
      </w:pPr>
      <w:r>
        <w:rPr>
          <w:sz w:val="24"/>
          <w:szCs w:val="24"/>
        </w:rPr>
        <w:t>Intimation is sent by the Depository Participant to the Investor.</w:t>
      </w:r>
    </w:p>
    <w:p w:rsidR="00E23543" w:rsidRDefault="00E23543" w:rsidP="00E23543">
      <w:pPr>
        <w:pStyle w:val="NoSpacing"/>
        <w:rPr>
          <w:color w:val="548DD4" w:themeColor="text2" w:themeTint="99"/>
          <w:sz w:val="24"/>
          <w:szCs w:val="24"/>
        </w:rPr>
      </w:pPr>
    </w:p>
    <w:p w:rsidR="00E23543" w:rsidRDefault="00E23543" w:rsidP="00E23543">
      <w:pPr>
        <w:pStyle w:val="NoSpacing"/>
        <w:rPr>
          <w:color w:val="548DD4" w:themeColor="text2" w:themeTint="99"/>
          <w:sz w:val="24"/>
          <w:szCs w:val="24"/>
        </w:rPr>
      </w:pPr>
    </w:p>
    <w:p w:rsidR="00E23543" w:rsidRDefault="00E23543" w:rsidP="00E23543">
      <w:pPr>
        <w:pStyle w:val="NoSpacing"/>
        <w:rPr>
          <w:color w:val="548DD4" w:themeColor="text2" w:themeTint="99"/>
          <w:sz w:val="24"/>
          <w:szCs w:val="24"/>
        </w:rPr>
      </w:pPr>
    </w:p>
    <w:p w:rsidR="00E23543" w:rsidRPr="00E23543" w:rsidRDefault="00E23543" w:rsidP="00E23543">
      <w:pPr>
        <w:pStyle w:val="NoSpacing"/>
        <w:rPr>
          <w:b/>
          <w:color w:val="943634" w:themeColor="accent2" w:themeShade="BF"/>
        </w:rPr>
      </w:pPr>
      <w:r w:rsidRPr="00E23543">
        <w:rPr>
          <w:b/>
          <w:color w:val="943634" w:themeColor="accent2" w:themeShade="BF"/>
        </w:rPr>
        <w:t>Other Issues:</w:t>
      </w:r>
    </w:p>
    <w:p w:rsidR="00E23543" w:rsidRDefault="00E23543" w:rsidP="00E23543">
      <w:pPr>
        <w:pStyle w:val="NoSpacing"/>
        <w:rPr>
          <w:sz w:val="24"/>
          <w:szCs w:val="24"/>
        </w:rPr>
      </w:pPr>
    </w:p>
    <w:p w:rsidR="00E23543" w:rsidRDefault="00D820AB" w:rsidP="00D820AB">
      <w:pPr>
        <w:pStyle w:val="NoSpacing"/>
        <w:numPr>
          <w:ilvl w:val="0"/>
          <w:numId w:val="6"/>
        </w:numPr>
        <w:rPr>
          <w:sz w:val="24"/>
          <w:szCs w:val="24"/>
        </w:rPr>
      </w:pPr>
      <w:r>
        <w:rPr>
          <w:sz w:val="24"/>
          <w:szCs w:val="24"/>
        </w:rPr>
        <w:t xml:space="preserve">It is NOT COMPULSORY to </w:t>
      </w:r>
      <w:proofErr w:type="spellStart"/>
      <w:r>
        <w:rPr>
          <w:sz w:val="24"/>
          <w:szCs w:val="24"/>
        </w:rPr>
        <w:t>Dematerialise</w:t>
      </w:r>
      <w:proofErr w:type="spellEnd"/>
      <w:r>
        <w:rPr>
          <w:sz w:val="24"/>
          <w:szCs w:val="24"/>
        </w:rPr>
        <w:t xml:space="preserve"> a Share.</w:t>
      </w:r>
    </w:p>
    <w:p w:rsidR="00D820AB" w:rsidRDefault="00D820AB" w:rsidP="00D820AB">
      <w:pPr>
        <w:pStyle w:val="NoSpacing"/>
        <w:numPr>
          <w:ilvl w:val="0"/>
          <w:numId w:val="6"/>
        </w:numPr>
        <w:rPr>
          <w:sz w:val="24"/>
          <w:szCs w:val="24"/>
        </w:rPr>
      </w:pPr>
      <w:r>
        <w:rPr>
          <w:sz w:val="24"/>
          <w:szCs w:val="24"/>
        </w:rPr>
        <w:t>An Investor HAS OPTION of holding shares either in physical or dematerialize form.</w:t>
      </w:r>
    </w:p>
    <w:p w:rsidR="00D820AB" w:rsidRDefault="00D820AB" w:rsidP="00D820AB">
      <w:pPr>
        <w:pStyle w:val="NoSpacing"/>
        <w:numPr>
          <w:ilvl w:val="0"/>
          <w:numId w:val="6"/>
        </w:numPr>
        <w:rPr>
          <w:sz w:val="24"/>
          <w:szCs w:val="24"/>
        </w:rPr>
      </w:pPr>
      <w:proofErr w:type="spellStart"/>
      <w:r>
        <w:rPr>
          <w:sz w:val="24"/>
          <w:szCs w:val="24"/>
        </w:rPr>
        <w:t>Dematerialise</w:t>
      </w:r>
      <w:proofErr w:type="spellEnd"/>
      <w:r>
        <w:rPr>
          <w:sz w:val="24"/>
          <w:szCs w:val="24"/>
        </w:rPr>
        <w:t xml:space="preserve"> Securities can be traded only in those stock exchanges which have establishes ELECTRONIC TRANSFER SYSTEM through NSDL and CDSL.</w:t>
      </w:r>
    </w:p>
    <w:p w:rsidR="00D820AB" w:rsidRDefault="00D820AB" w:rsidP="00D820AB">
      <w:pPr>
        <w:pStyle w:val="NoSpacing"/>
        <w:numPr>
          <w:ilvl w:val="0"/>
          <w:numId w:val="6"/>
        </w:numPr>
        <w:rPr>
          <w:sz w:val="24"/>
          <w:szCs w:val="24"/>
        </w:rPr>
      </w:pPr>
      <w:r>
        <w:rPr>
          <w:sz w:val="24"/>
          <w:szCs w:val="24"/>
        </w:rPr>
        <w:t xml:space="preserve">Presently all registered Stock Exchange of India </w:t>
      </w:r>
      <w:proofErr w:type="gramStart"/>
      <w:r>
        <w:rPr>
          <w:sz w:val="24"/>
          <w:szCs w:val="24"/>
        </w:rPr>
        <w:t>have</w:t>
      </w:r>
      <w:proofErr w:type="gramEnd"/>
      <w:r>
        <w:rPr>
          <w:sz w:val="24"/>
          <w:szCs w:val="24"/>
        </w:rPr>
        <w:t xml:space="preserve"> ETS.</w:t>
      </w:r>
    </w:p>
    <w:p w:rsidR="00D820AB" w:rsidRDefault="00D820AB" w:rsidP="00D820AB">
      <w:pPr>
        <w:pStyle w:val="NoSpacing"/>
        <w:numPr>
          <w:ilvl w:val="0"/>
          <w:numId w:val="6"/>
        </w:numPr>
        <w:rPr>
          <w:sz w:val="24"/>
          <w:szCs w:val="24"/>
        </w:rPr>
      </w:pPr>
      <w:r>
        <w:rPr>
          <w:sz w:val="24"/>
          <w:szCs w:val="24"/>
        </w:rPr>
        <w:t xml:space="preserve">New Public Issues can be brought out in </w:t>
      </w:r>
      <w:proofErr w:type="spellStart"/>
      <w:r>
        <w:rPr>
          <w:sz w:val="24"/>
          <w:szCs w:val="24"/>
        </w:rPr>
        <w:t>Dematerialised</w:t>
      </w:r>
      <w:proofErr w:type="spellEnd"/>
      <w:r>
        <w:rPr>
          <w:sz w:val="24"/>
          <w:szCs w:val="24"/>
        </w:rPr>
        <w:t xml:space="preserve"> form only.</w:t>
      </w:r>
    </w:p>
    <w:p w:rsidR="00D820AB" w:rsidRPr="00D820AB" w:rsidRDefault="00D820AB" w:rsidP="00E23543">
      <w:pPr>
        <w:pStyle w:val="NoSpacing"/>
        <w:rPr>
          <w:sz w:val="24"/>
          <w:szCs w:val="24"/>
        </w:rPr>
      </w:pPr>
      <w:r>
        <w:rPr>
          <w:sz w:val="24"/>
          <w:szCs w:val="24"/>
        </w:rPr>
        <w:t xml:space="preserve"> </w:t>
      </w:r>
    </w:p>
    <w:sectPr w:rsidR="00D820AB" w:rsidRPr="00D820AB" w:rsidSect="00885F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F"/>
      </v:shape>
    </w:pict>
  </w:numPicBullet>
  <w:abstractNum w:abstractNumId="0">
    <w:nsid w:val="0FA9733F"/>
    <w:multiLevelType w:val="hybridMultilevel"/>
    <w:tmpl w:val="7522F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8036A6"/>
    <w:multiLevelType w:val="hybridMultilevel"/>
    <w:tmpl w:val="E89AEB66"/>
    <w:lvl w:ilvl="0" w:tplc="4502D3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940CFE"/>
    <w:multiLevelType w:val="hybridMultilevel"/>
    <w:tmpl w:val="8C24D7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671738"/>
    <w:multiLevelType w:val="hybridMultilevel"/>
    <w:tmpl w:val="6E761E4E"/>
    <w:lvl w:ilvl="0" w:tplc="46A8EA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F491376"/>
    <w:multiLevelType w:val="hybridMultilevel"/>
    <w:tmpl w:val="2A86CD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A13013"/>
    <w:multiLevelType w:val="hybridMultilevel"/>
    <w:tmpl w:val="E89AEB66"/>
    <w:lvl w:ilvl="0" w:tplc="4502D3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B1E04"/>
    <w:rsid w:val="001E2113"/>
    <w:rsid w:val="00273CEC"/>
    <w:rsid w:val="00456B23"/>
    <w:rsid w:val="00674B84"/>
    <w:rsid w:val="006E0FDB"/>
    <w:rsid w:val="00715F65"/>
    <w:rsid w:val="00823BE3"/>
    <w:rsid w:val="00885F71"/>
    <w:rsid w:val="008A52D4"/>
    <w:rsid w:val="008B1E04"/>
    <w:rsid w:val="00A71C2E"/>
    <w:rsid w:val="00B02874"/>
    <w:rsid w:val="00BE7137"/>
    <w:rsid w:val="00CE6C8B"/>
    <w:rsid w:val="00D820AB"/>
    <w:rsid w:val="00E235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4" type="connector" idref="#_x0000_s1027"/>
        <o:r id="V:Rule15" type="connector" idref="#_x0000_s1030"/>
        <o:r id="V:Rule16" type="connector" idref="#_x0000_s1040"/>
        <o:r id="V:Rule17" type="connector" idref="#_x0000_s1028"/>
        <o:r id="V:Rule18" type="connector" idref="#_x0000_s1041"/>
        <o:r id="V:Rule19" type="connector" idref="#_x0000_s1033"/>
        <o:r id="V:Rule20" type="connector" idref="#_x0000_s1034"/>
        <o:r id="V:Rule21" type="connector" idref="#_x0000_s1042"/>
        <o:r id="V:Rule22" type="connector" idref="#_x0000_s1038"/>
        <o:r id="V:Rule23" type="connector" idref="#_x0000_s1037"/>
        <o:r id="V:Rule24" type="connector" idref="#_x0000_s1032"/>
        <o:r id="V:Rule25" type="connector" idref="#_x0000_s1035"/>
        <o:r id="V:Rule26"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F71"/>
  </w:style>
  <w:style w:type="paragraph" w:styleId="Heading1">
    <w:name w:val="heading 1"/>
    <w:basedOn w:val="Normal"/>
    <w:next w:val="Normal"/>
    <w:link w:val="Heading1Char"/>
    <w:uiPriority w:val="9"/>
    <w:qFormat/>
    <w:rsid w:val="006E0F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BE3"/>
    <w:pPr>
      <w:ind w:left="720"/>
      <w:contextualSpacing/>
    </w:pPr>
  </w:style>
  <w:style w:type="character" w:customStyle="1" w:styleId="Heading1Char">
    <w:name w:val="Heading 1 Char"/>
    <w:basedOn w:val="DefaultParagraphFont"/>
    <w:link w:val="Heading1"/>
    <w:uiPriority w:val="9"/>
    <w:rsid w:val="006E0FDB"/>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A71C2E"/>
    <w:pPr>
      <w:spacing w:after="0" w:line="240" w:lineRule="auto"/>
    </w:pPr>
  </w:style>
  <w:style w:type="paragraph" w:styleId="BalloonText">
    <w:name w:val="Balloon Text"/>
    <w:basedOn w:val="Normal"/>
    <w:link w:val="BalloonTextChar"/>
    <w:uiPriority w:val="99"/>
    <w:semiHidden/>
    <w:unhideWhenUsed/>
    <w:rsid w:val="00A71C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C2E"/>
    <w:rPr>
      <w:rFonts w:ascii="Tahoma" w:hAnsi="Tahoma" w:cs="Tahoma"/>
      <w:sz w:val="16"/>
      <w:szCs w:val="16"/>
    </w:rPr>
  </w:style>
  <w:style w:type="paragraph" w:customStyle="1" w:styleId="Default">
    <w:name w:val="Default"/>
    <w:rsid w:val="00715F65"/>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59"/>
    <w:rsid w:val="008A52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9F859DF-A578-47E8-8CAC-C2F411449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8</cp:revision>
  <dcterms:created xsi:type="dcterms:W3CDTF">2010-05-19T02:39:00Z</dcterms:created>
  <dcterms:modified xsi:type="dcterms:W3CDTF">2010-05-19T23:33:00Z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