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A9C" w:rsidRPr="001B1C3C" w:rsidRDefault="00B02100" w:rsidP="00097A9C">
      <w:pPr>
        <w:shd w:val="clear" w:color="auto" w:fill="FFFFFF"/>
        <w:spacing w:after="0" w:line="360" w:lineRule="atLeast"/>
        <w:jc w:val="both"/>
        <w:textAlignment w:val="baseline"/>
        <w:rPr>
          <w:rFonts w:ascii="Calibri" w:eastAsia="Times New Roman" w:hAnsi="Calibri" w:cs="Calibri"/>
          <w:b/>
          <w:sz w:val="44"/>
          <w:szCs w:val="44"/>
        </w:rPr>
      </w:pPr>
      <w:r w:rsidRPr="001B1C3C">
        <w:rPr>
          <w:rFonts w:ascii="Calibri" w:eastAsia="Times New Roman" w:hAnsi="Calibri" w:cs="Calibri"/>
          <w:b/>
          <w:bCs/>
          <w:sz w:val="44"/>
          <w:szCs w:val="44"/>
        </w:rPr>
        <w:fldChar w:fldCharType="begin"/>
      </w:r>
      <w:r w:rsidR="00097A9C" w:rsidRPr="001B1C3C">
        <w:rPr>
          <w:rFonts w:ascii="Calibri" w:eastAsia="Times New Roman" w:hAnsi="Calibri" w:cs="Calibri"/>
          <w:b/>
          <w:bCs/>
          <w:sz w:val="44"/>
          <w:szCs w:val="44"/>
        </w:rPr>
        <w:instrText xml:space="preserve"> HYPERLINK "http://www.vedjainassociates.com/?page_id=627&amp;news_id=67&amp;catid=11" </w:instrText>
      </w:r>
      <w:r w:rsidRPr="001B1C3C">
        <w:rPr>
          <w:rFonts w:ascii="Calibri" w:eastAsia="Times New Roman" w:hAnsi="Calibri" w:cs="Calibri"/>
          <w:b/>
          <w:bCs/>
          <w:sz w:val="44"/>
          <w:szCs w:val="44"/>
        </w:rPr>
        <w:fldChar w:fldCharType="separate"/>
      </w:r>
      <w:r w:rsidR="00097A9C" w:rsidRPr="001B1C3C">
        <w:rPr>
          <w:rFonts w:ascii="Calibri" w:eastAsia="Times New Roman" w:hAnsi="Calibri" w:cs="Calibri"/>
          <w:b/>
          <w:bCs/>
          <w:sz w:val="44"/>
          <w:szCs w:val="44"/>
        </w:rPr>
        <w:t>Exemption from service tax for the services provided by Government or a local authority to a business entity</w:t>
      </w:r>
      <w:r w:rsidRPr="001B1C3C">
        <w:rPr>
          <w:rFonts w:ascii="Calibri" w:eastAsia="Times New Roman" w:hAnsi="Calibri" w:cs="Calibri"/>
          <w:b/>
          <w:bCs/>
          <w:sz w:val="44"/>
          <w:szCs w:val="44"/>
        </w:rPr>
        <w:fldChar w:fldCharType="end"/>
      </w:r>
    </w:p>
    <w:p w:rsidR="00097A9C" w:rsidRPr="00097A9C" w:rsidRDefault="00097A9C" w:rsidP="00097A9C">
      <w:pPr>
        <w:shd w:val="clear" w:color="auto" w:fill="FFFFFF"/>
        <w:spacing w:after="0" w:line="360" w:lineRule="atLeast"/>
        <w:jc w:val="both"/>
        <w:textAlignment w:val="baseline"/>
        <w:rPr>
          <w:rFonts w:ascii="Calibri" w:eastAsia="Times New Roman" w:hAnsi="Calibri" w:cs="Calibri"/>
          <w:color w:val="373737"/>
          <w:sz w:val="24"/>
          <w:szCs w:val="24"/>
        </w:rPr>
      </w:pPr>
      <w:r w:rsidRPr="00097A9C">
        <w:rPr>
          <w:rFonts w:ascii="Verdana" w:eastAsia="Times New Roman" w:hAnsi="Verdana" w:cs="Calibri"/>
          <w:b/>
          <w:bCs/>
          <w:color w:val="373737"/>
          <w:sz w:val="24"/>
          <w:szCs w:val="24"/>
        </w:rPr>
        <w:t>Background</w:t>
      </w:r>
    </w:p>
    <w:p w:rsidR="00097A9C" w:rsidRPr="00097A9C" w:rsidRDefault="00097A9C" w:rsidP="00097A9C">
      <w:pPr>
        <w:shd w:val="clear" w:color="auto" w:fill="FFFFFF"/>
        <w:spacing w:after="0" w:line="360" w:lineRule="atLeast"/>
        <w:jc w:val="both"/>
        <w:textAlignment w:val="baseline"/>
        <w:rPr>
          <w:rFonts w:ascii="Calibri" w:eastAsia="Times New Roman" w:hAnsi="Calibri" w:cs="Calibri"/>
          <w:color w:val="373737"/>
          <w:sz w:val="24"/>
          <w:szCs w:val="24"/>
        </w:rPr>
      </w:pPr>
      <w:r w:rsidRPr="00097A9C">
        <w:rPr>
          <w:rFonts w:ascii="Verdana" w:eastAsia="Times New Roman" w:hAnsi="Verdana" w:cs="Calibri"/>
          <w:color w:val="373737"/>
          <w:sz w:val="20"/>
          <w:szCs w:val="20"/>
          <w:bdr w:val="none" w:sz="0" w:space="0" w:color="auto" w:frame="1"/>
        </w:rPr>
        <w:t>As per Section 66D of Finance Act, 1994 as amended by Finance Act, 2012 services provided by government or local authority are not chargeable to service tax, subject to following exceptions:-</w:t>
      </w:r>
    </w:p>
    <w:p w:rsidR="00097A9C" w:rsidRPr="00097A9C" w:rsidRDefault="00097A9C" w:rsidP="00097A9C">
      <w:pPr>
        <w:shd w:val="clear" w:color="auto" w:fill="FFFFFF"/>
        <w:spacing w:after="0" w:line="360" w:lineRule="atLeast"/>
        <w:ind w:left="360" w:hanging="360"/>
        <w:jc w:val="both"/>
        <w:textAlignment w:val="baseline"/>
        <w:rPr>
          <w:rFonts w:ascii="Calibri" w:eastAsia="Times New Roman" w:hAnsi="Calibri" w:cs="Calibri"/>
          <w:color w:val="373737"/>
          <w:sz w:val="24"/>
          <w:szCs w:val="24"/>
        </w:rPr>
      </w:pPr>
      <w:r w:rsidRPr="00097A9C">
        <w:rPr>
          <w:rFonts w:ascii="Symbol" w:eastAsia="Times New Roman" w:hAnsi="Symbol" w:cs="Calibri"/>
          <w:color w:val="373737"/>
          <w:sz w:val="20"/>
          <w:szCs w:val="20"/>
          <w:bdr w:val="none" w:sz="0" w:space="0" w:color="auto" w:frame="1"/>
        </w:rPr>
        <w:t></w:t>
      </w:r>
      <w:r w:rsidRPr="00097A9C">
        <w:rPr>
          <w:rFonts w:ascii="Symbol" w:eastAsia="Times New Roman" w:hAnsi="Symbol" w:cs="Calibri"/>
          <w:color w:val="373737"/>
          <w:sz w:val="20"/>
          <w:szCs w:val="20"/>
          <w:bdr w:val="none" w:sz="0" w:space="0" w:color="auto" w:frame="1"/>
        </w:rPr>
        <w:t></w:t>
      </w:r>
      <w:r w:rsidRPr="00097A9C">
        <w:rPr>
          <w:rFonts w:ascii="Symbol" w:eastAsia="Times New Roman" w:hAnsi="Symbol" w:cs="Calibri"/>
          <w:color w:val="373737"/>
          <w:sz w:val="20"/>
          <w:szCs w:val="20"/>
          <w:bdr w:val="none" w:sz="0" w:space="0" w:color="auto" w:frame="1"/>
        </w:rPr>
        <w:t></w:t>
      </w:r>
      <w:r w:rsidRPr="00097A9C">
        <w:rPr>
          <w:rFonts w:ascii="Symbol" w:eastAsia="Times New Roman" w:hAnsi="Symbol" w:cs="Calibri"/>
          <w:color w:val="373737"/>
          <w:sz w:val="20"/>
          <w:szCs w:val="20"/>
          <w:bdr w:val="none" w:sz="0" w:space="0" w:color="auto" w:frame="1"/>
        </w:rPr>
        <w:t></w:t>
      </w:r>
      <w:r w:rsidRPr="00097A9C">
        <w:rPr>
          <w:rFonts w:ascii="Symbol" w:eastAsia="Times New Roman" w:hAnsi="Symbol" w:cs="Calibri"/>
          <w:color w:val="373737"/>
          <w:sz w:val="20"/>
          <w:szCs w:val="20"/>
          <w:bdr w:val="none" w:sz="0" w:space="0" w:color="auto" w:frame="1"/>
        </w:rPr>
        <w:t></w:t>
      </w:r>
      <w:r w:rsidRPr="00097A9C">
        <w:rPr>
          <w:rFonts w:ascii="Verdana" w:eastAsia="Times New Roman" w:hAnsi="Verdana" w:cs="Calibri"/>
          <w:color w:val="373737"/>
          <w:sz w:val="20"/>
          <w:szCs w:val="20"/>
          <w:bdr w:val="none" w:sz="0" w:space="0" w:color="auto" w:frame="1"/>
        </w:rPr>
        <w:t>services by the Department of Posts by way of speed post, express parcel post, life insurance and agency services provided to a person other than Government;</w:t>
      </w:r>
    </w:p>
    <w:p w:rsidR="00097A9C" w:rsidRPr="00097A9C" w:rsidRDefault="00097A9C" w:rsidP="00097A9C">
      <w:pPr>
        <w:shd w:val="clear" w:color="auto" w:fill="FFFFFF"/>
        <w:spacing w:after="0" w:line="360" w:lineRule="atLeast"/>
        <w:ind w:left="360" w:hanging="360"/>
        <w:jc w:val="both"/>
        <w:textAlignment w:val="baseline"/>
        <w:rPr>
          <w:rFonts w:ascii="Calibri" w:eastAsia="Times New Roman" w:hAnsi="Calibri" w:cs="Calibri"/>
          <w:color w:val="373737"/>
          <w:sz w:val="24"/>
          <w:szCs w:val="24"/>
        </w:rPr>
      </w:pPr>
      <w:r w:rsidRPr="00097A9C">
        <w:rPr>
          <w:rFonts w:ascii="Symbol" w:eastAsia="Times New Roman" w:hAnsi="Symbol" w:cs="Calibri"/>
          <w:color w:val="373737"/>
          <w:sz w:val="20"/>
          <w:szCs w:val="20"/>
          <w:bdr w:val="none" w:sz="0" w:space="0" w:color="auto" w:frame="1"/>
        </w:rPr>
        <w:t></w:t>
      </w:r>
      <w:r w:rsidRPr="00097A9C">
        <w:rPr>
          <w:rFonts w:ascii="Times New Roman" w:eastAsia="Times New Roman" w:hAnsi="Times New Roman" w:cs="Times New Roman"/>
          <w:color w:val="373737"/>
          <w:sz w:val="14"/>
          <w:szCs w:val="14"/>
          <w:bdr w:val="none" w:sz="0" w:space="0" w:color="auto" w:frame="1"/>
        </w:rPr>
        <w:t>        </w:t>
      </w:r>
      <w:r w:rsidRPr="00097A9C">
        <w:rPr>
          <w:rFonts w:ascii="Times New Roman" w:eastAsia="Times New Roman" w:hAnsi="Times New Roman" w:cs="Times New Roman"/>
          <w:color w:val="373737"/>
          <w:sz w:val="14"/>
        </w:rPr>
        <w:t> </w:t>
      </w:r>
      <w:r w:rsidRPr="00097A9C">
        <w:rPr>
          <w:rFonts w:ascii="Verdana" w:eastAsia="Times New Roman" w:hAnsi="Verdana" w:cs="Calibri"/>
          <w:color w:val="373737"/>
          <w:sz w:val="20"/>
          <w:szCs w:val="20"/>
          <w:bdr w:val="none" w:sz="0" w:space="0" w:color="auto" w:frame="1"/>
        </w:rPr>
        <w:t>services in relation to an aircraft or a vessel, inside or outside the precincts of a port or an airport;</w:t>
      </w:r>
    </w:p>
    <w:p w:rsidR="00097A9C" w:rsidRPr="00097A9C" w:rsidRDefault="00097A9C" w:rsidP="00097A9C">
      <w:pPr>
        <w:shd w:val="clear" w:color="auto" w:fill="FFFFFF"/>
        <w:spacing w:after="0" w:line="360" w:lineRule="atLeast"/>
        <w:ind w:left="360" w:hanging="360"/>
        <w:jc w:val="both"/>
        <w:textAlignment w:val="baseline"/>
        <w:rPr>
          <w:rFonts w:ascii="Calibri" w:eastAsia="Times New Roman" w:hAnsi="Calibri" w:cs="Calibri"/>
          <w:color w:val="373737"/>
          <w:sz w:val="24"/>
          <w:szCs w:val="24"/>
        </w:rPr>
      </w:pPr>
      <w:r w:rsidRPr="00097A9C">
        <w:rPr>
          <w:rFonts w:ascii="Symbol" w:eastAsia="Times New Roman" w:hAnsi="Symbol" w:cs="Calibri"/>
          <w:color w:val="373737"/>
          <w:sz w:val="20"/>
          <w:szCs w:val="20"/>
          <w:bdr w:val="none" w:sz="0" w:space="0" w:color="auto" w:frame="1"/>
        </w:rPr>
        <w:t></w:t>
      </w:r>
      <w:r w:rsidRPr="00097A9C">
        <w:rPr>
          <w:rFonts w:ascii="Times New Roman" w:eastAsia="Times New Roman" w:hAnsi="Times New Roman" w:cs="Times New Roman"/>
          <w:color w:val="373737"/>
          <w:sz w:val="14"/>
          <w:szCs w:val="14"/>
          <w:bdr w:val="none" w:sz="0" w:space="0" w:color="auto" w:frame="1"/>
        </w:rPr>
        <w:t>        </w:t>
      </w:r>
      <w:r w:rsidRPr="00097A9C">
        <w:rPr>
          <w:rFonts w:ascii="Times New Roman" w:eastAsia="Times New Roman" w:hAnsi="Times New Roman" w:cs="Times New Roman"/>
          <w:color w:val="373737"/>
          <w:sz w:val="14"/>
        </w:rPr>
        <w:t> </w:t>
      </w:r>
      <w:proofErr w:type="gramStart"/>
      <w:r w:rsidRPr="00097A9C">
        <w:rPr>
          <w:rFonts w:ascii="Verdana" w:eastAsia="Times New Roman" w:hAnsi="Verdana" w:cs="Calibri"/>
          <w:color w:val="373737"/>
          <w:sz w:val="20"/>
          <w:szCs w:val="20"/>
          <w:bdr w:val="none" w:sz="0" w:space="0" w:color="auto" w:frame="1"/>
        </w:rPr>
        <w:t>transport</w:t>
      </w:r>
      <w:proofErr w:type="gramEnd"/>
      <w:r w:rsidRPr="00097A9C">
        <w:rPr>
          <w:rFonts w:ascii="Verdana" w:eastAsia="Times New Roman" w:hAnsi="Verdana" w:cs="Calibri"/>
          <w:color w:val="373737"/>
          <w:sz w:val="20"/>
          <w:szCs w:val="20"/>
          <w:bdr w:val="none" w:sz="0" w:space="0" w:color="auto" w:frame="1"/>
        </w:rPr>
        <w:t xml:space="preserve"> of goods or passengers; or</w:t>
      </w:r>
    </w:p>
    <w:p w:rsidR="00097A9C" w:rsidRPr="00097A9C" w:rsidRDefault="00097A9C" w:rsidP="00097A9C">
      <w:pPr>
        <w:shd w:val="clear" w:color="auto" w:fill="FFFFFF"/>
        <w:spacing w:after="0" w:line="360" w:lineRule="atLeast"/>
        <w:ind w:left="360" w:hanging="360"/>
        <w:jc w:val="both"/>
        <w:textAlignment w:val="baseline"/>
        <w:rPr>
          <w:rFonts w:ascii="Calibri" w:eastAsia="Times New Roman" w:hAnsi="Calibri" w:cs="Calibri"/>
          <w:color w:val="373737"/>
          <w:sz w:val="24"/>
          <w:szCs w:val="24"/>
        </w:rPr>
      </w:pPr>
      <w:r w:rsidRPr="00097A9C">
        <w:rPr>
          <w:rFonts w:ascii="Symbol" w:eastAsia="Times New Roman" w:hAnsi="Symbol" w:cs="Calibri"/>
          <w:color w:val="373737"/>
          <w:sz w:val="20"/>
          <w:szCs w:val="20"/>
          <w:bdr w:val="none" w:sz="0" w:space="0" w:color="auto" w:frame="1"/>
        </w:rPr>
        <w:t></w:t>
      </w:r>
      <w:r w:rsidRPr="00097A9C">
        <w:rPr>
          <w:rFonts w:ascii="Times New Roman" w:eastAsia="Times New Roman" w:hAnsi="Times New Roman" w:cs="Times New Roman"/>
          <w:color w:val="373737"/>
          <w:sz w:val="14"/>
          <w:szCs w:val="14"/>
          <w:bdr w:val="none" w:sz="0" w:space="0" w:color="auto" w:frame="1"/>
        </w:rPr>
        <w:t>        </w:t>
      </w:r>
      <w:r w:rsidRPr="00097A9C">
        <w:rPr>
          <w:rFonts w:ascii="Times New Roman" w:eastAsia="Times New Roman" w:hAnsi="Times New Roman" w:cs="Times New Roman"/>
          <w:color w:val="373737"/>
          <w:sz w:val="14"/>
        </w:rPr>
        <w:t> </w:t>
      </w:r>
      <w:proofErr w:type="gramStart"/>
      <w:r w:rsidRPr="00097A9C">
        <w:rPr>
          <w:rFonts w:ascii="Verdana" w:eastAsia="Times New Roman" w:hAnsi="Verdana" w:cs="Calibri"/>
          <w:color w:val="373737"/>
          <w:sz w:val="20"/>
          <w:szCs w:val="20"/>
          <w:bdr w:val="none" w:sz="0" w:space="0" w:color="auto" w:frame="1"/>
        </w:rPr>
        <w:t>support</w:t>
      </w:r>
      <w:proofErr w:type="gramEnd"/>
      <w:r w:rsidRPr="00097A9C">
        <w:rPr>
          <w:rFonts w:ascii="Verdana" w:eastAsia="Times New Roman" w:hAnsi="Verdana" w:cs="Calibri"/>
          <w:color w:val="373737"/>
          <w:sz w:val="20"/>
          <w:szCs w:val="20"/>
          <w:bdr w:val="none" w:sz="0" w:space="0" w:color="auto" w:frame="1"/>
        </w:rPr>
        <w:t xml:space="preserve"> services, other than services covered under clauses (</w:t>
      </w:r>
      <w:proofErr w:type="spellStart"/>
      <w:r w:rsidRPr="00097A9C">
        <w:rPr>
          <w:rFonts w:ascii="Verdana" w:eastAsia="Times New Roman" w:hAnsi="Verdana" w:cs="Calibri"/>
          <w:color w:val="373737"/>
          <w:sz w:val="20"/>
          <w:szCs w:val="20"/>
          <w:bdr w:val="none" w:sz="0" w:space="0" w:color="auto" w:frame="1"/>
        </w:rPr>
        <w:t>i</w:t>
      </w:r>
      <w:proofErr w:type="spellEnd"/>
      <w:r w:rsidRPr="00097A9C">
        <w:rPr>
          <w:rFonts w:ascii="Verdana" w:eastAsia="Times New Roman" w:hAnsi="Verdana" w:cs="Calibri"/>
          <w:color w:val="373737"/>
          <w:sz w:val="20"/>
          <w:szCs w:val="20"/>
          <w:bdr w:val="none" w:sz="0" w:space="0" w:color="auto" w:frame="1"/>
        </w:rPr>
        <w:t>) to (iii) above, provided to business entities;</w:t>
      </w:r>
    </w:p>
    <w:p w:rsidR="00097A9C" w:rsidRPr="00097A9C" w:rsidRDefault="00097A9C" w:rsidP="00097A9C">
      <w:pPr>
        <w:shd w:val="clear" w:color="auto" w:fill="FFFFFF"/>
        <w:spacing w:after="0" w:line="360" w:lineRule="atLeast"/>
        <w:jc w:val="both"/>
        <w:textAlignment w:val="baseline"/>
        <w:rPr>
          <w:rFonts w:ascii="Calibri" w:eastAsia="Times New Roman" w:hAnsi="Calibri" w:cs="Calibri"/>
          <w:color w:val="373737"/>
          <w:sz w:val="24"/>
          <w:szCs w:val="24"/>
        </w:rPr>
      </w:pPr>
      <w:r w:rsidRPr="00097A9C">
        <w:rPr>
          <w:rFonts w:ascii="Verdana" w:eastAsia="Times New Roman" w:hAnsi="Verdana" w:cs="Calibri"/>
          <w:color w:val="373737"/>
          <w:sz w:val="20"/>
          <w:szCs w:val="20"/>
          <w:bdr w:val="none" w:sz="0" w:space="0" w:color="auto" w:frame="1"/>
        </w:rPr>
        <w:t>As per the recent service tax laws, support services provided by the government or local authority to business entity are taxable without any threshold limit.  Moreover these services are also covered under the ambit of 100% reverse charge meaning thereby service recipient is liable to pay service tax to government.   </w:t>
      </w:r>
    </w:p>
    <w:p w:rsidR="00097A9C" w:rsidRPr="00097A9C" w:rsidRDefault="00097A9C" w:rsidP="00097A9C">
      <w:pPr>
        <w:shd w:val="clear" w:color="auto" w:fill="FFFFFF"/>
        <w:spacing w:after="0" w:line="360" w:lineRule="atLeast"/>
        <w:jc w:val="both"/>
        <w:textAlignment w:val="baseline"/>
        <w:rPr>
          <w:rFonts w:ascii="Calibri" w:eastAsia="Times New Roman" w:hAnsi="Calibri" w:cs="Calibri"/>
          <w:color w:val="373737"/>
          <w:sz w:val="24"/>
          <w:szCs w:val="24"/>
        </w:rPr>
      </w:pPr>
      <w:r w:rsidRPr="00097A9C">
        <w:rPr>
          <w:rFonts w:ascii="Calibri" w:eastAsia="Times New Roman" w:hAnsi="Calibri" w:cs="Calibri"/>
          <w:color w:val="373737"/>
          <w:sz w:val="24"/>
          <w:szCs w:val="24"/>
        </w:rPr>
        <w:t> </w:t>
      </w:r>
    </w:p>
    <w:p w:rsidR="00097A9C" w:rsidRPr="00097A9C" w:rsidRDefault="00097A9C" w:rsidP="00097A9C">
      <w:pPr>
        <w:shd w:val="clear" w:color="auto" w:fill="FFFFFF"/>
        <w:spacing w:after="0" w:line="360" w:lineRule="atLeast"/>
        <w:jc w:val="both"/>
        <w:textAlignment w:val="baseline"/>
        <w:rPr>
          <w:rFonts w:ascii="Calibri" w:eastAsia="Times New Roman" w:hAnsi="Calibri" w:cs="Calibri"/>
          <w:color w:val="373737"/>
          <w:sz w:val="24"/>
          <w:szCs w:val="24"/>
        </w:rPr>
      </w:pPr>
      <w:r w:rsidRPr="00097A9C">
        <w:rPr>
          <w:rFonts w:ascii="Verdana" w:eastAsia="Times New Roman" w:hAnsi="Verdana" w:cs="Calibri"/>
          <w:b/>
          <w:bCs/>
          <w:color w:val="373737"/>
          <w:sz w:val="24"/>
          <w:szCs w:val="24"/>
        </w:rPr>
        <w:t>Notification*</w:t>
      </w:r>
    </w:p>
    <w:p w:rsidR="00097A9C" w:rsidRPr="00097A9C" w:rsidRDefault="00097A9C" w:rsidP="00097A9C">
      <w:pPr>
        <w:shd w:val="clear" w:color="auto" w:fill="FFFFFF"/>
        <w:spacing w:after="0" w:line="360" w:lineRule="atLeast"/>
        <w:jc w:val="both"/>
        <w:textAlignment w:val="baseline"/>
        <w:rPr>
          <w:rFonts w:ascii="Calibri" w:eastAsia="Times New Roman" w:hAnsi="Calibri" w:cs="Calibri"/>
          <w:color w:val="373737"/>
          <w:sz w:val="24"/>
          <w:szCs w:val="24"/>
        </w:rPr>
      </w:pPr>
      <w:r w:rsidRPr="00097A9C">
        <w:rPr>
          <w:rFonts w:ascii="Verdana" w:eastAsia="Times New Roman" w:hAnsi="Verdana" w:cs="Calibri"/>
          <w:color w:val="373737"/>
          <w:sz w:val="20"/>
          <w:szCs w:val="20"/>
          <w:bdr w:val="none" w:sz="0" w:space="0" w:color="auto" w:frame="1"/>
        </w:rPr>
        <w:t>In order to provide relief to service recipient, the government has inserted entry No. 48 vide Notification No. 25/2012. Notification hereby provides that where any services provided by government or local authority to any business entity, whose turnover is less than</w:t>
      </w:r>
      <w:r w:rsidRPr="00097A9C">
        <w:rPr>
          <w:rFonts w:ascii="Verdana" w:eastAsia="Times New Roman" w:hAnsi="Verdana" w:cs="Calibri"/>
          <w:color w:val="373737"/>
          <w:sz w:val="20"/>
        </w:rPr>
        <w:t> </w:t>
      </w:r>
      <w:r w:rsidRPr="00097A9C">
        <w:rPr>
          <w:rFonts w:ascii="Calibri" w:eastAsia="Times New Roman" w:hAnsi="Calibri" w:cs="Calibri"/>
          <w:b/>
          <w:bCs/>
          <w:color w:val="373737"/>
          <w:sz w:val="20"/>
        </w:rPr>
        <w:t xml:space="preserve">Rs. 10 </w:t>
      </w:r>
      <w:proofErr w:type="spellStart"/>
      <w:r w:rsidRPr="00097A9C">
        <w:rPr>
          <w:rFonts w:ascii="Calibri" w:eastAsia="Times New Roman" w:hAnsi="Calibri" w:cs="Calibri"/>
          <w:b/>
          <w:bCs/>
          <w:color w:val="373737"/>
          <w:sz w:val="20"/>
        </w:rPr>
        <w:t>Lakh</w:t>
      </w:r>
      <w:proofErr w:type="spellEnd"/>
      <w:r w:rsidRPr="00097A9C">
        <w:rPr>
          <w:rFonts w:ascii="Verdana" w:eastAsia="Times New Roman" w:hAnsi="Verdana" w:cs="Calibri"/>
          <w:color w:val="373737"/>
          <w:sz w:val="20"/>
        </w:rPr>
        <w:t> </w:t>
      </w:r>
      <w:r w:rsidRPr="00097A9C">
        <w:rPr>
          <w:rFonts w:ascii="Verdana" w:eastAsia="Times New Roman" w:hAnsi="Verdana" w:cs="Calibri"/>
          <w:color w:val="373737"/>
          <w:sz w:val="20"/>
          <w:szCs w:val="20"/>
          <w:bdr w:val="none" w:sz="0" w:space="0" w:color="auto" w:frame="1"/>
        </w:rPr>
        <w:t>in preceding previous year are not chargeable to service tax.</w:t>
      </w:r>
    </w:p>
    <w:p w:rsidR="00097A9C" w:rsidRPr="00097A9C" w:rsidRDefault="00097A9C" w:rsidP="00097A9C">
      <w:pPr>
        <w:shd w:val="clear" w:color="auto" w:fill="FFFFFF"/>
        <w:spacing w:after="0" w:line="360" w:lineRule="atLeast"/>
        <w:jc w:val="both"/>
        <w:textAlignment w:val="baseline"/>
        <w:rPr>
          <w:rFonts w:ascii="Calibri" w:eastAsia="Times New Roman" w:hAnsi="Calibri" w:cs="Calibri"/>
          <w:color w:val="373737"/>
          <w:sz w:val="24"/>
          <w:szCs w:val="24"/>
        </w:rPr>
      </w:pPr>
      <w:r w:rsidRPr="00097A9C">
        <w:rPr>
          <w:rFonts w:ascii="Calibri" w:eastAsia="Times New Roman" w:hAnsi="Calibri" w:cs="Calibri"/>
          <w:color w:val="373737"/>
          <w:sz w:val="24"/>
          <w:szCs w:val="24"/>
        </w:rPr>
        <w:t> </w:t>
      </w:r>
    </w:p>
    <w:p w:rsidR="00097A9C" w:rsidRPr="00097A9C" w:rsidRDefault="00097A9C" w:rsidP="00097A9C">
      <w:pPr>
        <w:shd w:val="clear" w:color="auto" w:fill="FFFFFF"/>
        <w:spacing w:after="0" w:line="360" w:lineRule="atLeast"/>
        <w:jc w:val="both"/>
        <w:textAlignment w:val="baseline"/>
        <w:rPr>
          <w:rFonts w:ascii="Calibri" w:eastAsia="Times New Roman" w:hAnsi="Calibri" w:cs="Calibri"/>
          <w:color w:val="373737"/>
          <w:sz w:val="24"/>
          <w:szCs w:val="24"/>
        </w:rPr>
      </w:pPr>
      <w:r w:rsidRPr="00097A9C">
        <w:rPr>
          <w:rFonts w:ascii="Verdana" w:eastAsia="Times New Roman" w:hAnsi="Verdana" w:cs="Calibri"/>
          <w:b/>
          <w:bCs/>
          <w:color w:val="373737"/>
          <w:sz w:val="24"/>
          <w:szCs w:val="24"/>
        </w:rPr>
        <w:t>Applicability </w:t>
      </w:r>
    </w:p>
    <w:p w:rsidR="00097A9C" w:rsidRPr="00097A9C" w:rsidRDefault="00097A9C" w:rsidP="00097A9C">
      <w:pPr>
        <w:shd w:val="clear" w:color="auto" w:fill="FFFFFF"/>
        <w:spacing w:after="0" w:line="360" w:lineRule="atLeast"/>
        <w:jc w:val="both"/>
        <w:textAlignment w:val="baseline"/>
        <w:rPr>
          <w:rFonts w:ascii="Calibri" w:eastAsia="Times New Roman" w:hAnsi="Calibri" w:cs="Calibri"/>
          <w:color w:val="373737"/>
          <w:sz w:val="24"/>
          <w:szCs w:val="24"/>
        </w:rPr>
      </w:pPr>
      <w:r w:rsidRPr="00097A9C">
        <w:rPr>
          <w:rFonts w:ascii="Verdana" w:eastAsia="Times New Roman" w:hAnsi="Verdana" w:cs="Calibri"/>
          <w:i/>
          <w:iCs/>
          <w:color w:val="373737"/>
          <w:sz w:val="20"/>
        </w:rPr>
        <w:t>This notification is effective from 01 April, 2016.</w:t>
      </w:r>
    </w:p>
    <w:p w:rsidR="00097A9C" w:rsidRPr="00097A9C" w:rsidRDefault="00097A9C" w:rsidP="00097A9C">
      <w:pPr>
        <w:shd w:val="clear" w:color="auto" w:fill="FFFFFF"/>
        <w:spacing w:after="0" w:line="360" w:lineRule="atLeast"/>
        <w:jc w:val="both"/>
        <w:textAlignment w:val="baseline"/>
        <w:rPr>
          <w:rFonts w:ascii="Calibri" w:eastAsia="Times New Roman" w:hAnsi="Calibri" w:cs="Calibri"/>
          <w:color w:val="373737"/>
          <w:sz w:val="24"/>
          <w:szCs w:val="24"/>
        </w:rPr>
      </w:pPr>
      <w:r w:rsidRPr="00097A9C">
        <w:rPr>
          <w:rFonts w:ascii="Calibri" w:eastAsia="Times New Roman" w:hAnsi="Calibri" w:cs="Calibri"/>
          <w:color w:val="373737"/>
          <w:sz w:val="24"/>
          <w:szCs w:val="24"/>
        </w:rPr>
        <w:br w:type="textWrapping" w:clear="all"/>
      </w:r>
    </w:p>
    <w:p w:rsidR="00097A9C" w:rsidRPr="00097A9C" w:rsidRDefault="00B02100" w:rsidP="00097A9C">
      <w:pPr>
        <w:shd w:val="clear" w:color="auto" w:fill="FFFFFF"/>
        <w:spacing w:after="390" w:line="360" w:lineRule="atLeast"/>
        <w:jc w:val="both"/>
        <w:textAlignment w:val="baseline"/>
        <w:rPr>
          <w:rFonts w:ascii="Calibri" w:eastAsia="Times New Roman" w:hAnsi="Calibri" w:cs="Calibri"/>
          <w:color w:val="373737"/>
          <w:sz w:val="24"/>
          <w:szCs w:val="24"/>
        </w:rPr>
      </w:pPr>
      <w:r w:rsidRPr="00B02100">
        <w:rPr>
          <w:rFonts w:ascii="Calibri" w:eastAsia="Times New Roman" w:hAnsi="Calibri" w:cs="Calibri"/>
          <w:color w:val="373737"/>
          <w:sz w:val="24"/>
          <w:szCs w:val="24"/>
        </w:rPr>
        <w:pict>
          <v:rect id="_x0000_i1025" style="width:154.45pt;height:.75pt" o:hrpct="330" o:hrstd="t" o:hr="t" fillcolor="#a0a0a0" stroked="f"/>
        </w:pict>
      </w:r>
    </w:p>
    <w:p w:rsidR="00097A9C" w:rsidRPr="00097A9C" w:rsidRDefault="00097A9C" w:rsidP="00097A9C">
      <w:pPr>
        <w:shd w:val="clear" w:color="auto" w:fill="FFFFFF"/>
        <w:spacing w:after="0" w:line="360" w:lineRule="atLeast"/>
        <w:jc w:val="both"/>
        <w:textAlignment w:val="baseline"/>
        <w:rPr>
          <w:rFonts w:ascii="Calibri" w:eastAsia="Times New Roman" w:hAnsi="Calibri" w:cs="Calibri"/>
          <w:color w:val="373737"/>
          <w:sz w:val="24"/>
          <w:szCs w:val="24"/>
        </w:rPr>
      </w:pPr>
      <w:r w:rsidRPr="00097A9C">
        <w:rPr>
          <w:rFonts w:ascii="Verdana" w:eastAsia="Times New Roman" w:hAnsi="Verdana" w:cs="Calibri"/>
          <w:color w:val="373737"/>
          <w:sz w:val="24"/>
          <w:szCs w:val="24"/>
          <w:bdr w:val="none" w:sz="0" w:space="0" w:color="auto" w:frame="1"/>
        </w:rPr>
        <w:t>*Notification No. 07/2016 dated 18</w:t>
      </w:r>
      <w:r w:rsidRPr="00097A9C">
        <w:rPr>
          <w:rFonts w:ascii="Calibri" w:eastAsia="Times New Roman" w:hAnsi="Calibri" w:cs="Calibri"/>
          <w:color w:val="373737"/>
          <w:sz w:val="15"/>
          <w:szCs w:val="15"/>
          <w:bdr w:val="none" w:sz="0" w:space="0" w:color="auto" w:frame="1"/>
          <w:vertAlign w:val="superscript"/>
        </w:rPr>
        <w:t>th</w:t>
      </w:r>
      <w:r w:rsidRPr="00097A9C">
        <w:rPr>
          <w:rFonts w:ascii="Verdana" w:eastAsia="Times New Roman" w:hAnsi="Verdana" w:cs="Calibri"/>
          <w:color w:val="373737"/>
          <w:sz w:val="24"/>
          <w:szCs w:val="24"/>
        </w:rPr>
        <w:t> </w:t>
      </w:r>
      <w:r w:rsidRPr="00097A9C">
        <w:rPr>
          <w:rFonts w:ascii="Verdana" w:eastAsia="Times New Roman" w:hAnsi="Verdana" w:cs="Calibri"/>
          <w:color w:val="373737"/>
          <w:sz w:val="24"/>
          <w:szCs w:val="24"/>
          <w:bdr w:val="none" w:sz="0" w:space="0" w:color="auto" w:frame="1"/>
        </w:rPr>
        <w:t>February 2016</w:t>
      </w:r>
    </w:p>
    <w:p w:rsidR="009C3FFE" w:rsidRDefault="009C3FFE"/>
    <w:sectPr w:rsidR="009C3FFE" w:rsidSect="009C3F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7A9C"/>
    <w:rsid w:val="00097A9C"/>
    <w:rsid w:val="001B1C3C"/>
    <w:rsid w:val="009C3FFE"/>
    <w:rsid w:val="00B021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97A9C"/>
    <w:rPr>
      <w:b/>
      <w:bCs/>
    </w:rPr>
  </w:style>
  <w:style w:type="character" w:styleId="Hyperlink">
    <w:name w:val="Hyperlink"/>
    <w:basedOn w:val="DefaultParagraphFont"/>
    <w:uiPriority w:val="99"/>
    <w:semiHidden/>
    <w:unhideWhenUsed/>
    <w:rsid w:val="00097A9C"/>
    <w:rPr>
      <w:color w:val="0000FF"/>
      <w:u w:val="single"/>
    </w:rPr>
  </w:style>
  <w:style w:type="paragraph" w:styleId="ListParagraph">
    <w:name w:val="List Paragraph"/>
    <w:basedOn w:val="Normal"/>
    <w:uiPriority w:val="34"/>
    <w:qFormat/>
    <w:rsid w:val="00097A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97A9C"/>
  </w:style>
  <w:style w:type="paragraph" w:styleId="NormalWeb">
    <w:name w:val="Normal (Web)"/>
    <w:basedOn w:val="Normal"/>
    <w:uiPriority w:val="99"/>
    <w:semiHidden/>
    <w:unhideWhenUsed/>
    <w:rsid w:val="00097A9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97A9C"/>
    <w:rPr>
      <w:i/>
      <w:iCs/>
    </w:rPr>
  </w:style>
  <w:style w:type="paragraph" w:styleId="FootnoteText">
    <w:name w:val="footnote text"/>
    <w:basedOn w:val="Normal"/>
    <w:link w:val="FootnoteTextChar"/>
    <w:uiPriority w:val="99"/>
    <w:semiHidden/>
    <w:unhideWhenUsed/>
    <w:rsid w:val="00097A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097A9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3156095">
      <w:bodyDiv w:val="1"/>
      <w:marLeft w:val="0"/>
      <w:marRight w:val="0"/>
      <w:marTop w:val="0"/>
      <w:marBottom w:val="0"/>
      <w:divBdr>
        <w:top w:val="none" w:sz="0" w:space="0" w:color="auto"/>
        <w:left w:val="none" w:sz="0" w:space="0" w:color="auto"/>
        <w:bottom w:val="none" w:sz="0" w:space="0" w:color="auto"/>
        <w:right w:val="none" w:sz="0" w:space="0" w:color="auto"/>
      </w:divBdr>
      <w:divsChild>
        <w:div w:id="1581787225">
          <w:marLeft w:val="0"/>
          <w:marRight w:val="0"/>
          <w:marTop w:val="0"/>
          <w:marBottom w:val="0"/>
          <w:divBdr>
            <w:top w:val="none" w:sz="0" w:space="0" w:color="auto"/>
            <w:left w:val="none" w:sz="0" w:space="0" w:color="auto"/>
            <w:bottom w:val="none" w:sz="0" w:space="0" w:color="auto"/>
            <w:right w:val="none" w:sz="0" w:space="0" w:color="auto"/>
          </w:divBdr>
          <w:divsChild>
            <w:div w:id="184670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cp:revision>
  <dcterms:created xsi:type="dcterms:W3CDTF">2016-05-22T08:18:00Z</dcterms:created>
  <dcterms:modified xsi:type="dcterms:W3CDTF">2016-05-28T08:10:00Z</dcterms:modified>
</cp:coreProperties>
</file>