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FDB" w:rsidRPr="00F74FDB" w:rsidRDefault="00F74FDB" w:rsidP="00F74FDB">
      <w:pPr>
        <w:spacing w:after="0" w:line="240" w:lineRule="auto"/>
        <w:textAlignment w:val="baseline"/>
        <w:outlineLvl w:val="0"/>
        <w:rPr>
          <w:rFonts w:ascii="Times New Roman" w:eastAsia="Times New Roman" w:hAnsi="Times New Roman" w:cs="Times New Roman"/>
          <w:color w:val="444444"/>
          <w:kern w:val="36"/>
          <w:sz w:val="43"/>
          <w:szCs w:val="43"/>
          <w:lang w:eastAsia="en-IN"/>
        </w:rPr>
      </w:pPr>
      <w:r>
        <w:rPr>
          <w:rFonts w:ascii="Times New Roman" w:eastAsia="Times New Roman" w:hAnsi="Times New Roman" w:cs="Times New Roman"/>
          <w:color w:val="444444"/>
          <w:kern w:val="36"/>
          <w:sz w:val="43"/>
          <w:szCs w:val="43"/>
          <w:lang w:eastAsia="en-IN"/>
        </w:rPr>
        <w:t xml:space="preserve">                         </w:t>
      </w:r>
      <w:r w:rsidR="00AB31E0">
        <w:rPr>
          <w:rFonts w:ascii="Times New Roman" w:eastAsia="Times New Roman" w:hAnsi="Times New Roman" w:cs="Times New Roman"/>
          <w:color w:val="444444"/>
          <w:kern w:val="36"/>
          <w:sz w:val="43"/>
          <w:szCs w:val="43"/>
          <w:lang w:eastAsia="en-IN"/>
        </w:rPr>
        <w:t xml:space="preserve">    </w:t>
      </w:r>
      <w:hyperlink r:id="rId4" w:history="1">
        <w:r w:rsidRPr="00F74FDB">
          <w:rPr>
            <w:rFonts w:ascii="inherit" w:eastAsia="Times New Roman" w:hAnsi="inherit" w:cs="Times New Roman"/>
            <w:color w:val="444444"/>
            <w:kern w:val="36"/>
            <w:sz w:val="41"/>
            <w:lang w:eastAsia="en-IN"/>
          </w:rPr>
          <w:t>Service Tax Section wise list</w:t>
        </w:r>
      </w:hyperlink>
    </w:p>
    <w:p w:rsidR="00F74FDB" w:rsidRPr="00F74FDB" w:rsidRDefault="00F74FDB" w:rsidP="00F74FDB">
      <w:pPr>
        <w:shd w:val="clear" w:color="auto" w:fill="F3F3F3"/>
        <w:spacing w:after="0" w:line="360" w:lineRule="atLeast"/>
        <w:textAlignment w:val="baseline"/>
        <w:rPr>
          <w:rFonts w:ascii="inherit" w:eastAsia="Times New Roman" w:hAnsi="inherit" w:cs="Arial"/>
          <w:color w:val="000000"/>
          <w:sz w:val="23"/>
          <w:szCs w:val="23"/>
          <w:lang w:eastAsia="en-IN"/>
        </w:rPr>
      </w:pPr>
      <w:r w:rsidRPr="00F74FDB">
        <w:rPr>
          <w:rFonts w:ascii="inherit" w:eastAsia="Times New Roman" w:hAnsi="inherit" w:cs="Arial"/>
          <w:color w:val="737E7E"/>
          <w:sz w:val="23"/>
          <w:szCs w:val="23"/>
          <w:lang w:eastAsia="en-IN"/>
        </w:rPr>
        <w:t>Service Tax (Chapter -V of Finance Act 1994):</w:t>
      </w:r>
      <w:r w:rsidRPr="00F74FDB">
        <w:rPr>
          <w:rFonts w:ascii="inherit" w:eastAsia="Times New Roman" w:hAnsi="inherit" w:cs="Arial"/>
          <w:color w:val="000000"/>
          <w:sz w:val="23"/>
          <w:szCs w:val="23"/>
          <w:lang w:eastAsia="en-IN"/>
        </w:rPr>
        <w:br/>
        <w:t>Section 64</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Extent, commencement and application.</w:t>
      </w:r>
      <w:r w:rsidRPr="00F74FDB">
        <w:rPr>
          <w:rFonts w:ascii="inherit" w:eastAsia="Times New Roman" w:hAnsi="inherit" w:cs="Arial"/>
          <w:color w:val="000000"/>
          <w:sz w:val="23"/>
          <w:szCs w:val="23"/>
          <w:lang w:eastAsia="en-IN"/>
        </w:rPr>
        <w:br/>
        <w:t>Section 65B</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Interpretations</w:t>
      </w:r>
      <w:r w:rsidRPr="00F74FDB">
        <w:rPr>
          <w:rFonts w:ascii="inherit" w:eastAsia="Times New Roman" w:hAnsi="inherit" w:cs="Arial"/>
          <w:color w:val="000000"/>
          <w:sz w:val="23"/>
          <w:szCs w:val="23"/>
          <w:lang w:eastAsia="en-IN"/>
        </w:rPr>
        <w:br/>
        <w:t>Section 66B</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Charge of service tax</w:t>
      </w:r>
      <w:r w:rsidRPr="00F74FDB">
        <w:rPr>
          <w:rFonts w:ascii="inherit" w:eastAsia="Times New Roman" w:hAnsi="inherit" w:cs="Arial"/>
          <w:color w:val="000000"/>
          <w:sz w:val="23"/>
          <w:szCs w:val="23"/>
          <w:lang w:eastAsia="en-IN"/>
        </w:rPr>
        <w:br/>
        <w:t>Section 66C</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Determination of place of provision of service</w:t>
      </w:r>
      <w:r w:rsidRPr="00F74FDB">
        <w:rPr>
          <w:rFonts w:ascii="inherit" w:eastAsia="Times New Roman" w:hAnsi="inherit" w:cs="Arial"/>
          <w:color w:val="000000"/>
          <w:sz w:val="23"/>
          <w:szCs w:val="23"/>
          <w:lang w:eastAsia="en-IN"/>
        </w:rPr>
        <w:br/>
        <w:t>Section 66D</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Negative list of services</w:t>
      </w:r>
      <w:r w:rsidRPr="00F74FDB">
        <w:rPr>
          <w:rFonts w:ascii="inherit" w:eastAsia="Times New Roman" w:hAnsi="inherit" w:cs="Arial"/>
          <w:color w:val="000000"/>
          <w:sz w:val="23"/>
          <w:szCs w:val="23"/>
          <w:lang w:eastAsia="en-IN"/>
        </w:rPr>
        <w:br/>
        <w:t>Section 66E</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Declared Services</w:t>
      </w:r>
      <w:r w:rsidRPr="00F74FDB">
        <w:rPr>
          <w:rFonts w:ascii="inherit" w:eastAsia="Times New Roman" w:hAnsi="inherit" w:cs="Arial"/>
          <w:color w:val="000000"/>
          <w:sz w:val="23"/>
          <w:szCs w:val="23"/>
          <w:lang w:eastAsia="en-IN"/>
        </w:rPr>
        <w:br/>
        <w:t>Section 66F</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Principals of interpretation of specified descriptions of services or bundled services.</w:t>
      </w:r>
      <w:r w:rsidRPr="00F74FDB">
        <w:rPr>
          <w:rFonts w:ascii="inherit" w:eastAsia="Times New Roman" w:hAnsi="inherit" w:cs="Arial"/>
          <w:color w:val="000000"/>
          <w:sz w:val="23"/>
          <w:szCs w:val="23"/>
          <w:lang w:eastAsia="en-IN"/>
        </w:rPr>
        <w:br/>
        <w:t>Section 67</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Valuation of taxable services for charging Service tax</w:t>
      </w:r>
      <w:r w:rsidRPr="00F74FDB">
        <w:rPr>
          <w:rFonts w:ascii="inherit" w:eastAsia="Times New Roman" w:hAnsi="inherit" w:cs="Arial"/>
          <w:color w:val="000000"/>
          <w:sz w:val="23"/>
          <w:szCs w:val="23"/>
          <w:lang w:eastAsia="en-IN"/>
        </w:rPr>
        <w:br/>
        <w:t>Section 68</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Payment of service tax.</w:t>
      </w:r>
      <w:r w:rsidRPr="00F74FDB">
        <w:rPr>
          <w:rFonts w:ascii="inherit" w:eastAsia="Times New Roman" w:hAnsi="inherit" w:cs="Arial"/>
          <w:color w:val="000000"/>
          <w:sz w:val="23"/>
          <w:szCs w:val="23"/>
          <w:lang w:eastAsia="en-IN"/>
        </w:rPr>
        <w:br/>
        <w:t>Section 69</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Registration</w:t>
      </w:r>
      <w:r w:rsidRPr="00F74FDB">
        <w:rPr>
          <w:rFonts w:ascii="inherit" w:eastAsia="Times New Roman" w:hAnsi="inherit" w:cs="Arial"/>
          <w:color w:val="000000"/>
          <w:sz w:val="23"/>
          <w:szCs w:val="23"/>
          <w:lang w:eastAsia="en-IN"/>
        </w:rPr>
        <w:br/>
        <w:t>Section 70</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Furnishing of Returns</w:t>
      </w:r>
      <w:r w:rsidRPr="00F74FDB">
        <w:rPr>
          <w:rFonts w:ascii="inherit" w:eastAsia="Times New Roman" w:hAnsi="inherit" w:cs="Arial"/>
          <w:color w:val="000000"/>
          <w:sz w:val="23"/>
          <w:szCs w:val="23"/>
          <w:lang w:eastAsia="en-IN"/>
        </w:rPr>
        <w:br/>
        <w:t>Section 71</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Scheme for Submission of Returns through Service Tax Preparers</w:t>
      </w:r>
      <w:r w:rsidRPr="00F74FDB">
        <w:rPr>
          <w:rFonts w:ascii="inherit" w:eastAsia="Times New Roman" w:hAnsi="inherit" w:cs="Arial"/>
          <w:color w:val="000000"/>
          <w:sz w:val="23"/>
          <w:szCs w:val="23"/>
          <w:lang w:eastAsia="en-IN"/>
        </w:rPr>
        <w:br/>
        <w:t>Section 72</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Best Judgment Assessment</w:t>
      </w:r>
      <w:r w:rsidRPr="00F74FDB">
        <w:rPr>
          <w:rFonts w:ascii="inherit" w:eastAsia="Times New Roman" w:hAnsi="inherit" w:cs="Arial"/>
          <w:color w:val="000000"/>
          <w:sz w:val="23"/>
          <w:szCs w:val="23"/>
          <w:lang w:eastAsia="en-IN"/>
        </w:rPr>
        <w:br/>
        <w:t>Section 72A</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Special Audit</w:t>
      </w:r>
      <w:r w:rsidRPr="00F74FDB">
        <w:rPr>
          <w:rFonts w:ascii="inherit" w:eastAsia="Times New Roman" w:hAnsi="inherit" w:cs="Arial"/>
          <w:color w:val="000000"/>
          <w:sz w:val="23"/>
          <w:szCs w:val="23"/>
          <w:lang w:eastAsia="en-IN"/>
        </w:rPr>
        <w:br/>
        <w:t>Section 73</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Recovery of Service tax not levied or paid or short levied or short paid or erroneously refunded</w:t>
      </w:r>
      <w:r w:rsidRPr="00F74FDB">
        <w:rPr>
          <w:rFonts w:ascii="inherit" w:eastAsia="Times New Roman" w:hAnsi="inherit" w:cs="Arial"/>
          <w:color w:val="000000"/>
          <w:sz w:val="23"/>
          <w:szCs w:val="23"/>
          <w:lang w:eastAsia="en-IN"/>
        </w:rPr>
        <w:br/>
        <w:t>Section 73A</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Service Tax collected from any person to be deposited with Central Government</w:t>
      </w:r>
      <w:r w:rsidRPr="00F74FDB">
        <w:rPr>
          <w:rFonts w:ascii="inherit" w:eastAsia="Times New Roman" w:hAnsi="inherit" w:cs="Arial"/>
          <w:color w:val="000000"/>
          <w:sz w:val="23"/>
          <w:szCs w:val="23"/>
          <w:lang w:eastAsia="en-IN"/>
        </w:rPr>
        <w:br/>
        <w:t>Section 73B</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Interest on amount collected in excess</w:t>
      </w:r>
      <w:r w:rsidRPr="00F74FDB">
        <w:rPr>
          <w:rFonts w:ascii="inherit" w:eastAsia="Times New Roman" w:hAnsi="inherit" w:cs="Arial"/>
          <w:color w:val="000000"/>
          <w:sz w:val="23"/>
          <w:szCs w:val="23"/>
          <w:lang w:eastAsia="en-IN"/>
        </w:rPr>
        <w:br/>
        <w:t>Section 73C</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Provisional attachment to protect revenue in certain cases</w:t>
      </w:r>
      <w:r w:rsidRPr="00F74FDB">
        <w:rPr>
          <w:rFonts w:ascii="inherit" w:eastAsia="Times New Roman" w:hAnsi="inherit" w:cs="Arial"/>
          <w:color w:val="000000"/>
          <w:sz w:val="23"/>
          <w:szCs w:val="23"/>
          <w:lang w:eastAsia="en-IN"/>
        </w:rPr>
        <w:br/>
        <w:t>Section 73D</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Publication of information in respect of persons in certain cases</w:t>
      </w:r>
      <w:r w:rsidRPr="00F74FDB">
        <w:rPr>
          <w:rFonts w:ascii="inherit" w:eastAsia="Times New Roman" w:hAnsi="inherit" w:cs="Arial"/>
          <w:color w:val="000000"/>
          <w:sz w:val="23"/>
          <w:szCs w:val="23"/>
          <w:lang w:eastAsia="en-IN"/>
        </w:rPr>
        <w:br/>
        <w:t>Section 74</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Rectification of mistake</w:t>
      </w:r>
      <w:r w:rsidRPr="00F74FDB">
        <w:rPr>
          <w:rFonts w:ascii="inherit" w:eastAsia="Times New Roman" w:hAnsi="inherit" w:cs="Arial"/>
          <w:color w:val="000000"/>
          <w:sz w:val="23"/>
          <w:szCs w:val="23"/>
          <w:lang w:eastAsia="en-IN"/>
        </w:rPr>
        <w:br/>
        <w:t>Section 75</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Interest on delayed payment of Service Tax</w:t>
      </w:r>
      <w:r w:rsidRPr="00F74FDB">
        <w:rPr>
          <w:rFonts w:ascii="inherit" w:eastAsia="Times New Roman" w:hAnsi="inherit" w:cs="Arial"/>
          <w:color w:val="000000"/>
          <w:sz w:val="23"/>
          <w:szCs w:val="23"/>
          <w:lang w:eastAsia="en-IN"/>
        </w:rPr>
        <w:br/>
        <w:t>Section 76</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Penalty for failure to pay service tax</w:t>
      </w:r>
      <w:r w:rsidRPr="00F74FDB">
        <w:rPr>
          <w:rFonts w:ascii="inherit" w:eastAsia="Times New Roman" w:hAnsi="inherit" w:cs="Arial"/>
          <w:color w:val="000000"/>
          <w:sz w:val="23"/>
          <w:szCs w:val="23"/>
          <w:lang w:eastAsia="en-IN"/>
        </w:rPr>
        <w:br/>
        <w:t>Section 77</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Penalty for contravention of rules and provisions of Act for which no penalty is specified elsewhere</w:t>
      </w:r>
      <w:r w:rsidRPr="00F74FDB">
        <w:rPr>
          <w:rFonts w:ascii="inherit" w:eastAsia="Times New Roman" w:hAnsi="inherit" w:cs="Arial"/>
          <w:color w:val="000000"/>
          <w:sz w:val="23"/>
          <w:szCs w:val="23"/>
          <w:lang w:eastAsia="en-IN"/>
        </w:rPr>
        <w:br/>
        <w:t>Section 78</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Penalty for suppressing value of taxable service</w:t>
      </w:r>
      <w:r w:rsidRPr="00F74FDB">
        <w:rPr>
          <w:rFonts w:ascii="inherit" w:eastAsia="Times New Roman" w:hAnsi="inherit" w:cs="Arial"/>
          <w:color w:val="000000"/>
          <w:sz w:val="23"/>
          <w:szCs w:val="23"/>
          <w:lang w:eastAsia="en-IN"/>
        </w:rPr>
        <w:br/>
        <w:t>Section 78A</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Where a company has committed any of the following contraventions, namely:— (a) evasion of service tax; or (b) issuance of invoice, bill or, as the case may be, a challan without provision of taxable service in violation of the rules made under the provisions of this Chapter; or (c) availment and utilisation of credit of taxes or duty without actual receipt of taxable service or excisable goods either fully or partially in violation of the rules made under the provisions of this Chapter; or (d) failure to pay any amount collected as service tax to the credit of the Central Government beyond a period of six months from the date on which such payment becomes due, then any director, manager, secretary or other officer of such company, who at the time of such contravention was in charge of, and was responsible to, the company for the conduct of business of such company and was knowingly concerned with such contravention, shall be liable to a penalty which may extend to one lakh rupees.”;</w:t>
      </w:r>
      <w:r w:rsidRPr="00F74FDB">
        <w:rPr>
          <w:rFonts w:ascii="inherit" w:eastAsia="Times New Roman" w:hAnsi="inherit" w:cs="Arial"/>
          <w:color w:val="000000"/>
          <w:sz w:val="23"/>
          <w:szCs w:val="23"/>
          <w:lang w:eastAsia="en-IN"/>
        </w:rPr>
        <w:br/>
        <w:t>Section 80</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Penalty not to be imposed in certain cases (Sec - 76,77,78)</w:t>
      </w:r>
      <w:r w:rsidRPr="00F74FDB">
        <w:rPr>
          <w:rFonts w:ascii="inherit" w:eastAsia="Times New Roman" w:hAnsi="inherit" w:cs="Arial"/>
          <w:color w:val="000000"/>
          <w:sz w:val="23"/>
          <w:szCs w:val="23"/>
          <w:lang w:eastAsia="en-IN"/>
        </w:rPr>
        <w:br/>
        <w:t>Section 82</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Power to search premises</w:t>
      </w:r>
      <w:r w:rsidRPr="00F74FDB">
        <w:rPr>
          <w:rFonts w:ascii="inherit" w:eastAsia="Times New Roman" w:hAnsi="inherit" w:cs="Arial"/>
          <w:color w:val="000000"/>
          <w:sz w:val="23"/>
          <w:szCs w:val="23"/>
          <w:lang w:eastAsia="en-IN"/>
        </w:rPr>
        <w:br/>
        <w:t>Section 83</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Application of certain provisions of Central Excise Act 1 of 1944</w:t>
      </w:r>
      <w:r w:rsidRPr="00F74FDB">
        <w:rPr>
          <w:rFonts w:ascii="inherit" w:eastAsia="Times New Roman" w:hAnsi="inherit" w:cs="Arial"/>
          <w:color w:val="000000"/>
          <w:sz w:val="23"/>
          <w:szCs w:val="23"/>
          <w:lang w:eastAsia="en-IN"/>
        </w:rPr>
        <w:br/>
        <w:t>Section 83A</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Power of adjudication</w:t>
      </w:r>
      <w:r w:rsidRPr="00F74FDB">
        <w:rPr>
          <w:rFonts w:ascii="inherit" w:eastAsia="Times New Roman" w:hAnsi="inherit" w:cs="Arial"/>
          <w:color w:val="000000"/>
          <w:sz w:val="23"/>
          <w:szCs w:val="23"/>
          <w:lang w:eastAsia="en-IN"/>
        </w:rPr>
        <w:br/>
        <w:t>Section 84</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Appeals to Commissioner of Central Excise (Appeals)</w:t>
      </w:r>
      <w:r w:rsidRPr="00F74FDB">
        <w:rPr>
          <w:rFonts w:ascii="inherit" w:eastAsia="Times New Roman" w:hAnsi="inherit" w:cs="Arial"/>
          <w:color w:val="000000"/>
          <w:sz w:val="23"/>
          <w:szCs w:val="23"/>
          <w:lang w:eastAsia="en-IN"/>
        </w:rPr>
        <w:br/>
        <w:t>Section 85</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Appeals to the 1[Commissioner] of Central Excise (Appeals).</w:t>
      </w:r>
      <w:r w:rsidRPr="00F74FDB">
        <w:rPr>
          <w:rFonts w:ascii="inherit" w:eastAsia="Times New Roman" w:hAnsi="inherit" w:cs="Arial"/>
          <w:color w:val="000000"/>
          <w:sz w:val="23"/>
          <w:szCs w:val="23"/>
          <w:lang w:eastAsia="en-IN"/>
        </w:rPr>
        <w:br/>
        <w:t>Section 86</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Appeals to Appellate Tribunal</w:t>
      </w:r>
      <w:r w:rsidRPr="00F74FDB">
        <w:rPr>
          <w:rFonts w:ascii="inherit" w:eastAsia="Times New Roman" w:hAnsi="inherit" w:cs="Arial"/>
          <w:color w:val="000000"/>
          <w:sz w:val="23"/>
          <w:szCs w:val="23"/>
          <w:lang w:eastAsia="en-IN"/>
        </w:rPr>
        <w:br/>
        <w:t>Section 87</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Recovery of any amount due to Central Government</w:t>
      </w:r>
      <w:r w:rsidRPr="00F74FDB">
        <w:rPr>
          <w:rFonts w:ascii="inherit" w:eastAsia="Times New Roman" w:hAnsi="inherit" w:cs="Arial"/>
          <w:color w:val="000000"/>
          <w:sz w:val="23"/>
          <w:szCs w:val="23"/>
          <w:lang w:eastAsia="en-IN"/>
        </w:rPr>
        <w:br/>
        <w:t>Section 88</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Liability under Act to be first charge.</w:t>
      </w:r>
      <w:r w:rsidRPr="00F74FDB">
        <w:rPr>
          <w:rFonts w:ascii="inherit" w:eastAsia="Times New Roman" w:hAnsi="inherit" w:cs="Arial"/>
          <w:color w:val="000000"/>
          <w:sz w:val="23"/>
          <w:szCs w:val="23"/>
          <w:lang w:eastAsia="en-IN"/>
        </w:rPr>
        <w:br/>
        <w:t>Section 89</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Offences and Penalties</w:t>
      </w:r>
      <w:r w:rsidRPr="00F74FDB">
        <w:rPr>
          <w:rFonts w:ascii="inherit" w:eastAsia="Times New Roman" w:hAnsi="inherit" w:cs="Arial"/>
          <w:color w:val="000000"/>
          <w:sz w:val="23"/>
          <w:szCs w:val="23"/>
          <w:lang w:eastAsia="en-IN"/>
        </w:rPr>
        <w:br/>
      </w:r>
      <w:r w:rsidRPr="00F74FDB">
        <w:rPr>
          <w:rFonts w:ascii="inherit" w:eastAsia="Times New Roman" w:hAnsi="inherit" w:cs="Arial"/>
          <w:color w:val="000000"/>
          <w:sz w:val="23"/>
          <w:szCs w:val="23"/>
          <w:lang w:eastAsia="en-IN"/>
        </w:rPr>
        <w:lastRenderedPageBreak/>
        <w:t>Section 90</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Cognizance of offences</w:t>
      </w:r>
      <w:r w:rsidRPr="00F74FDB">
        <w:rPr>
          <w:rFonts w:ascii="inherit" w:eastAsia="Times New Roman" w:hAnsi="inherit" w:cs="Arial"/>
          <w:color w:val="000000"/>
          <w:sz w:val="23"/>
          <w:szCs w:val="23"/>
          <w:lang w:eastAsia="en-IN"/>
        </w:rPr>
        <w:br/>
        <w:t>Section 91</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Power to arrest</w:t>
      </w:r>
      <w:r w:rsidRPr="00F74FDB">
        <w:rPr>
          <w:rFonts w:ascii="inherit" w:eastAsia="Times New Roman" w:hAnsi="inherit" w:cs="Arial"/>
          <w:color w:val="000000"/>
          <w:sz w:val="23"/>
          <w:szCs w:val="23"/>
          <w:lang w:eastAsia="en-IN"/>
        </w:rPr>
        <w:br/>
        <w:t>Section 93</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Power to grant exemption from service tax</w:t>
      </w:r>
      <w:r w:rsidRPr="00F74FDB">
        <w:rPr>
          <w:rFonts w:ascii="inherit" w:eastAsia="Times New Roman" w:hAnsi="inherit" w:cs="Arial"/>
          <w:color w:val="000000"/>
          <w:sz w:val="23"/>
          <w:szCs w:val="23"/>
          <w:lang w:eastAsia="en-IN"/>
        </w:rPr>
        <w:br/>
        <w:t>Section 93A</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Power to grant Rebate</w:t>
      </w:r>
      <w:r w:rsidRPr="00F74FDB">
        <w:rPr>
          <w:rFonts w:ascii="inherit" w:eastAsia="Times New Roman" w:hAnsi="inherit" w:cs="Arial"/>
          <w:color w:val="000000"/>
          <w:sz w:val="23"/>
          <w:szCs w:val="23"/>
          <w:lang w:eastAsia="en-IN"/>
        </w:rPr>
        <w:br/>
        <w:t>Section 93B</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Rules made under section 94 to be applicable to services other than taxable services</w:t>
      </w:r>
      <w:r w:rsidRPr="00F74FDB">
        <w:rPr>
          <w:rFonts w:ascii="inherit" w:eastAsia="Times New Roman" w:hAnsi="inherit" w:cs="Arial"/>
          <w:color w:val="000000"/>
          <w:sz w:val="23"/>
          <w:szCs w:val="23"/>
          <w:lang w:eastAsia="en-IN"/>
        </w:rPr>
        <w:br/>
        <w:t>Section 94</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Power to make rules</w:t>
      </w:r>
      <w:r w:rsidRPr="00F74FDB">
        <w:rPr>
          <w:rFonts w:ascii="inherit" w:eastAsia="Times New Roman" w:hAnsi="inherit" w:cs="Arial"/>
          <w:color w:val="000000"/>
          <w:sz w:val="23"/>
          <w:szCs w:val="23"/>
          <w:lang w:eastAsia="en-IN"/>
        </w:rPr>
        <w:br/>
        <w:t>Section 95</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Power to remove difficulties in implementing new services</w:t>
      </w:r>
      <w:r w:rsidRPr="00F74FDB">
        <w:rPr>
          <w:rFonts w:ascii="inherit" w:eastAsia="Times New Roman" w:hAnsi="inherit" w:cs="Arial"/>
          <w:color w:val="000000"/>
          <w:sz w:val="23"/>
          <w:szCs w:val="23"/>
          <w:lang w:eastAsia="en-IN"/>
        </w:rPr>
        <w:br/>
        <w:t>Section 96</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Consequential amendment</w:t>
      </w:r>
      <w:r w:rsidRPr="00F74FDB">
        <w:rPr>
          <w:rFonts w:ascii="inherit" w:eastAsia="Times New Roman" w:hAnsi="inherit" w:cs="Arial"/>
          <w:color w:val="000000"/>
          <w:sz w:val="23"/>
          <w:szCs w:val="23"/>
          <w:lang w:eastAsia="en-IN"/>
        </w:rPr>
        <w:br/>
      </w:r>
    </w:p>
    <w:p w:rsidR="00F74FDB" w:rsidRPr="00F74FDB" w:rsidRDefault="00F74FDB" w:rsidP="00F74FDB">
      <w:pPr>
        <w:shd w:val="clear" w:color="auto" w:fill="F3F3F3"/>
        <w:spacing w:after="0" w:line="360" w:lineRule="atLeast"/>
        <w:textAlignment w:val="baseline"/>
        <w:rPr>
          <w:rFonts w:ascii="inherit" w:eastAsia="Times New Roman" w:hAnsi="inherit" w:cs="Arial"/>
          <w:color w:val="000000"/>
          <w:sz w:val="23"/>
          <w:szCs w:val="23"/>
          <w:lang w:eastAsia="en-IN"/>
        </w:rPr>
      </w:pPr>
      <w:r w:rsidRPr="00F74FDB">
        <w:rPr>
          <w:rFonts w:ascii="inherit" w:eastAsia="Times New Roman" w:hAnsi="inherit" w:cs="Arial"/>
          <w:color w:val="000000"/>
          <w:sz w:val="23"/>
          <w:szCs w:val="23"/>
          <w:lang w:eastAsia="en-IN"/>
        </w:rPr>
        <w:br/>
      </w:r>
      <w:r w:rsidRPr="00F74FDB">
        <w:rPr>
          <w:rFonts w:ascii="inherit" w:eastAsia="Times New Roman" w:hAnsi="inherit" w:cs="Arial"/>
          <w:color w:val="737E7E"/>
          <w:sz w:val="23"/>
          <w:szCs w:val="23"/>
          <w:lang w:eastAsia="en-IN"/>
        </w:rPr>
        <w:t>Chapter VA of The Finance Act, 1994 ADVANCE RULINGS:</w:t>
      </w:r>
      <w:r w:rsidRPr="00F74FDB">
        <w:rPr>
          <w:rFonts w:ascii="inherit" w:eastAsia="Times New Roman" w:hAnsi="inherit" w:cs="Arial"/>
          <w:color w:val="000000"/>
          <w:sz w:val="23"/>
          <w:szCs w:val="23"/>
          <w:lang w:eastAsia="en-IN"/>
        </w:rPr>
        <w:br/>
      </w:r>
      <w:r w:rsidRPr="00F74FDB">
        <w:rPr>
          <w:rFonts w:ascii="inherit" w:eastAsia="Times New Roman" w:hAnsi="inherit" w:cs="Arial"/>
          <w:color w:val="737E7E"/>
          <w:sz w:val="23"/>
          <w:szCs w:val="23"/>
          <w:lang w:eastAsia="en-IN"/>
        </w:rPr>
        <w:br/>
      </w:r>
      <w:r w:rsidRPr="00F74FDB">
        <w:rPr>
          <w:rFonts w:ascii="inherit" w:eastAsia="Times New Roman" w:hAnsi="inherit" w:cs="Arial"/>
          <w:color w:val="000000"/>
          <w:sz w:val="23"/>
          <w:szCs w:val="23"/>
          <w:lang w:eastAsia="en-IN"/>
        </w:rPr>
        <w:t>Section 96A</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Definitions</w:t>
      </w:r>
      <w:r w:rsidRPr="00F74FDB">
        <w:rPr>
          <w:rFonts w:ascii="inherit" w:eastAsia="Times New Roman" w:hAnsi="inherit" w:cs="Arial"/>
          <w:color w:val="000000"/>
          <w:sz w:val="23"/>
          <w:szCs w:val="23"/>
          <w:lang w:eastAsia="en-IN"/>
        </w:rPr>
        <w:br/>
        <w:t>Section 96B</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Vacancies, etc., not to invalidate proceedings</w:t>
      </w:r>
      <w:r w:rsidRPr="00F74FDB">
        <w:rPr>
          <w:rFonts w:ascii="inherit" w:eastAsia="Times New Roman" w:hAnsi="inherit" w:cs="Arial"/>
          <w:color w:val="000000"/>
          <w:sz w:val="23"/>
          <w:szCs w:val="23"/>
          <w:lang w:eastAsia="en-IN"/>
        </w:rPr>
        <w:br/>
        <w:t>Section 96C</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Application for advance ruling</w:t>
      </w:r>
      <w:r w:rsidRPr="00F74FDB">
        <w:rPr>
          <w:rFonts w:ascii="inherit" w:eastAsia="Times New Roman" w:hAnsi="inherit" w:cs="Arial"/>
          <w:color w:val="000000"/>
          <w:sz w:val="23"/>
          <w:szCs w:val="23"/>
          <w:lang w:eastAsia="en-IN"/>
        </w:rPr>
        <w:br/>
        <w:t>Section 96D</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Procedure on receipt of application</w:t>
      </w:r>
      <w:r w:rsidRPr="00F74FDB">
        <w:rPr>
          <w:rFonts w:ascii="inherit" w:eastAsia="Times New Roman" w:hAnsi="inherit" w:cs="Arial"/>
          <w:color w:val="000000"/>
          <w:sz w:val="23"/>
          <w:szCs w:val="23"/>
          <w:lang w:eastAsia="en-IN"/>
        </w:rPr>
        <w:br/>
        <w:t>Section 96E</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Applicability of advance ruling</w:t>
      </w:r>
      <w:r w:rsidRPr="00F74FDB">
        <w:rPr>
          <w:rFonts w:ascii="inherit" w:eastAsia="Times New Roman" w:hAnsi="inherit" w:cs="Arial"/>
          <w:color w:val="000000"/>
          <w:sz w:val="23"/>
          <w:szCs w:val="23"/>
          <w:lang w:eastAsia="en-IN"/>
        </w:rPr>
        <w:br/>
        <w:t>Section 96F</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Advance ruling to be void in certain circumstances</w:t>
      </w:r>
      <w:r w:rsidRPr="00F74FDB">
        <w:rPr>
          <w:rFonts w:ascii="inherit" w:eastAsia="Times New Roman" w:hAnsi="inherit" w:cs="Arial"/>
          <w:color w:val="000000"/>
          <w:sz w:val="23"/>
          <w:szCs w:val="23"/>
          <w:lang w:eastAsia="en-IN"/>
        </w:rPr>
        <w:br/>
        <w:t>Section 96G</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Powers of Authority</w:t>
      </w:r>
      <w:r w:rsidRPr="00F74FDB">
        <w:rPr>
          <w:rFonts w:ascii="inherit" w:eastAsia="Times New Roman" w:hAnsi="inherit" w:cs="Arial"/>
          <w:color w:val="000000"/>
          <w:sz w:val="23"/>
          <w:szCs w:val="23"/>
          <w:lang w:eastAsia="en-IN"/>
        </w:rPr>
        <w:br/>
        <w:t>Section 96H</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Procedure of Authority</w:t>
      </w:r>
      <w:r w:rsidRPr="00F74FDB">
        <w:rPr>
          <w:rFonts w:ascii="inherit" w:eastAsia="Times New Roman" w:hAnsi="inherit" w:cs="Arial"/>
          <w:color w:val="000000"/>
          <w:sz w:val="23"/>
          <w:szCs w:val="23"/>
          <w:lang w:eastAsia="en-IN"/>
        </w:rPr>
        <w:br/>
        <w:t>Section 96-I</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Power of Central Government to make rules.</w:t>
      </w:r>
      <w:r w:rsidRPr="00F74FDB">
        <w:rPr>
          <w:rFonts w:ascii="inherit" w:eastAsia="Times New Roman" w:hAnsi="inherit" w:cs="Arial"/>
          <w:color w:val="000000"/>
          <w:sz w:val="23"/>
          <w:szCs w:val="23"/>
          <w:lang w:eastAsia="en-IN"/>
        </w:rPr>
        <w:br/>
        <w:t>Section 96-J</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Special exemption from service tax in certain cases</w:t>
      </w:r>
      <w:r w:rsidRPr="00F74FDB">
        <w:rPr>
          <w:rFonts w:ascii="inherit" w:eastAsia="Times New Roman" w:hAnsi="inherit" w:cs="Arial"/>
          <w:color w:val="000000"/>
          <w:sz w:val="23"/>
          <w:szCs w:val="23"/>
          <w:lang w:eastAsia="en-IN"/>
        </w:rPr>
        <w:br/>
        <w:t>Section 97</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Special Provision for exemption in certain cases relating to management etc .of roads</w:t>
      </w:r>
      <w:r w:rsidRPr="00F74FDB">
        <w:rPr>
          <w:rFonts w:ascii="inherit" w:eastAsia="Times New Roman" w:hAnsi="inherit" w:cs="Arial"/>
          <w:color w:val="000000"/>
          <w:sz w:val="23"/>
          <w:szCs w:val="23"/>
          <w:lang w:eastAsia="en-IN"/>
        </w:rPr>
        <w:br/>
        <w:t>Section 99</w:t>
      </w:r>
      <w:r w:rsidRPr="00F74FDB">
        <w:rPr>
          <w:rFonts w:ascii="inherit" w:eastAsia="Times New Roman" w:hAnsi="inherit" w:cs="Arial"/>
          <w:color w:val="000000"/>
          <w:sz w:val="23"/>
          <w:lang w:eastAsia="en-IN"/>
        </w:rPr>
        <w:t xml:space="preserve"> </w:t>
      </w:r>
      <w:r w:rsidRPr="00F74FDB">
        <w:rPr>
          <w:rFonts w:ascii="inherit" w:eastAsia="Times New Roman" w:hAnsi="inherit" w:cs="Arial"/>
          <w:color w:val="000000"/>
          <w:sz w:val="23"/>
          <w:szCs w:val="23"/>
          <w:lang w:eastAsia="en-IN"/>
        </w:rPr>
        <w:t>Special provision for taxable services provided by Indian Railways</w:t>
      </w:r>
    </w:p>
    <w:p w:rsidR="0008500D" w:rsidRPr="00DC2595" w:rsidRDefault="0008500D" w:rsidP="00DC2595"/>
    <w:sectPr w:rsidR="0008500D" w:rsidRPr="00DC2595" w:rsidSect="00F669BD">
      <w:pgSz w:w="11906" w:h="16838"/>
      <w:pgMar w:top="238" w:right="244" w:bottom="244" w:left="23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A800AD"/>
    <w:rsid w:val="0008500D"/>
    <w:rsid w:val="000F77B7"/>
    <w:rsid w:val="0027033B"/>
    <w:rsid w:val="004C2608"/>
    <w:rsid w:val="00520E37"/>
    <w:rsid w:val="00654620"/>
    <w:rsid w:val="0069325F"/>
    <w:rsid w:val="006B2396"/>
    <w:rsid w:val="006C0659"/>
    <w:rsid w:val="00822467"/>
    <w:rsid w:val="00824BF6"/>
    <w:rsid w:val="00866D14"/>
    <w:rsid w:val="008C4E6F"/>
    <w:rsid w:val="008D609C"/>
    <w:rsid w:val="00A52DCD"/>
    <w:rsid w:val="00A800AD"/>
    <w:rsid w:val="00AB31E0"/>
    <w:rsid w:val="00BD485D"/>
    <w:rsid w:val="00BD6036"/>
    <w:rsid w:val="00DC2595"/>
    <w:rsid w:val="00DF0EB2"/>
    <w:rsid w:val="00EC761D"/>
    <w:rsid w:val="00F65C4C"/>
    <w:rsid w:val="00F669BD"/>
    <w:rsid w:val="00F74FDB"/>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00D"/>
  </w:style>
  <w:style w:type="paragraph" w:styleId="Heading1">
    <w:name w:val="heading 1"/>
    <w:basedOn w:val="Normal"/>
    <w:link w:val="Heading1Char"/>
    <w:uiPriority w:val="9"/>
    <w:qFormat/>
    <w:rsid w:val="00F74FD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800A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1Char">
    <w:name w:val="Heading 1 Char"/>
    <w:basedOn w:val="DefaultParagraphFont"/>
    <w:link w:val="Heading1"/>
    <w:uiPriority w:val="9"/>
    <w:rsid w:val="00F74FDB"/>
    <w:rPr>
      <w:rFonts w:ascii="Times New Roman" w:eastAsia="Times New Roman" w:hAnsi="Times New Roman" w:cs="Times New Roman"/>
      <w:b/>
      <w:bCs/>
      <w:kern w:val="36"/>
      <w:sz w:val="48"/>
      <w:szCs w:val="48"/>
      <w:lang w:eastAsia="en-IN"/>
    </w:rPr>
  </w:style>
  <w:style w:type="character" w:styleId="Hyperlink">
    <w:name w:val="Hyperlink"/>
    <w:basedOn w:val="DefaultParagraphFont"/>
    <w:uiPriority w:val="99"/>
    <w:semiHidden/>
    <w:unhideWhenUsed/>
    <w:rsid w:val="00F74FDB"/>
    <w:rPr>
      <w:color w:val="0000FF"/>
      <w:u w:val="single"/>
    </w:rPr>
  </w:style>
  <w:style w:type="character" w:customStyle="1" w:styleId="apple-tab-span">
    <w:name w:val="apple-tab-span"/>
    <w:basedOn w:val="DefaultParagraphFont"/>
    <w:rsid w:val="00F74FDB"/>
  </w:style>
  <w:style w:type="paragraph" w:styleId="BalloonText">
    <w:name w:val="Balloon Text"/>
    <w:basedOn w:val="Normal"/>
    <w:link w:val="BalloonTextChar"/>
    <w:uiPriority w:val="99"/>
    <w:semiHidden/>
    <w:unhideWhenUsed/>
    <w:rsid w:val="00F74F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4FD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1464506">
      <w:bodyDiv w:val="1"/>
      <w:marLeft w:val="0"/>
      <w:marRight w:val="0"/>
      <w:marTop w:val="0"/>
      <w:marBottom w:val="0"/>
      <w:divBdr>
        <w:top w:val="none" w:sz="0" w:space="0" w:color="auto"/>
        <w:left w:val="none" w:sz="0" w:space="0" w:color="auto"/>
        <w:bottom w:val="none" w:sz="0" w:space="0" w:color="auto"/>
        <w:right w:val="none" w:sz="0" w:space="0" w:color="auto"/>
      </w:divBdr>
      <w:divsChild>
        <w:div w:id="1976249410">
          <w:marLeft w:val="0"/>
          <w:marRight w:val="0"/>
          <w:marTop w:val="225"/>
          <w:marBottom w:val="0"/>
          <w:divBdr>
            <w:top w:val="none" w:sz="0" w:space="0" w:color="auto"/>
            <w:left w:val="none" w:sz="0" w:space="0" w:color="auto"/>
            <w:bottom w:val="none" w:sz="0" w:space="0" w:color="auto"/>
            <w:right w:val="none" w:sz="0" w:space="0" w:color="auto"/>
          </w:divBdr>
          <w:divsChild>
            <w:div w:id="6831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907118">
      <w:bodyDiv w:val="1"/>
      <w:marLeft w:val="0"/>
      <w:marRight w:val="0"/>
      <w:marTop w:val="0"/>
      <w:marBottom w:val="0"/>
      <w:divBdr>
        <w:top w:val="none" w:sz="0" w:space="0" w:color="auto"/>
        <w:left w:val="none" w:sz="0" w:space="0" w:color="auto"/>
        <w:bottom w:val="none" w:sz="0" w:space="0" w:color="auto"/>
        <w:right w:val="none" w:sz="0" w:space="0" w:color="auto"/>
      </w:divBdr>
      <w:divsChild>
        <w:div w:id="2001275037">
          <w:blockQuote w:val="1"/>
          <w:marLeft w:val="300"/>
          <w:marRight w:val="0"/>
          <w:marTop w:val="300"/>
          <w:marBottom w:val="300"/>
          <w:divBdr>
            <w:top w:val="none" w:sz="0" w:space="0" w:color="auto"/>
            <w:left w:val="single" w:sz="48" w:space="11" w:color="668A0E"/>
            <w:bottom w:val="none" w:sz="0" w:space="0" w:color="auto"/>
            <w:right w:val="none" w:sz="0" w:space="0" w:color="auto"/>
          </w:divBdr>
        </w:div>
        <w:div w:id="68188404">
          <w:blockQuote w:val="1"/>
          <w:marLeft w:val="300"/>
          <w:marRight w:val="0"/>
          <w:marTop w:val="300"/>
          <w:marBottom w:val="300"/>
          <w:divBdr>
            <w:top w:val="none" w:sz="0" w:space="0" w:color="auto"/>
            <w:left w:val="none" w:sz="0" w:space="0" w:color="auto"/>
            <w:bottom w:val="none" w:sz="0" w:space="0" w:color="auto"/>
            <w:right w:val="none" w:sz="0" w:space="0" w:color="auto"/>
          </w:divBdr>
        </w:div>
        <w:div w:id="1401826414">
          <w:blockQuote w:val="1"/>
          <w:marLeft w:val="300"/>
          <w:marRight w:val="0"/>
          <w:marTop w:val="300"/>
          <w:marBottom w:val="300"/>
          <w:divBdr>
            <w:top w:val="none" w:sz="0" w:space="0" w:color="auto"/>
            <w:left w:val="single" w:sz="48" w:space="11" w:color="668A0E"/>
            <w:bottom w:val="none" w:sz="0" w:space="0" w:color="auto"/>
            <w:right w:val="none" w:sz="0" w:space="0" w:color="auto"/>
          </w:divBdr>
        </w:div>
        <w:div w:id="338778164">
          <w:blockQuote w:val="1"/>
          <w:marLeft w:val="300"/>
          <w:marRight w:val="0"/>
          <w:marTop w:val="300"/>
          <w:marBottom w:val="300"/>
          <w:divBdr>
            <w:top w:val="none" w:sz="0" w:space="0" w:color="auto"/>
            <w:left w:val="none" w:sz="0" w:space="0" w:color="auto"/>
            <w:bottom w:val="none" w:sz="0" w:space="0" w:color="auto"/>
            <w:right w:val="none" w:sz="0" w:space="0" w:color="auto"/>
          </w:divBdr>
        </w:div>
        <w:div w:id="1728410169">
          <w:blockQuote w:val="1"/>
          <w:marLeft w:val="300"/>
          <w:marRight w:val="0"/>
          <w:marTop w:val="300"/>
          <w:marBottom w:val="300"/>
          <w:divBdr>
            <w:top w:val="none" w:sz="0" w:space="0" w:color="auto"/>
            <w:left w:val="single" w:sz="48" w:space="11" w:color="668A0E"/>
            <w:bottom w:val="none" w:sz="0" w:space="0" w:color="auto"/>
            <w:right w:val="none" w:sz="0" w:space="0" w:color="auto"/>
          </w:divBdr>
        </w:div>
        <w:div w:id="604852891">
          <w:blockQuote w:val="1"/>
          <w:marLeft w:val="300"/>
          <w:marRight w:val="0"/>
          <w:marTop w:val="300"/>
          <w:marBottom w:val="300"/>
          <w:divBdr>
            <w:top w:val="none" w:sz="0" w:space="0" w:color="auto"/>
            <w:left w:val="none" w:sz="0" w:space="0" w:color="auto"/>
            <w:bottom w:val="none" w:sz="0" w:space="0" w:color="auto"/>
            <w:right w:val="none" w:sz="0" w:space="0" w:color="auto"/>
          </w:divBdr>
        </w:div>
        <w:div w:id="362169681">
          <w:blockQuote w:val="1"/>
          <w:marLeft w:val="300"/>
          <w:marRight w:val="0"/>
          <w:marTop w:val="300"/>
          <w:marBottom w:val="300"/>
          <w:divBdr>
            <w:top w:val="none" w:sz="0" w:space="0" w:color="auto"/>
            <w:left w:val="single" w:sz="48" w:space="11" w:color="668A0E"/>
            <w:bottom w:val="none" w:sz="0" w:space="0" w:color="auto"/>
            <w:right w:val="none" w:sz="0" w:space="0" w:color="auto"/>
          </w:divBdr>
        </w:div>
        <w:div w:id="1342076496">
          <w:blockQuote w:val="1"/>
          <w:marLeft w:val="300"/>
          <w:marRight w:val="0"/>
          <w:marTop w:val="300"/>
          <w:marBottom w:val="300"/>
          <w:divBdr>
            <w:top w:val="none" w:sz="0" w:space="0" w:color="auto"/>
            <w:left w:val="none" w:sz="0" w:space="0" w:color="auto"/>
            <w:bottom w:val="none" w:sz="0" w:space="0" w:color="auto"/>
            <w:right w:val="none" w:sz="0" w:space="0" w:color="auto"/>
          </w:divBdr>
        </w:div>
        <w:div w:id="2031223193">
          <w:blockQuote w:val="1"/>
          <w:marLeft w:val="300"/>
          <w:marRight w:val="0"/>
          <w:marTop w:val="300"/>
          <w:marBottom w:val="300"/>
          <w:divBdr>
            <w:top w:val="none" w:sz="0" w:space="0" w:color="auto"/>
            <w:left w:val="single" w:sz="48" w:space="11" w:color="668A0E"/>
            <w:bottom w:val="none" w:sz="0" w:space="0" w:color="auto"/>
            <w:right w:val="none" w:sz="0" w:space="0" w:color="auto"/>
          </w:divBdr>
        </w:div>
        <w:div w:id="1270821364">
          <w:blockQuote w:val="1"/>
          <w:marLeft w:val="300"/>
          <w:marRight w:val="0"/>
          <w:marTop w:val="300"/>
          <w:marBottom w:val="300"/>
          <w:divBdr>
            <w:top w:val="none" w:sz="0" w:space="0" w:color="auto"/>
            <w:left w:val="none" w:sz="0" w:space="0" w:color="auto"/>
            <w:bottom w:val="none" w:sz="0" w:space="0" w:color="auto"/>
            <w:right w:val="none" w:sz="0" w:space="0" w:color="auto"/>
          </w:divBdr>
        </w:div>
        <w:div w:id="1858231856">
          <w:blockQuote w:val="1"/>
          <w:marLeft w:val="300"/>
          <w:marRight w:val="0"/>
          <w:marTop w:val="300"/>
          <w:marBottom w:val="300"/>
          <w:divBdr>
            <w:top w:val="none" w:sz="0" w:space="0" w:color="auto"/>
            <w:left w:val="single" w:sz="48" w:space="11" w:color="668A0E"/>
            <w:bottom w:val="none" w:sz="0" w:space="0" w:color="auto"/>
            <w:right w:val="none" w:sz="0" w:space="0" w:color="auto"/>
          </w:divBdr>
        </w:div>
        <w:div w:id="2116896838">
          <w:blockQuote w:val="1"/>
          <w:marLeft w:val="300"/>
          <w:marRight w:val="0"/>
          <w:marTop w:val="300"/>
          <w:marBottom w:val="300"/>
          <w:divBdr>
            <w:top w:val="none" w:sz="0" w:space="0" w:color="auto"/>
            <w:left w:val="none" w:sz="0" w:space="0" w:color="auto"/>
            <w:bottom w:val="none" w:sz="0" w:space="0" w:color="auto"/>
            <w:right w:val="none" w:sz="0" w:space="0" w:color="auto"/>
          </w:divBdr>
        </w:div>
        <w:div w:id="1304316297">
          <w:blockQuote w:val="1"/>
          <w:marLeft w:val="300"/>
          <w:marRight w:val="0"/>
          <w:marTop w:val="300"/>
          <w:marBottom w:val="300"/>
          <w:divBdr>
            <w:top w:val="none" w:sz="0" w:space="0" w:color="auto"/>
            <w:left w:val="single" w:sz="48" w:space="11" w:color="668A0E"/>
            <w:bottom w:val="none" w:sz="0" w:space="0" w:color="auto"/>
            <w:right w:val="none" w:sz="0" w:space="0" w:color="auto"/>
          </w:divBdr>
        </w:div>
        <w:div w:id="435517089">
          <w:blockQuote w:val="1"/>
          <w:marLeft w:val="300"/>
          <w:marRight w:val="0"/>
          <w:marTop w:val="300"/>
          <w:marBottom w:val="300"/>
          <w:divBdr>
            <w:top w:val="none" w:sz="0" w:space="0" w:color="auto"/>
            <w:left w:val="none" w:sz="0" w:space="0" w:color="auto"/>
            <w:bottom w:val="none" w:sz="0" w:space="0" w:color="auto"/>
            <w:right w:val="none" w:sz="0" w:space="0" w:color="auto"/>
          </w:divBdr>
        </w:div>
        <w:div w:id="891499962">
          <w:blockQuote w:val="1"/>
          <w:marLeft w:val="300"/>
          <w:marRight w:val="0"/>
          <w:marTop w:val="300"/>
          <w:marBottom w:val="300"/>
          <w:divBdr>
            <w:top w:val="none" w:sz="0" w:space="0" w:color="auto"/>
            <w:left w:val="single" w:sz="48" w:space="11" w:color="668A0E"/>
            <w:bottom w:val="none" w:sz="0" w:space="0" w:color="auto"/>
            <w:right w:val="none" w:sz="0" w:space="0" w:color="auto"/>
          </w:divBdr>
        </w:div>
        <w:div w:id="1156799189">
          <w:blockQuote w:val="1"/>
          <w:marLeft w:val="300"/>
          <w:marRight w:val="0"/>
          <w:marTop w:val="300"/>
          <w:marBottom w:val="300"/>
          <w:divBdr>
            <w:top w:val="none" w:sz="0" w:space="0" w:color="auto"/>
            <w:left w:val="none" w:sz="0" w:space="0" w:color="auto"/>
            <w:bottom w:val="none" w:sz="0" w:space="0" w:color="auto"/>
            <w:right w:val="none" w:sz="0" w:space="0" w:color="auto"/>
          </w:divBdr>
        </w:div>
        <w:div w:id="1303000555">
          <w:blockQuote w:val="1"/>
          <w:marLeft w:val="300"/>
          <w:marRight w:val="0"/>
          <w:marTop w:val="300"/>
          <w:marBottom w:val="300"/>
          <w:divBdr>
            <w:top w:val="none" w:sz="0" w:space="0" w:color="auto"/>
            <w:left w:val="single" w:sz="48" w:space="11" w:color="668A0E"/>
            <w:bottom w:val="none" w:sz="0" w:space="0" w:color="auto"/>
            <w:right w:val="none" w:sz="0" w:space="0" w:color="auto"/>
          </w:divBdr>
        </w:div>
        <w:div w:id="437024742">
          <w:blockQuote w:val="1"/>
          <w:marLeft w:val="300"/>
          <w:marRight w:val="0"/>
          <w:marTop w:val="300"/>
          <w:marBottom w:val="300"/>
          <w:divBdr>
            <w:top w:val="none" w:sz="0" w:space="0" w:color="auto"/>
            <w:left w:val="none" w:sz="0" w:space="0" w:color="auto"/>
            <w:bottom w:val="none" w:sz="0" w:space="0" w:color="auto"/>
            <w:right w:val="none" w:sz="0" w:space="0" w:color="auto"/>
          </w:divBdr>
        </w:div>
        <w:div w:id="1673988512">
          <w:blockQuote w:val="1"/>
          <w:marLeft w:val="300"/>
          <w:marRight w:val="0"/>
          <w:marTop w:val="300"/>
          <w:marBottom w:val="300"/>
          <w:divBdr>
            <w:top w:val="none" w:sz="0" w:space="0" w:color="auto"/>
            <w:left w:val="single" w:sz="48" w:space="11" w:color="668A0E"/>
            <w:bottom w:val="none" w:sz="0" w:space="0" w:color="auto"/>
            <w:right w:val="none" w:sz="0" w:space="0" w:color="auto"/>
          </w:divBdr>
        </w:div>
        <w:div w:id="1230458599">
          <w:blockQuote w:val="1"/>
          <w:marLeft w:val="300"/>
          <w:marRight w:val="0"/>
          <w:marTop w:val="300"/>
          <w:marBottom w:val="300"/>
          <w:divBdr>
            <w:top w:val="none" w:sz="0" w:space="0" w:color="auto"/>
            <w:left w:val="none" w:sz="0" w:space="0" w:color="auto"/>
            <w:bottom w:val="none" w:sz="0" w:space="0" w:color="auto"/>
            <w:right w:val="none" w:sz="0" w:space="0" w:color="auto"/>
          </w:divBdr>
        </w:div>
        <w:div w:id="316762400">
          <w:blockQuote w:val="1"/>
          <w:marLeft w:val="300"/>
          <w:marRight w:val="0"/>
          <w:marTop w:val="300"/>
          <w:marBottom w:val="300"/>
          <w:divBdr>
            <w:top w:val="none" w:sz="0" w:space="0" w:color="auto"/>
            <w:left w:val="single" w:sz="48" w:space="11" w:color="668A0E"/>
            <w:bottom w:val="none" w:sz="0" w:space="0" w:color="auto"/>
            <w:right w:val="none" w:sz="0" w:space="0" w:color="auto"/>
          </w:divBdr>
        </w:div>
        <w:div w:id="332029109">
          <w:blockQuote w:val="1"/>
          <w:marLeft w:val="300"/>
          <w:marRight w:val="0"/>
          <w:marTop w:val="300"/>
          <w:marBottom w:val="300"/>
          <w:divBdr>
            <w:top w:val="none" w:sz="0" w:space="0" w:color="auto"/>
            <w:left w:val="none" w:sz="0" w:space="0" w:color="auto"/>
            <w:bottom w:val="none" w:sz="0" w:space="0" w:color="auto"/>
            <w:right w:val="none" w:sz="0" w:space="0" w:color="auto"/>
          </w:divBdr>
        </w:div>
        <w:div w:id="901019855">
          <w:blockQuote w:val="1"/>
          <w:marLeft w:val="300"/>
          <w:marRight w:val="0"/>
          <w:marTop w:val="300"/>
          <w:marBottom w:val="300"/>
          <w:divBdr>
            <w:top w:val="none" w:sz="0" w:space="0" w:color="auto"/>
            <w:left w:val="single" w:sz="48" w:space="11" w:color="668A0E"/>
            <w:bottom w:val="none" w:sz="0" w:space="0" w:color="auto"/>
            <w:right w:val="none" w:sz="0" w:space="0" w:color="auto"/>
          </w:divBdr>
        </w:div>
        <w:div w:id="1233586208">
          <w:blockQuote w:val="1"/>
          <w:marLeft w:val="300"/>
          <w:marRight w:val="0"/>
          <w:marTop w:val="300"/>
          <w:marBottom w:val="300"/>
          <w:divBdr>
            <w:top w:val="none" w:sz="0" w:space="0" w:color="auto"/>
            <w:left w:val="none" w:sz="0" w:space="0" w:color="auto"/>
            <w:bottom w:val="none" w:sz="0" w:space="0" w:color="auto"/>
            <w:right w:val="none" w:sz="0" w:space="0" w:color="auto"/>
          </w:divBdr>
        </w:div>
        <w:div w:id="1085150058">
          <w:blockQuote w:val="1"/>
          <w:marLeft w:val="300"/>
          <w:marRight w:val="0"/>
          <w:marTop w:val="300"/>
          <w:marBottom w:val="300"/>
          <w:divBdr>
            <w:top w:val="none" w:sz="0" w:space="0" w:color="auto"/>
            <w:left w:val="single" w:sz="48" w:space="11" w:color="668A0E"/>
            <w:bottom w:val="none" w:sz="0" w:space="0" w:color="auto"/>
            <w:right w:val="none" w:sz="0" w:space="0" w:color="auto"/>
          </w:divBdr>
        </w:div>
        <w:div w:id="1563246414">
          <w:blockQuote w:val="1"/>
          <w:marLeft w:val="300"/>
          <w:marRight w:val="0"/>
          <w:marTop w:val="300"/>
          <w:marBottom w:val="300"/>
          <w:divBdr>
            <w:top w:val="none" w:sz="0" w:space="0" w:color="auto"/>
            <w:left w:val="none" w:sz="0" w:space="0" w:color="auto"/>
            <w:bottom w:val="none" w:sz="0" w:space="0" w:color="auto"/>
            <w:right w:val="none" w:sz="0" w:space="0" w:color="auto"/>
          </w:divBdr>
        </w:div>
        <w:div w:id="661396987">
          <w:blockQuote w:val="1"/>
          <w:marLeft w:val="300"/>
          <w:marRight w:val="0"/>
          <w:marTop w:val="300"/>
          <w:marBottom w:val="300"/>
          <w:divBdr>
            <w:top w:val="none" w:sz="0" w:space="0" w:color="auto"/>
            <w:left w:val="single" w:sz="48" w:space="11" w:color="668A0E"/>
            <w:bottom w:val="none" w:sz="0" w:space="0" w:color="auto"/>
            <w:right w:val="none" w:sz="0" w:space="0" w:color="auto"/>
          </w:divBdr>
        </w:div>
        <w:div w:id="680427491">
          <w:blockQuote w:val="1"/>
          <w:marLeft w:val="300"/>
          <w:marRight w:val="0"/>
          <w:marTop w:val="300"/>
          <w:marBottom w:val="300"/>
          <w:divBdr>
            <w:top w:val="none" w:sz="0" w:space="0" w:color="auto"/>
            <w:left w:val="none" w:sz="0" w:space="0" w:color="auto"/>
            <w:bottom w:val="none" w:sz="0" w:space="0" w:color="auto"/>
            <w:right w:val="none" w:sz="0" w:space="0" w:color="auto"/>
          </w:divBdr>
        </w:div>
        <w:div w:id="1354116350">
          <w:blockQuote w:val="1"/>
          <w:marLeft w:val="300"/>
          <w:marRight w:val="0"/>
          <w:marTop w:val="300"/>
          <w:marBottom w:val="300"/>
          <w:divBdr>
            <w:top w:val="none" w:sz="0" w:space="0" w:color="auto"/>
            <w:left w:val="single" w:sz="48" w:space="11" w:color="668A0E"/>
            <w:bottom w:val="none" w:sz="0" w:space="0" w:color="auto"/>
            <w:right w:val="none" w:sz="0" w:space="0" w:color="auto"/>
          </w:divBdr>
        </w:div>
        <w:div w:id="839854926">
          <w:blockQuote w:val="1"/>
          <w:marLeft w:val="300"/>
          <w:marRight w:val="0"/>
          <w:marTop w:val="300"/>
          <w:marBottom w:val="300"/>
          <w:divBdr>
            <w:top w:val="none" w:sz="0" w:space="0" w:color="auto"/>
            <w:left w:val="none" w:sz="0" w:space="0" w:color="auto"/>
            <w:bottom w:val="none" w:sz="0" w:space="0" w:color="auto"/>
            <w:right w:val="none" w:sz="0" w:space="0" w:color="auto"/>
          </w:divBdr>
        </w:div>
        <w:div w:id="1757088641">
          <w:blockQuote w:val="1"/>
          <w:marLeft w:val="300"/>
          <w:marRight w:val="0"/>
          <w:marTop w:val="300"/>
          <w:marBottom w:val="300"/>
          <w:divBdr>
            <w:top w:val="none" w:sz="0" w:space="0" w:color="auto"/>
            <w:left w:val="single" w:sz="48" w:space="11" w:color="668A0E"/>
            <w:bottom w:val="none" w:sz="0" w:space="0" w:color="auto"/>
            <w:right w:val="none" w:sz="0" w:space="0" w:color="auto"/>
          </w:divBdr>
        </w:div>
        <w:div w:id="1704285784">
          <w:blockQuote w:val="1"/>
          <w:marLeft w:val="300"/>
          <w:marRight w:val="0"/>
          <w:marTop w:val="300"/>
          <w:marBottom w:val="300"/>
          <w:divBdr>
            <w:top w:val="none" w:sz="0" w:space="0" w:color="auto"/>
            <w:left w:val="none" w:sz="0" w:space="0" w:color="auto"/>
            <w:bottom w:val="none" w:sz="0" w:space="0" w:color="auto"/>
            <w:right w:val="none" w:sz="0" w:space="0" w:color="auto"/>
          </w:divBdr>
        </w:div>
        <w:div w:id="282462876">
          <w:blockQuote w:val="1"/>
          <w:marLeft w:val="300"/>
          <w:marRight w:val="0"/>
          <w:marTop w:val="300"/>
          <w:marBottom w:val="300"/>
          <w:divBdr>
            <w:top w:val="none" w:sz="0" w:space="0" w:color="auto"/>
            <w:left w:val="single" w:sz="48" w:space="11" w:color="668A0E"/>
            <w:bottom w:val="none" w:sz="0" w:space="0" w:color="auto"/>
            <w:right w:val="none" w:sz="0" w:space="0" w:color="auto"/>
          </w:divBdr>
        </w:div>
        <w:div w:id="273176233">
          <w:blockQuote w:val="1"/>
          <w:marLeft w:val="300"/>
          <w:marRight w:val="0"/>
          <w:marTop w:val="300"/>
          <w:marBottom w:val="3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impletaxindia.in/2015/02/service-tax-section-wise-lis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621</Words>
  <Characters>3544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4</cp:revision>
  <dcterms:created xsi:type="dcterms:W3CDTF">2016-03-10T11:02:00Z</dcterms:created>
  <dcterms:modified xsi:type="dcterms:W3CDTF">2016-03-11T09:01:00Z</dcterms:modified>
</cp:coreProperties>
</file>