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341" w:rsidRPr="00D4473E" w:rsidRDefault="00D4473E" w:rsidP="00D4473E">
      <w:pPr>
        <w:shd w:val="clear" w:color="auto" w:fill="FFFFFF"/>
        <w:spacing w:before="0" w:line="360" w:lineRule="auto"/>
        <w:jc w:val="center"/>
        <w:rPr>
          <w:rFonts w:asciiTheme="minorBidi" w:eastAsia="Times New Roman" w:hAnsiTheme="minorBidi"/>
          <w:b/>
          <w:lang w:val="en-US"/>
        </w:rPr>
      </w:pPr>
      <w:r w:rsidRPr="00D4473E">
        <w:rPr>
          <w:rFonts w:asciiTheme="minorBidi" w:eastAsia="Times New Roman" w:hAnsiTheme="minorBidi"/>
          <w:b/>
          <w:lang w:val="en-US"/>
        </w:rPr>
        <w:t>Budget Changes 2015-16 - GTA</w:t>
      </w:r>
    </w:p>
    <w:p w:rsidR="002D102D" w:rsidRPr="00E74398" w:rsidRDefault="002E36B2" w:rsidP="00B949F2">
      <w:pPr>
        <w:spacing w:line="360" w:lineRule="auto"/>
        <w:jc w:val="both"/>
        <w:rPr>
          <w:rFonts w:asciiTheme="minorBidi" w:hAnsiTheme="minorBidi"/>
        </w:rPr>
      </w:pPr>
      <w:r>
        <w:rPr>
          <w:rFonts w:asciiTheme="minorBidi" w:hAnsiTheme="minorBidi"/>
        </w:rPr>
        <w:t>Budget 2015</w:t>
      </w:r>
      <w:r w:rsidR="00932A74">
        <w:rPr>
          <w:rFonts w:asciiTheme="minorBidi" w:hAnsiTheme="minorBidi"/>
        </w:rPr>
        <w:t xml:space="preserve"> has a</w:t>
      </w:r>
      <w:r>
        <w:rPr>
          <w:rFonts w:asciiTheme="minorBidi" w:hAnsiTheme="minorBidi"/>
        </w:rPr>
        <w:t xml:space="preserve"> few amendments </w:t>
      </w:r>
      <w:bookmarkStart w:id="0" w:name="_GoBack"/>
      <w:bookmarkEnd w:id="0"/>
      <w:r>
        <w:rPr>
          <w:rFonts w:asciiTheme="minorBidi" w:hAnsiTheme="minorBidi"/>
        </w:rPr>
        <w:t>with respect to existing exemptions and abatements. Entry no.21 of item (d) of mega exemption notification no.25/2012 has been amended to restrict the scope of exemption on GTA services. The details are as follows:</w:t>
      </w:r>
    </w:p>
    <w:tbl>
      <w:tblPr>
        <w:tblStyle w:val="TableGrid"/>
        <w:tblW w:w="5000" w:type="pct"/>
        <w:tblLook w:val="04A0" w:firstRow="1" w:lastRow="0" w:firstColumn="1" w:lastColumn="0" w:noHBand="0" w:noVBand="1"/>
      </w:tblPr>
      <w:tblGrid>
        <w:gridCol w:w="960"/>
        <w:gridCol w:w="4251"/>
        <w:gridCol w:w="4031"/>
      </w:tblGrid>
      <w:tr w:rsidR="002E7F7D" w:rsidRPr="00E74398" w:rsidTr="00D43CBA">
        <w:tc>
          <w:tcPr>
            <w:tcW w:w="519" w:type="pct"/>
          </w:tcPr>
          <w:p w:rsidR="002E7F7D" w:rsidRPr="00E74398" w:rsidRDefault="002E36B2" w:rsidP="00D3280B">
            <w:pPr>
              <w:spacing w:line="360" w:lineRule="auto"/>
              <w:jc w:val="both"/>
              <w:rPr>
                <w:rFonts w:asciiTheme="minorBidi" w:hAnsiTheme="minorBidi"/>
                <w:b/>
              </w:rPr>
            </w:pPr>
            <w:r>
              <w:rPr>
                <w:rFonts w:asciiTheme="minorBidi" w:hAnsiTheme="minorBidi"/>
                <w:b/>
              </w:rPr>
              <w:t>SI. No.</w:t>
            </w:r>
          </w:p>
        </w:tc>
        <w:tc>
          <w:tcPr>
            <w:tcW w:w="2300" w:type="pct"/>
          </w:tcPr>
          <w:p w:rsidR="002E7F7D" w:rsidRPr="00E74398" w:rsidRDefault="002E36B2" w:rsidP="00D3280B">
            <w:pPr>
              <w:spacing w:line="360" w:lineRule="auto"/>
              <w:jc w:val="both"/>
              <w:rPr>
                <w:rFonts w:asciiTheme="minorBidi" w:hAnsiTheme="minorBidi"/>
                <w:b/>
              </w:rPr>
            </w:pPr>
            <w:r>
              <w:rPr>
                <w:rFonts w:asciiTheme="minorBidi" w:hAnsiTheme="minorBidi"/>
                <w:b/>
              </w:rPr>
              <w:t xml:space="preserve">Exemption given </w:t>
            </w:r>
            <w:proofErr w:type="spellStart"/>
            <w:r>
              <w:rPr>
                <w:rFonts w:asciiTheme="minorBidi" w:hAnsiTheme="minorBidi"/>
                <w:b/>
              </w:rPr>
              <w:t>upto</w:t>
            </w:r>
            <w:proofErr w:type="spellEnd"/>
            <w:r>
              <w:rPr>
                <w:rFonts w:asciiTheme="minorBidi" w:hAnsiTheme="minorBidi"/>
                <w:b/>
              </w:rPr>
              <w:t xml:space="preserve"> 31.03.2015</w:t>
            </w:r>
          </w:p>
        </w:tc>
        <w:tc>
          <w:tcPr>
            <w:tcW w:w="2181" w:type="pct"/>
          </w:tcPr>
          <w:p w:rsidR="002E7F7D" w:rsidRPr="00E74398" w:rsidRDefault="002E36B2" w:rsidP="00D3280B">
            <w:pPr>
              <w:spacing w:line="360" w:lineRule="auto"/>
              <w:jc w:val="both"/>
              <w:rPr>
                <w:rFonts w:asciiTheme="minorBidi" w:hAnsiTheme="minorBidi"/>
                <w:b/>
              </w:rPr>
            </w:pPr>
            <w:r>
              <w:rPr>
                <w:rFonts w:asciiTheme="minorBidi" w:hAnsiTheme="minorBidi"/>
                <w:b/>
              </w:rPr>
              <w:t>Exemption from 1</w:t>
            </w:r>
            <w:r>
              <w:rPr>
                <w:rFonts w:asciiTheme="minorBidi" w:hAnsiTheme="minorBidi"/>
                <w:b/>
                <w:vertAlign w:val="superscript"/>
              </w:rPr>
              <w:t>st</w:t>
            </w:r>
            <w:r>
              <w:rPr>
                <w:rFonts w:asciiTheme="minorBidi" w:hAnsiTheme="minorBidi"/>
                <w:b/>
              </w:rPr>
              <w:t xml:space="preserve"> April 2015</w:t>
            </w:r>
          </w:p>
        </w:tc>
      </w:tr>
      <w:tr w:rsidR="006F1E71" w:rsidRPr="00E74398" w:rsidTr="00D43CBA">
        <w:tc>
          <w:tcPr>
            <w:tcW w:w="519" w:type="pct"/>
          </w:tcPr>
          <w:p w:rsidR="006F1E71" w:rsidRPr="00E74398" w:rsidRDefault="002E36B2" w:rsidP="00EE2204">
            <w:pPr>
              <w:spacing w:line="276" w:lineRule="auto"/>
              <w:jc w:val="both"/>
              <w:rPr>
                <w:rFonts w:asciiTheme="minorBidi" w:hAnsiTheme="minorBidi"/>
              </w:rPr>
            </w:pPr>
            <w:r>
              <w:rPr>
                <w:rFonts w:asciiTheme="minorBidi" w:hAnsiTheme="minorBidi"/>
              </w:rPr>
              <w:t>1</w:t>
            </w:r>
          </w:p>
        </w:tc>
        <w:tc>
          <w:tcPr>
            <w:tcW w:w="2300" w:type="pct"/>
          </w:tcPr>
          <w:p w:rsidR="006F1E71" w:rsidRPr="00E74398" w:rsidRDefault="002E36B2" w:rsidP="00EE2204">
            <w:pPr>
              <w:spacing w:before="0" w:line="276" w:lineRule="auto"/>
              <w:jc w:val="both"/>
              <w:rPr>
                <w:rFonts w:asciiTheme="minorBidi" w:hAnsiTheme="minorBidi"/>
              </w:rPr>
            </w:pPr>
            <w:r>
              <w:rPr>
                <w:rFonts w:asciiTheme="minorBidi" w:hAnsiTheme="minorBidi"/>
              </w:rPr>
              <w:t xml:space="preserve">Foodstuff including flours, tea, coffee, </w:t>
            </w:r>
            <w:proofErr w:type="spellStart"/>
            <w:r>
              <w:rPr>
                <w:rFonts w:asciiTheme="minorBidi" w:hAnsiTheme="minorBidi"/>
              </w:rPr>
              <w:t>jaggery</w:t>
            </w:r>
            <w:proofErr w:type="spellEnd"/>
            <w:r>
              <w:rPr>
                <w:rFonts w:asciiTheme="minorBidi" w:hAnsiTheme="minorBidi"/>
              </w:rPr>
              <w:t>, sugar, milk products, salt and edible oil, excluding alcoholic beverages</w:t>
            </w:r>
          </w:p>
        </w:tc>
        <w:tc>
          <w:tcPr>
            <w:tcW w:w="2181" w:type="pct"/>
          </w:tcPr>
          <w:p w:rsidR="006F1E71" w:rsidRPr="00E74398" w:rsidRDefault="002E36B2" w:rsidP="006973C9">
            <w:pPr>
              <w:spacing w:before="0" w:line="276" w:lineRule="auto"/>
              <w:jc w:val="both"/>
              <w:rPr>
                <w:rFonts w:asciiTheme="minorBidi" w:hAnsiTheme="minorBidi"/>
              </w:rPr>
            </w:pPr>
            <w:r>
              <w:rPr>
                <w:rFonts w:asciiTheme="minorBidi" w:hAnsiTheme="minorBidi"/>
              </w:rPr>
              <w:t>Milk, salt and food grain including flours, pulses and rice</w:t>
            </w:r>
          </w:p>
        </w:tc>
      </w:tr>
    </w:tbl>
    <w:p w:rsidR="00B444FF" w:rsidRPr="00E74398" w:rsidRDefault="002E36B2" w:rsidP="002B2C8D">
      <w:pPr>
        <w:spacing w:line="360" w:lineRule="auto"/>
        <w:jc w:val="both"/>
        <w:rPr>
          <w:rFonts w:asciiTheme="minorBidi" w:hAnsiTheme="minorBidi"/>
        </w:rPr>
      </w:pPr>
      <w:r>
        <w:rPr>
          <w:rFonts w:asciiTheme="minorBidi" w:hAnsiTheme="minorBidi"/>
        </w:rPr>
        <w:t xml:space="preserve">By amending the above entry, exemption has been restricted only for Milk, Salt and food grain including flours, pulses and rice transported. For other goods like food stuff, tea, coffee, </w:t>
      </w:r>
      <w:proofErr w:type="spellStart"/>
      <w:r>
        <w:rPr>
          <w:rFonts w:asciiTheme="minorBidi" w:hAnsiTheme="minorBidi"/>
        </w:rPr>
        <w:t>j</w:t>
      </w:r>
      <w:r w:rsidR="00C11F27">
        <w:rPr>
          <w:rFonts w:asciiTheme="minorBidi" w:hAnsiTheme="minorBidi"/>
        </w:rPr>
        <w:t>a</w:t>
      </w:r>
      <w:r>
        <w:rPr>
          <w:rFonts w:asciiTheme="minorBidi" w:hAnsiTheme="minorBidi"/>
        </w:rPr>
        <w:t>ggery</w:t>
      </w:r>
      <w:proofErr w:type="spellEnd"/>
      <w:r>
        <w:rPr>
          <w:rFonts w:asciiTheme="minorBidi" w:hAnsiTheme="minorBidi"/>
        </w:rPr>
        <w:t>, sugar, milk products, edible oil and alcoholic beverages no exemption would be available. When such goods are transported, the same would be liable for service tax after availing the abatement under Notification no.26/2012-ST</w:t>
      </w:r>
      <w:r w:rsidR="00DA5A94">
        <w:rPr>
          <w:rFonts w:asciiTheme="minorBidi" w:hAnsiTheme="minorBidi"/>
        </w:rPr>
        <w:t xml:space="preserve"> in the hands of service recipient or provider as the case may be</w:t>
      </w:r>
      <w:r>
        <w:rPr>
          <w:rFonts w:asciiTheme="minorBidi" w:hAnsiTheme="minorBidi"/>
        </w:rPr>
        <w:t>.</w:t>
      </w:r>
    </w:p>
    <w:p w:rsidR="00181D0B" w:rsidRDefault="002E36B2">
      <w:pPr>
        <w:spacing w:line="360" w:lineRule="auto"/>
        <w:jc w:val="both"/>
        <w:rPr>
          <w:rFonts w:asciiTheme="minorBidi" w:hAnsiTheme="minorBidi"/>
        </w:rPr>
      </w:pPr>
      <w:r>
        <w:rPr>
          <w:rFonts w:asciiTheme="minorBidi" w:hAnsiTheme="minorBidi"/>
        </w:rPr>
        <w:t xml:space="preserve">Apart from this, amendment has been made to entry no.7 of Notification No.26/2012 wherein the abatement has been reduced to 70% from 75% resulting in increase of liability of service tax from 25% to 30% of the service value. This change is effective from </w:t>
      </w:r>
      <w:r w:rsidR="00FE66D4">
        <w:rPr>
          <w:rFonts w:asciiTheme="minorBidi" w:hAnsiTheme="minorBidi"/>
        </w:rPr>
        <w:t>01</w:t>
      </w:r>
      <w:r w:rsidR="00FE66D4" w:rsidRPr="00FE66D4">
        <w:rPr>
          <w:rFonts w:asciiTheme="minorBidi" w:hAnsiTheme="minorBidi"/>
          <w:vertAlign w:val="superscript"/>
        </w:rPr>
        <w:t>st</w:t>
      </w:r>
      <w:r w:rsidR="00FE66D4">
        <w:rPr>
          <w:rFonts w:asciiTheme="minorBidi" w:hAnsiTheme="minorBidi"/>
        </w:rPr>
        <w:t xml:space="preserve"> April 2015.</w:t>
      </w:r>
    </w:p>
    <w:p w:rsidR="000D0B7A" w:rsidRDefault="002E36B2">
      <w:pPr>
        <w:spacing w:line="360" w:lineRule="auto"/>
        <w:jc w:val="both"/>
        <w:rPr>
          <w:rFonts w:asciiTheme="minorBidi" w:hAnsiTheme="minorBidi"/>
        </w:rPr>
      </w:pPr>
      <w:r w:rsidRPr="002E36B2">
        <w:rPr>
          <w:rFonts w:asciiTheme="minorBidi" w:hAnsiTheme="minorBidi"/>
          <w:shd w:val="clear" w:color="auto" w:fill="FFFFFF"/>
        </w:rPr>
        <w:t xml:space="preserve">Goods transport agency service provided for transport of export goods by road from the place of removal to an inland container depot, a container freight station, a port or airport is exempt from service tax vide notification No. 31/12-ST dated 20.6.2012. Scope of this exemption is </w:t>
      </w:r>
      <w:r w:rsidR="00E74398">
        <w:rPr>
          <w:rFonts w:asciiTheme="minorBidi" w:hAnsiTheme="minorBidi"/>
          <w:shd w:val="clear" w:color="auto" w:fill="FFFFFF"/>
        </w:rPr>
        <w:t>also</w:t>
      </w:r>
      <w:r w:rsidRPr="002E36B2">
        <w:rPr>
          <w:rFonts w:asciiTheme="minorBidi" w:hAnsiTheme="minorBidi"/>
          <w:shd w:val="clear" w:color="auto" w:fill="FFFFFF"/>
        </w:rPr>
        <w:t xml:space="preserve"> widened to exempt such services when provided for transport of export goods by road from the place of removal to a land customs station</w:t>
      </w:r>
      <w:r w:rsidR="00E74398">
        <w:rPr>
          <w:rFonts w:asciiTheme="minorBidi" w:hAnsiTheme="minorBidi"/>
          <w:shd w:val="clear" w:color="auto" w:fill="FFFFFF"/>
        </w:rPr>
        <w:t>.</w:t>
      </w:r>
      <w:r w:rsidR="00D50B6B">
        <w:rPr>
          <w:rFonts w:asciiTheme="minorBidi" w:hAnsiTheme="minorBidi"/>
        </w:rPr>
        <w:t>This change is effective from 01</w:t>
      </w:r>
      <w:r w:rsidR="00D50B6B" w:rsidRPr="00FE66D4">
        <w:rPr>
          <w:rFonts w:asciiTheme="minorBidi" w:hAnsiTheme="minorBidi"/>
          <w:vertAlign w:val="superscript"/>
        </w:rPr>
        <w:t>st</w:t>
      </w:r>
      <w:r w:rsidR="00D50B6B">
        <w:rPr>
          <w:rFonts w:asciiTheme="minorBidi" w:hAnsiTheme="minorBidi"/>
        </w:rPr>
        <w:t xml:space="preserve"> April 2015.</w:t>
      </w:r>
    </w:p>
    <w:sectPr w:rsidR="000D0B7A" w:rsidSect="008A7F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FB51A0"/>
    <w:multiLevelType w:val="multilevel"/>
    <w:tmpl w:val="9A10DF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368"/>
    <w:rsid w:val="00050920"/>
    <w:rsid w:val="000A6368"/>
    <w:rsid w:val="000B1E56"/>
    <w:rsid w:val="000C09ED"/>
    <w:rsid w:val="000D0B7A"/>
    <w:rsid w:val="0010211F"/>
    <w:rsid w:val="00104097"/>
    <w:rsid w:val="0010727B"/>
    <w:rsid w:val="00140F91"/>
    <w:rsid w:val="0014145A"/>
    <w:rsid w:val="00181D0B"/>
    <w:rsid w:val="001D6F10"/>
    <w:rsid w:val="002B2C8D"/>
    <w:rsid w:val="002D102D"/>
    <w:rsid w:val="002E36B2"/>
    <w:rsid w:val="002E7F7D"/>
    <w:rsid w:val="00521BC7"/>
    <w:rsid w:val="00523958"/>
    <w:rsid w:val="005A71EB"/>
    <w:rsid w:val="00692BFE"/>
    <w:rsid w:val="00694769"/>
    <w:rsid w:val="006973C9"/>
    <w:rsid w:val="006F1E71"/>
    <w:rsid w:val="00730341"/>
    <w:rsid w:val="007959A0"/>
    <w:rsid w:val="007F00F3"/>
    <w:rsid w:val="00887BBA"/>
    <w:rsid w:val="00895DD8"/>
    <w:rsid w:val="008A7F78"/>
    <w:rsid w:val="00932A74"/>
    <w:rsid w:val="00A175EA"/>
    <w:rsid w:val="00AE7C4B"/>
    <w:rsid w:val="00B25D4C"/>
    <w:rsid w:val="00B444FF"/>
    <w:rsid w:val="00B949F2"/>
    <w:rsid w:val="00BC5A4B"/>
    <w:rsid w:val="00BD12D3"/>
    <w:rsid w:val="00BD3CB0"/>
    <w:rsid w:val="00C11F27"/>
    <w:rsid w:val="00C77D79"/>
    <w:rsid w:val="00CA2E1B"/>
    <w:rsid w:val="00CE384B"/>
    <w:rsid w:val="00D3280B"/>
    <w:rsid w:val="00D43CBA"/>
    <w:rsid w:val="00D4473E"/>
    <w:rsid w:val="00D50B6B"/>
    <w:rsid w:val="00D72CD0"/>
    <w:rsid w:val="00D97485"/>
    <w:rsid w:val="00DA5A94"/>
    <w:rsid w:val="00E74398"/>
    <w:rsid w:val="00E8196C"/>
    <w:rsid w:val="00EE2204"/>
    <w:rsid w:val="00F252C6"/>
    <w:rsid w:val="00FE3D43"/>
    <w:rsid w:val="00FE66D4"/>
    <w:rsid w:val="00FF2AC7"/>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368"/>
    <w:pPr>
      <w:spacing w:before="200"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0920"/>
    <w:rPr>
      <w:color w:val="0000FF" w:themeColor="hyperlink"/>
      <w:u w:val="single"/>
    </w:rPr>
  </w:style>
  <w:style w:type="table" w:styleId="TableGrid">
    <w:name w:val="Table Grid"/>
    <w:basedOn w:val="TableNormal"/>
    <w:uiPriority w:val="59"/>
    <w:rsid w:val="002E7F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E74398"/>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3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368"/>
    <w:pPr>
      <w:spacing w:before="200"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0920"/>
    <w:rPr>
      <w:color w:val="0000FF" w:themeColor="hyperlink"/>
      <w:u w:val="single"/>
    </w:rPr>
  </w:style>
  <w:style w:type="table" w:styleId="TableGrid">
    <w:name w:val="Table Grid"/>
    <w:basedOn w:val="TableNormal"/>
    <w:uiPriority w:val="59"/>
    <w:rsid w:val="002E7F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E74398"/>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3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52DB0-4B16-404B-B013-C49170BBC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263</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Hiregange</dc:creator>
  <cp:lastModifiedBy>Madhukar</cp:lastModifiedBy>
  <cp:revision>3</cp:revision>
  <dcterms:created xsi:type="dcterms:W3CDTF">2015-03-06T10:48:00Z</dcterms:created>
  <dcterms:modified xsi:type="dcterms:W3CDTF">2015-03-06T10:51:00Z</dcterms:modified>
</cp:coreProperties>
</file>