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B64" w:rsidRPr="00542A76" w:rsidRDefault="00CC24EB" w:rsidP="003A6A69">
      <w:pPr>
        <w:pStyle w:val="ListParagraph"/>
        <w:rPr>
          <w:rStyle w:val="Strong"/>
          <w:rFonts w:ascii="Footlight MT Light" w:hAnsi="Footlight MT Light"/>
          <w:color w:val="943634" w:themeColor="accent2" w:themeShade="BF"/>
          <w:u w:val="single"/>
        </w:rPr>
      </w:pPr>
      <w:r w:rsidRPr="00542A76">
        <w:rPr>
          <w:rStyle w:val="Strong"/>
          <w:rFonts w:ascii="Footlight MT Light" w:hAnsi="Footlight MT Light"/>
          <w:color w:val="943634" w:themeColor="accent2" w:themeShade="BF"/>
          <w:u w:val="single"/>
        </w:rPr>
        <w:t>Service Tax Amendments after Budget 2014</w:t>
      </w:r>
    </w:p>
    <w:p w:rsidR="003A6A69" w:rsidRDefault="003A6A69" w:rsidP="003A6A69">
      <w:pPr>
        <w:pStyle w:val="ListParagraph"/>
        <w:rPr>
          <w:rStyle w:val="Strong"/>
          <w:b w:val="0"/>
        </w:rPr>
      </w:pPr>
    </w:p>
    <w:p w:rsidR="00DA666F" w:rsidRPr="00FE05BF" w:rsidRDefault="003A6A69" w:rsidP="00DA666F">
      <w:pPr>
        <w:pStyle w:val="ListParagraph"/>
        <w:rPr>
          <w:rStyle w:val="Strong"/>
          <w:rFonts w:ascii="Gungsuh" w:eastAsia="Gungsuh" w:hAnsi="Gungsuh"/>
          <w:color w:val="7B5E0B"/>
          <w:sz w:val="24"/>
          <w:szCs w:val="24"/>
        </w:rPr>
      </w:pPr>
      <w:r w:rsidRPr="00FE05BF">
        <w:rPr>
          <w:rStyle w:val="Strong"/>
          <w:rFonts w:ascii="Gungsuh" w:eastAsia="Gungsuh" w:hAnsi="Gungsuh"/>
          <w:color w:val="7B5E0B"/>
          <w:sz w:val="24"/>
          <w:szCs w:val="24"/>
        </w:rPr>
        <w:t xml:space="preserve">Compliance Issues relating to Service </w:t>
      </w:r>
      <w:r w:rsidR="00EB3218" w:rsidRPr="00FE05BF">
        <w:rPr>
          <w:rStyle w:val="Strong"/>
          <w:rFonts w:ascii="Gungsuh" w:eastAsia="Gungsuh" w:hAnsi="Gungsuh"/>
          <w:color w:val="7B5E0B"/>
          <w:sz w:val="24"/>
          <w:szCs w:val="24"/>
        </w:rPr>
        <w:t>Tax:</w:t>
      </w:r>
    </w:p>
    <w:p w:rsidR="00DA666F" w:rsidRDefault="00DA666F" w:rsidP="00DA666F">
      <w:pPr>
        <w:pStyle w:val="ListParagraph"/>
        <w:rPr>
          <w:rStyle w:val="Strong"/>
          <w:b w:val="0"/>
          <w:sz w:val="22"/>
          <w:szCs w:val="22"/>
        </w:rPr>
      </w:pPr>
    </w:p>
    <w:p w:rsidR="00EB3218" w:rsidRPr="009E7655" w:rsidRDefault="00EB3218" w:rsidP="00EB3218">
      <w:pPr>
        <w:pStyle w:val="ListParagraph"/>
        <w:numPr>
          <w:ilvl w:val="0"/>
          <w:numId w:val="10"/>
        </w:numPr>
        <w:ind w:left="709" w:hanging="283"/>
        <w:rPr>
          <w:rStyle w:val="Strong"/>
          <w:color w:val="111E2D"/>
          <w:sz w:val="22"/>
          <w:szCs w:val="22"/>
        </w:rPr>
      </w:pPr>
      <w:r w:rsidRPr="009E7655">
        <w:rPr>
          <w:rStyle w:val="Strong"/>
          <w:color w:val="111E2D"/>
          <w:sz w:val="22"/>
          <w:szCs w:val="22"/>
        </w:rPr>
        <w:t>Variable Interest rate for delayed payment of Service Tax –</w:t>
      </w:r>
    </w:p>
    <w:p w:rsidR="00EB3218" w:rsidRPr="009E7655" w:rsidRDefault="00EB3218" w:rsidP="00EB3218">
      <w:pPr>
        <w:pStyle w:val="ListParagraph"/>
        <w:ind w:left="709"/>
        <w:rPr>
          <w:rStyle w:val="Strong"/>
          <w:color w:val="244061" w:themeColor="accent1" w:themeShade="80"/>
          <w:sz w:val="22"/>
          <w:szCs w:val="22"/>
          <w:u w:val="single"/>
        </w:rPr>
      </w:pPr>
      <w:r w:rsidRPr="009E7655">
        <w:rPr>
          <w:rStyle w:val="Strong"/>
          <w:color w:val="244061" w:themeColor="accent1" w:themeShade="80"/>
          <w:sz w:val="22"/>
          <w:szCs w:val="22"/>
          <w:u w:val="single"/>
        </w:rPr>
        <w:t xml:space="preserve">Before Amendment </w:t>
      </w:r>
      <w:r w:rsidR="00642DC8" w:rsidRPr="009E7655">
        <w:rPr>
          <w:rStyle w:val="Strong"/>
          <w:color w:val="244061" w:themeColor="accent1" w:themeShade="80"/>
          <w:sz w:val="22"/>
          <w:szCs w:val="22"/>
          <w:u w:val="single"/>
        </w:rPr>
        <w:t>-</w:t>
      </w:r>
    </w:p>
    <w:p w:rsidR="00EB3218" w:rsidRPr="009E7655" w:rsidRDefault="00EB3218" w:rsidP="00EB3218">
      <w:pPr>
        <w:pStyle w:val="ListParagraph"/>
        <w:tabs>
          <w:tab w:val="left" w:pos="1418"/>
        </w:tabs>
        <w:ind w:left="1418" w:hanging="709"/>
        <w:rPr>
          <w:rStyle w:val="Strong"/>
          <w:b w:val="0"/>
          <w:color w:val="244061" w:themeColor="accent1" w:themeShade="80"/>
          <w:sz w:val="22"/>
          <w:szCs w:val="22"/>
        </w:rPr>
      </w:pPr>
      <w:r w:rsidRPr="009E7655">
        <w:rPr>
          <w:rStyle w:val="Strong"/>
          <w:b w:val="0"/>
          <w:color w:val="244061" w:themeColor="accent1" w:themeShade="80"/>
          <w:sz w:val="22"/>
          <w:szCs w:val="22"/>
        </w:rPr>
        <w:t xml:space="preserve">             18% p.a. simple interest for the period of default for all the assesses w.e.f 01.04.2014       [Section 75 read with Notification No. 26/2014 dated 10.09.2004]</w:t>
      </w:r>
    </w:p>
    <w:p w:rsidR="00642DC8" w:rsidRPr="009E7655" w:rsidRDefault="00642DC8" w:rsidP="00EB3218">
      <w:pPr>
        <w:pStyle w:val="ListParagraph"/>
        <w:tabs>
          <w:tab w:val="left" w:pos="1418"/>
        </w:tabs>
        <w:ind w:left="1418" w:hanging="709"/>
        <w:rPr>
          <w:rStyle w:val="Strong"/>
          <w:color w:val="244061" w:themeColor="accent1" w:themeShade="80"/>
          <w:sz w:val="22"/>
          <w:szCs w:val="22"/>
          <w:u w:val="single"/>
        </w:rPr>
      </w:pPr>
      <w:r w:rsidRPr="009E7655">
        <w:rPr>
          <w:rStyle w:val="Strong"/>
          <w:color w:val="244061" w:themeColor="accent1" w:themeShade="80"/>
          <w:sz w:val="22"/>
          <w:szCs w:val="22"/>
          <w:u w:val="single"/>
        </w:rPr>
        <w:t>After Amendment –</w:t>
      </w:r>
    </w:p>
    <w:p w:rsidR="00A10F28" w:rsidRPr="009E7655" w:rsidRDefault="00A10F28" w:rsidP="00A10F28">
      <w:pPr>
        <w:pStyle w:val="ListParagraph"/>
        <w:numPr>
          <w:ilvl w:val="0"/>
          <w:numId w:val="13"/>
        </w:numPr>
        <w:tabs>
          <w:tab w:val="left" w:pos="1418"/>
          <w:tab w:val="left" w:pos="1560"/>
        </w:tabs>
        <w:ind w:hanging="11"/>
        <w:rPr>
          <w:rStyle w:val="Strong"/>
          <w:color w:val="244061" w:themeColor="accent1" w:themeShade="80"/>
          <w:sz w:val="22"/>
          <w:szCs w:val="22"/>
        </w:rPr>
      </w:pPr>
      <w:r w:rsidRPr="009E7655">
        <w:rPr>
          <w:rStyle w:val="Strong"/>
          <w:b w:val="0"/>
          <w:color w:val="244061" w:themeColor="accent1" w:themeShade="80"/>
          <w:sz w:val="22"/>
          <w:szCs w:val="22"/>
        </w:rPr>
        <w:t xml:space="preserve"> </w:t>
      </w:r>
      <w:r w:rsidRPr="009E7655">
        <w:rPr>
          <w:rStyle w:val="Strong"/>
          <w:color w:val="244061" w:themeColor="accent1" w:themeShade="80"/>
          <w:sz w:val="22"/>
          <w:szCs w:val="22"/>
          <w:u w:val="single"/>
        </w:rPr>
        <w:t>Upto 6 months</w:t>
      </w:r>
      <w:r w:rsidRPr="009E7655">
        <w:rPr>
          <w:rStyle w:val="Strong"/>
          <w:color w:val="244061" w:themeColor="accent1" w:themeShade="80"/>
          <w:sz w:val="22"/>
          <w:szCs w:val="22"/>
        </w:rPr>
        <w:t xml:space="preserve"> – </w:t>
      </w:r>
      <w:r w:rsidRPr="009E7655">
        <w:rPr>
          <w:rStyle w:val="Strong"/>
          <w:b w:val="0"/>
          <w:color w:val="244061" w:themeColor="accent1" w:themeShade="80"/>
          <w:sz w:val="22"/>
          <w:szCs w:val="22"/>
        </w:rPr>
        <w:t>18%</w:t>
      </w:r>
    </w:p>
    <w:p w:rsidR="00A66969" w:rsidRPr="009E7655" w:rsidRDefault="00A66969" w:rsidP="00A66969">
      <w:pPr>
        <w:pStyle w:val="ListParagraph"/>
        <w:numPr>
          <w:ilvl w:val="0"/>
          <w:numId w:val="13"/>
        </w:numPr>
        <w:tabs>
          <w:tab w:val="left" w:pos="1418"/>
          <w:tab w:val="left" w:pos="1560"/>
        </w:tabs>
        <w:ind w:left="1701" w:hanging="283"/>
        <w:rPr>
          <w:rStyle w:val="Strong"/>
          <w:color w:val="244061" w:themeColor="accent1" w:themeShade="80"/>
          <w:sz w:val="22"/>
          <w:szCs w:val="22"/>
          <w:u w:val="single"/>
        </w:rPr>
      </w:pPr>
      <w:r w:rsidRPr="009E7655">
        <w:rPr>
          <w:rStyle w:val="Strong"/>
          <w:b w:val="0"/>
          <w:color w:val="244061" w:themeColor="accent1" w:themeShade="80"/>
          <w:sz w:val="22"/>
          <w:szCs w:val="22"/>
        </w:rPr>
        <w:t xml:space="preserve"> </w:t>
      </w:r>
      <w:r w:rsidRPr="009E7655">
        <w:rPr>
          <w:rStyle w:val="Strong"/>
          <w:color w:val="244061" w:themeColor="accent1" w:themeShade="80"/>
          <w:sz w:val="22"/>
          <w:szCs w:val="22"/>
          <w:u w:val="single"/>
        </w:rPr>
        <w:t xml:space="preserve">More than 6 months and upto one year </w:t>
      </w:r>
      <w:r w:rsidRPr="009E7655">
        <w:rPr>
          <w:rStyle w:val="Strong"/>
          <w:b w:val="0"/>
          <w:color w:val="244061" w:themeColor="accent1" w:themeShade="80"/>
          <w:sz w:val="22"/>
          <w:szCs w:val="22"/>
        </w:rPr>
        <w:t>- 18% for first 6 months and 24% for delay   beyond 6 months.</w:t>
      </w:r>
    </w:p>
    <w:p w:rsidR="00A66969" w:rsidRPr="009E7655" w:rsidRDefault="00A66969" w:rsidP="00A66969">
      <w:pPr>
        <w:pStyle w:val="ListParagraph"/>
        <w:numPr>
          <w:ilvl w:val="0"/>
          <w:numId w:val="13"/>
        </w:numPr>
        <w:tabs>
          <w:tab w:val="left" w:pos="1418"/>
          <w:tab w:val="left" w:pos="1560"/>
        </w:tabs>
        <w:ind w:left="1701" w:hanging="283"/>
        <w:rPr>
          <w:rStyle w:val="Strong"/>
          <w:color w:val="244061" w:themeColor="accent1" w:themeShade="80"/>
          <w:sz w:val="22"/>
          <w:szCs w:val="22"/>
          <w:u w:val="single"/>
        </w:rPr>
      </w:pPr>
      <w:r w:rsidRPr="009E7655">
        <w:rPr>
          <w:rStyle w:val="Strong"/>
          <w:b w:val="0"/>
          <w:color w:val="244061" w:themeColor="accent1" w:themeShade="80"/>
          <w:sz w:val="22"/>
          <w:szCs w:val="22"/>
        </w:rPr>
        <w:t xml:space="preserve"> </w:t>
      </w:r>
      <w:r w:rsidRPr="009E7655">
        <w:rPr>
          <w:rStyle w:val="Strong"/>
          <w:color w:val="244061" w:themeColor="accent1" w:themeShade="80"/>
          <w:sz w:val="22"/>
          <w:szCs w:val="22"/>
          <w:u w:val="single"/>
        </w:rPr>
        <w:t xml:space="preserve">More than one </w:t>
      </w:r>
      <w:r w:rsidR="00E367B2" w:rsidRPr="009E7655">
        <w:rPr>
          <w:rStyle w:val="Strong"/>
          <w:color w:val="244061" w:themeColor="accent1" w:themeShade="80"/>
          <w:sz w:val="22"/>
          <w:szCs w:val="22"/>
          <w:u w:val="single"/>
        </w:rPr>
        <w:t xml:space="preserve">year </w:t>
      </w:r>
      <w:r w:rsidR="00E367B2" w:rsidRPr="009E7655">
        <w:rPr>
          <w:rStyle w:val="Strong"/>
          <w:b w:val="0"/>
          <w:color w:val="244061" w:themeColor="accent1" w:themeShade="80"/>
          <w:sz w:val="22"/>
          <w:szCs w:val="22"/>
        </w:rPr>
        <w:t>-</w:t>
      </w:r>
      <w:r w:rsidRPr="009E7655">
        <w:rPr>
          <w:rStyle w:val="Strong"/>
          <w:b w:val="0"/>
          <w:color w:val="244061" w:themeColor="accent1" w:themeShade="80"/>
          <w:sz w:val="22"/>
          <w:szCs w:val="22"/>
        </w:rPr>
        <w:t xml:space="preserve"> 30% for any delay beyond one year. [Vide Notification No. 12/2014 dt. 11.07.2014]</w:t>
      </w:r>
    </w:p>
    <w:p w:rsidR="00A66969" w:rsidRPr="009E7655" w:rsidRDefault="00A66969" w:rsidP="00A66969">
      <w:pPr>
        <w:tabs>
          <w:tab w:val="left" w:pos="1418"/>
          <w:tab w:val="left" w:pos="1560"/>
        </w:tabs>
        <w:ind w:firstLine="709"/>
        <w:rPr>
          <w:rStyle w:val="Strong"/>
          <w:b w:val="0"/>
          <w:color w:val="244061" w:themeColor="accent1" w:themeShade="80"/>
          <w:sz w:val="22"/>
          <w:szCs w:val="22"/>
        </w:rPr>
      </w:pPr>
      <w:r w:rsidRPr="009E7655">
        <w:rPr>
          <w:rStyle w:val="Strong"/>
          <w:color w:val="244061" w:themeColor="accent1" w:themeShade="80"/>
          <w:sz w:val="22"/>
          <w:szCs w:val="22"/>
        </w:rPr>
        <w:t xml:space="preserve"> </w:t>
      </w:r>
      <w:r w:rsidRPr="009E7655">
        <w:rPr>
          <w:rStyle w:val="Strong"/>
          <w:color w:val="244061" w:themeColor="accent1" w:themeShade="80"/>
          <w:sz w:val="22"/>
          <w:szCs w:val="22"/>
          <w:u w:val="single"/>
        </w:rPr>
        <w:t xml:space="preserve">Impact – </w:t>
      </w:r>
    </w:p>
    <w:p w:rsidR="00A66969" w:rsidRPr="009E7655" w:rsidRDefault="00A66969" w:rsidP="00A66969">
      <w:pPr>
        <w:tabs>
          <w:tab w:val="left" w:pos="1418"/>
          <w:tab w:val="left" w:pos="1560"/>
        </w:tabs>
        <w:ind w:left="1418" w:hanging="709"/>
        <w:rPr>
          <w:rStyle w:val="Strong"/>
          <w:b w:val="0"/>
          <w:color w:val="244061" w:themeColor="accent1" w:themeShade="80"/>
          <w:sz w:val="22"/>
          <w:szCs w:val="22"/>
        </w:rPr>
      </w:pPr>
      <w:r w:rsidRPr="009E7655">
        <w:rPr>
          <w:rStyle w:val="Strong"/>
          <w:b w:val="0"/>
          <w:color w:val="244061" w:themeColor="accent1" w:themeShade="80"/>
          <w:sz w:val="22"/>
          <w:szCs w:val="22"/>
        </w:rPr>
        <w:t xml:space="preserve">              Interest rate will vary depending upon extent of delay. Rates have been increased</w:t>
      </w:r>
      <w:r w:rsidR="005C6F52" w:rsidRPr="009E7655">
        <w:rPr>
          <w:rStyle w:val="Strong"/>
          <w:b w:val="0"/>
          <w:color w:val="244061" w:themeColor="accent1" w:themeShade="80"/>
          <w:sz w:val="22"/>
          <w:szCs w:val="22"/>
        </w:rPr>
        <w:t xml:space="preserve"> to encourage prompt payment of Service Tax. As specified in the proviso to section 75, 3% concession on the </w:t>
      </w:r>
      <w:r w:rsidR="00E367B2">
        <w:rPr>
          <w:rStyle w:val="Strong"/>
          <w:b w:val="0"/>
          <w:color w:val="244061" w:themeColor="accent1" w:themeShade="80"/>
          <w:sz w:val="22"/>
          <w:szCs w:val="22"/>
        </w:rPr>
        <w:t xml:space="preserve">applicable </w:t>
      </w:r>
      <w:r w:rsidR="00E367B2" w:rsidRPr="009E7655">
        <w:rPr>
          <w:rStyle w:val="Strong"/>
          <w:b w:val="0"/>
          <w:color w:val="244061" w:themeColor="accent1" w:themeShade="80"/>
          <w:sz w:val="22"/>
          <w:szCs w:val="22"/>
        </w:rPr>
        <w:t>rate</w:t>
      </w:r>
      <w:r w:rsidR="005C6F52" w:rsidRPr="009E7655">
        <w:rPr>
          <w:rStyle w:val="Strong"/>
          <w:b w:val="0"/>
          <w:color w:val="244061" w:themeColor="accent1" w:themeShade="80"/>
          <w:sz w:val="22"/>
          <w:szCs w:val="22"/>
        </w:rPr>
        <w:t xml:space="preserve"> of interest will continue to the small service provider, meaning thereby “if value of taxable services does not exceed Rs. 60 lacs during any of the financial year covered by the notice or during the last preceding financial year, as the case may be – (w.e.f 08.04.2011)</w:t>
      </w:r>
    </w:p>
    <w:p w:rsidR="005C6F52" w:rsidRPr="009E7655" w:rsidRDefault="005C6F52" w:rsidP="005C6F52">
      <w:pPr>
        <w:tabs>
          <w:tab w:val="left" w:pos="709"/>
          <w:tab w:val="left" w:pos="1560"/>
        </w:tabs>
        <w:ind w:left="1418" w:hanging="709"/>
        <w:rPr>
          <w:rStyle w:val="Strong"/>
          <w:color w:val="244061" w:themeColor="accent1" w:themeShade="80"/>
          <w:sz w:val="22"/>
          <w:szCs w:val="22"/>
          <w:u w:val="single"/>
        </w:rPr>
      </w:pPr>
      <w:r w:rsidRPr="009E7655">
        <w:rPr>
          <w:rStyle w:val="Strong"/>
          <w:color w:val="244061" w:themeColor="accent1" w:themeShade="80"/>
          <w:sz w:val="22"/>
          <w:szCs w:val="22"/>
          <w:u w:val="single"/>
        </w:rPr>
        <w:t xml:space="preserve">Effective from – </w:t>
      </w:r>
    </w:p>
    <w:p w:rsidR="005C6F52" w:rsidRPr="009E7655" w:rsidRDefault="005C6F52" w:rsidP="00A66969">
      <w:pPr>
        <w:tabs>
          <w:tab w:val="left" w:pos="1418"/>
          <w:tab w:val="left" w:pos="1560"/>
        </w:tabs>
        <w:ind w:left="1418" w:hanging="709"/>
        <w:rPr>
          <w:rStyle w:val="Strong"/>
          <w:b w:val="0"/>
          <w:color w:val="244061" w:themeColor="accent1" w:themeShade="80"/>
          <w:sz w:val="22"/>
          <w:szCs w:val="22"/>
        </w:rPr>
      </w:pPr>
      <w:r w:rsidRPr="009E7655">
        <w:rPr>
          <w:rStyle w:val="Strong"/>
          <w:b w:val="0"/>
          <w:color w:val="244061" w:themeColor="accent1" w:themeShade="80"/>
          <w:sz w:val="22"/>
          <w:szCs w:val="22"/>
        </w:rPr>
        <w:t xml:space="preserve">              01.10.2014</w:t>
      </w:r>
    </w:p>
    <w:p w:rsidR="005C6F52" w:rsidRPr="009E7655" w:rsidRDefault="005C6F52" w:rsidP="005C6F52">
      <w:pPr>
        <w:tabs>
          <w:tab w:val="left" w:pos="426"/>
          <w:tab w:val="left" w:pos="1560"/>
        </w:tabs>
        <w:ind w:left="1418" w:hanging="992"/>
        <w:rPr>
          <w:rStyle w:val="Strong"/>
          <w:b w:val="0"/>
          <w:color w:val="111E2D"/>
          <w:sz w:val="22"/>
          <w:szCs w:val="22"/>
        </w:rPr>
      </w:pPr>
      <w:r w:rsidRPr="009E7655">
        <w:rPr>
          <w:rStyle w:val="Strong"/>
          <w:b w:val="0"/>
          <w:color w:val="111E2D"/>
          <w:sz w:val="22"/>
          <w:szCs w:val="22"/>
        </w:rPr>
        <w:t xml:space="preserve">2) </w:t>
      </w:r>
      <w:r w:rsidRPr="009E7655">
        <w:rPr>
          <w:rStyle w:val="Strong"/>
          <w:color w:val="111E2D"/>
          <w:sz w:val="22"/>
          <w:szCs w:val="22"/>
        </w:rPr>
        <w:t>E-payment of Service Tax-</w:t>
      </w:r>
      <w:r w:rsidRPr="009E7655">
        <w:rPr>
          <w:rStyle w:val="Strong"/>
          <w:b w:val="0"/>
          <w:color w:val="111E2D"/>
          <w:sz w:val="22"/>
          <w:szCs w:val="22"/>
        </w:rPr>
        <w:t xml:space="preserve">  </w:t>
      </w:r>
    </w:p>
    <w:p w:rsidR="005C6F52" w:rsidRPr="009E7655" w:rsidRDefault="005C6F52" w:rsidP="004622F3">
      <w:pPr>
        <w:pStyle w:val="ListParagraph"/>
        <w:ind w:left="709" w:hanging="425"/>
        <w:rPr>
          <w:rStyle w:val="Strong"/>
          <w:color w:val="244061" w:themeColor="accent1" w:themeShade="80"/>
          <w:sz w:val="22"/>
          <w:szCs w:val="22"/>
          <w:u w:val="single"/>
        </w:rPr>
      </w:pPr>
      <w:r w:rsidRPr="009E7655">
        <w:rPr>
          <w:rStyle w:val="Strong"/>
          <w:b w:val="0"/>
          <w:color w:val="244061" w:themeColor="accent1" w:themeShade="80"/>
          <w:sz w:val="22"/>
          <w:szCs w:val="22"/>
        </w:rPr>
        <w:t xml:space="preserve">         </w:t>
      </w:r>
      <w:r w:rsidRPr="009E7655">
        <w:rPr>
          <w:rStyle w:val="Strong"/>
          <w:color w:val="244061" w:themeColor="accent1" w:themeShade="80"/>
          <w:sz w:val="22"/>
          <w:szCs w:val="22"/>
          <w:u w:val="single"/>
        </w:rPr>
        <w:t xml:space="preserve">Before Amendment </w:t>
      </w:r>
      <w:r w:rsidR="004622F3" w:rsidRPr="009E7655">
        <w:rPr>
          <w:rStyle w:val="Strong"/>
          <w:color w:val="244061" w:themeColor="accent1" w:themeShade="80"/>
          <w:sz w:val="22"/>
          <w:szCs w:val="22"/>
          <w:u w:val="single"/>
        </w:rPr>
        <w:t>–</w:t>
      </w:r>
    </w:p>
    <w:p w:rsidR="00CC1F34" w:rsidRPr="009E7655" w:rsidRDefault="00CC1F34" w:rsidP="00CC1F34">
      <w:pPr>
        <w:pStyle w:val="ListParagraph"/>
        <w:numPr>
          <w:ilvl w:val="0"/>
          <w:numId w:val="14"/>
        </w:numPr>
        <w:tabs>
          <w:tab w:val="left" w:pos="1560"/>
        </w:tabs>
        <w:ind w:left="1560" w:hanging="142"/>
        <w:rPr>
          <w:rStyle w:val="Strong"/>
          <w:color w:val="244061" w:themeColor="accent1" w:themeShade="80"/>
          <w:sz w:val="22"/>
          <w:szCs w:val="22"/>
          <w:u w:val="single"/>
        </w:rPr>
      </w:pPr>
      <w:r w:rsidRPr="009E7655">
        <w:rPr>
          <w:rStyle w:val="Strong"/>
          <w:b w:val="0"/>
          <w:color w:val="244061" w:themeColor="accent1" w:themeShade="80"/>
          <w:sz w:val="22"/>
          <w:szCs w:val="22"/>
        </w:rPr>
        <w:t xml:space="preserve"> </w:t>
      </w:r>
      <w:r w:rsidRPr="009E7655">
        <w:rPr>
          <w:rStyle w:val="Strong"/>
          <w:color w:val="244061" w:themeColor="accent1" w:themeShade="80"/>
          <w:sz w:val="22"/>
          <w:szCs w:val="22"/>
          <w:u w:val="single"/>
        </w:rPr>
        <w:t xml:space="preserve">Rule 6(2) of Service Tax Rules, 1994: </w:t>
      </w:r>
      <w:r w:rsidRPr="009E7655">
        <w:rPr>
          <w:rStyle w:val="Strong"/>
          <w:b w:val="0"/>
          <w:color w:val="244061" w:themeColor="accent1" w:themeShade="80"/>
          <w:sz w:val="22"/>
          <w:szCs w:val="22"/>
        </w:rPr>
        <w:t>Where an assessee has paid a total service tax of rupees one lakh (prior to 01.01.2014, the limit was 10 lakhs) or more including the amount paid by utilization of Cenvat Credit, in the preceding financial year, he shall deposit the service tax liable to be paid by hi</w:t>
      </w:r>
      <w:r w:rsidR="00623BC2">
        <w:rPr>
          <w:rStyle w:val="Strong"/>
          <w:b w:val="0"/>
          <w:color w:val="244061" w:themeColor="accent1" w:themeShade="80"/>
          <w:sz w:val="22"/>
          <w:szCs w:val="22"/>
        </w:rPr>
        <w:t>m electronically, through intern</w:t>
      </w:r>
      <w:r w:rsidRPr="009E7655">
        <w:rPr>
          <w:rStyle w:val="Strong"/>
          <w:b w:val="0"/>
          <w:color w:val="244061" w:themeColor="accent1" w:themeShade="80"/>
          <w:sz w:val="22"/>
          <w:szCs w:val="22"/>
        </w:rPr>
        <w:t>et banking.</w:t>
      </w:r>
    </w:p>
    <w:p w:rsidR="005822EC" w:rsidRPr="009E7655" w:rsidRDefault="005822EC" w:rsidP="006D4880">
      <w:pPr>
        <w:tabs>
          <w:tab w:val="left" w:pos="1560"/>
        </w:tabs>
        <w:ind w:left="567"/>
        <w:rPr>
          <w:rStyle w:val="Strong"/>
          <w:color w:val="244061" w:themeColor="accent1" w:themeShade="80"/>
          <w:sz w:val="22"/>
          <w:szCs w:val="22"/>
          <w:u w:val="single"/>
        </w:rPr>
      </w:pPr>
      <w:r w:rsidRPr="009E7655">
        <w:rPr>
          <w:rStyle w:val="Strong"/>
          <w:b w:val="0"/>
          <w:color w:val="244061" w:themeColor="accent1" w:themeShade="80"/>
          <w:sz w:val="22"/>
          <w:szCs w:val="22"/>
        </w:rPr>
        <w:t xml:space="preserve">    </w:t>
      </w:r>
      <w:r w:rsidRPr="009E7655">
        <w:rPr>
          <w:rStyle w:val="Strong"/>
          <w:color w:val="244061" w:themeColor="accent1" w:themeShade="80"/>
          <w:sz w:val="22"/>
          <w:szCs w:val="22"/>
          <w:u w:val="single"/>
        </w:rPr>
        <w:t>After Amendment –</w:t>
      </w:r>
    </w:p>
    <w:p w:rsidR="005822EC" w:rsidRPr="009E7655" w:rsidRDefault="005822EC" w:rsidP="005822EC">
      <w:pPr>
        <w:pStyle w:val="ListParagraph"/>
        <w:tabs>
          <w:tab w:val="left" w:pos="1985"/>
        </w:tabs>
        <w:ind w:left="1560" w:hanging="283"/>
        <w:rPr>
          <w:rStyle w:val="Strong"/>
          <w:b w:val="0"/>
          <w:color w:val="244061" w:themeColor="accent1" w:themeShade="80"/>
          <w:sz w:val="22"/>
          <w:szCs w:val="22"/>
        </w:rPr>
      </w:pPr>
      <w:r w:rsidRPr="009E7655">
        <w:rPr>
          <w:rStyle w:val="Strong"/>
          <w:b w:val="0"/>
          <w:color w:val="244061" w:themeColor="accent1" w:themeShade="80"/>
          <w:sz w:val="22"/>
          <w:szCs w:val="22"/>
        </w:rPr>
        <w:t xml:space="preserve">     Every assessee shall electronically pay the service tax payable by him through internet banking, Provided that the Assistant Commissioner or the Deputy Commissioner of Central Excise, as the case may be, having jurisdiction, may for reasons to be recorded in writing allow the assessee to deposit the service tax by any other mode other than internet banking. [Vide Notification No. 09/2014 dated 11.07.2014]</w:t>
      </w:r>
    </w:p>
    <w:p w:rsidR="006D4880" w:rsidRPr="009E7655" w:rsidRDefault="006D4880" w:rsidP="005822EC">
      <w:pPr>
        <w:pStyle w:val="ListParagraph"/>
        <w:tabs>
          <w:tab w:val="left" w:pos="1985"/>
        </w:tabs>
        <w:ind w:left="1560" w:hanging="283"/>
        <w:rPr>
          <w:rStyle w:val="Strong"/>
          <w:b w:val="0"/>
          <w:color w:val="244061" w:themeColor="accent1" w:themeShade="80"/>
          <w:sz w:val="22"/>
          <w:szCs w:val="22"/>
        </w:rPr>
      </w:pPr>
    </w:p>
    <w:p w:rsidR="007C7C7B" w:rsidRPr="009E7655" w:rsidRDefault="007C7C7B" w:rsidP="006D4880">
      <w:pPr>
        <w:tabs>
          <w:tab w:val="left" w:pos="567"/>
          <w:tab w:val="left" w:pos="851"/>
          <w:tab w:val="left" w:pos="1985"/>
        </w:tabs>
        <w:rPr>
          <w:rStyle w:val="Strong"/>
          <w:b w:val="0"/>
          <w:color w:val="244061" w:themeColor="accent1" w:themeShade="80"/>
          <w:sz w:val="22"/>
          <w:szCs w:val="22"/>
        </w:rPr>
      </w:pPr>
      <w:r w:rsidRPr="009E7655">
        <w:rPr>
          <w:rStyle w:val="Strong"/>
          <w:b w:val="0"/>
          <w:color w:val="244061" w:themeColor="accent1" w:themeShade="80"/>
          <w:sz w:val="22"/>
          <w:szCs w:val="22"/>
        </w:rPr>
        <w:lastRenderedPageBreak/>
        <w:t xml:space="preserve">               </w:t>
      </w:r>
      <w:r w:rsidRPr="009E7655">
        <w:rPr>
          <w:rStyle w:val="Strong"/>
          <w:color w:val="244061" w:themeColor="accent1" w:themeShade="80"/>
          <w:sz w:val="22"/>
          <w:szCs w:val="22"/>
          <w:u w:val="single"/>
        </w:rPr>
        <w:t>Impact</w:t>
      </w:r>
      <w:r w:rsidR="006D4880" w:rsidRPr="009E7655">
        <w:rPr>
          <w:rStyle w:val="Strong"/>
          <w:color w:val="244061" w:themeColor="accent1" w:themeShade="80"/>
          <w:sz w:val="22"/>
          <w:szCs w:val="22"/>
          <w:u w:val="single"/>
        </w:rPr>
        <w:t xml:space="preserve"> – </w:t>
      </w:r>
    </w:p>
    <w:p w:rsidR="006D4880" w:rsidRPr="009E7655" w:rsidRDefault="006D4880" w:rsidP="006D4880">
      <w:pPr>
        <w:tabs>
          <w:tab w:val="left" w:pos="0"/>
          <w:tab w:val="left" w:pos="567"/>
          <w:tab w:val="left" w:pos="851"/>
          <w:tab w:val="left" w:pos="1985"/>
        </w:tabs>
        <w:ind w:left="1560" w:hanging="1560"/>
        <w:rPr>
          <w:rStyle w:val="Strong"/>
          <w:b w:val="0"/>
          <w:color w:val="244061" w:themeColor="accent1" w:themeShade="80"/>
          <w:sz w:val="22"/>
          <w:szCs w:val="22"/>
        </w:rPr>
      </w:pPr>
      <w:r w:rsidRPr="009E7655">
        <w:rPr>
          <w:rStyle w:val="Strong"/>
          <w:b w:val="0"/>
          <w:color w:val="244061" w:themeColor="accent1" w:themeShade="80"/>
          <w:sz w:val="22"/>
          <w:szCs w:val="22"/>
        </w:rPr>
        <w:t xml:space="preserve">                            E-</w:t>
      </w:r>
      <w:r w:rsidR="00623BC2">
        <w:rPr>
          <w:rStyle w:val="Strong"/>
          <w:b w:val="0"/>
          <w:color w:val="244061" w:themeColor="accent1" w:themeShade="80"/>
          <w:sz w:val="22"/>
          <w:szCs w:val="22"/>
        </w:rPr>
        <w:t>p</w:t>
      </w:r>
      <w:r w:rsidR="00623BC2" w:rsidRPr="009E7655">
        <w:rPr>
          <w:rStyle w:val="Strong"/>
          <w:b w:val="0"/>
          <w:color w:val="244061" w:themeColor="accent1" w:themeShade="80"/>
          <w:sz w:val="22"/>
          <w:szCs w:val="22"/>
        </w:rPr>
        <w:t>ayment</w:t>
      </w:r>
      <w:r w:rsidRPr="009E7655">
        <w:rPr>
          <w:rStyle w:val="Strong"/>
          <w:b w:val="0"/>
          <w:color w:val="244061" w:themeColor="accent1" w:themeShade="80"/>
          <w:sz w:val="22"/>
          <w:szCs w:val="22"/>
        </w:rPr>
        <w:t xml:space="preserve"> of tax mandatory in all case, without any monetary limit. Relaxation may be allowed by DC/AC on case to case basis. Thus, W.E.F 01.10.2014, due date for payment becomes 6</w:t>
      </w:r>
      <w:r w:rsidRPr="009E7655">
        <w:rPr>
          <w:rStyle w:val="Strong"/>
          <w:b w:val="0"/>
          <w:color w:val="244061" w:themeColor="accent1" w:themeShade="80"/>
          <w:sz w:val="22"/>
          <w:szCs w:val="22"/>
          <w:vertAlign w:val="superscript"/>
        </w:rPr>
        <w:t>th</w:t>
      </w:r>
      <w:r w:rsidRPr="009E7655">
        <w:rPr>
          <w:rStyle w:val="Strong"/>
          <w:b w:val="0"/>
          <w:color w:val="244061" w:themeColor="accent1" w:themeShade="80"/>
          <w:sz w:val="22"/>
          <w:szCs w:val="22"/>
        </w:rPr>
        <w:t xml:space="preserve"> of next month or quarter, as the case may be.</w:t>
      </w:r>
    </w:p>
    <w:p w:rsidR="006D4880" w:rsidRPr="009E7655" w:rsidRDefault="006D4880" w:rsidP="006D4880">
      <w:pPr>
        <w:tabs>
          <w:tab w:val="left" w:pos="0"/>
          <w:tab w:val="left" w:pos="567"/>
          <w:tab w:val="left" w:pos="851"/>
          <w:tab w:val="left" w:pos="1985"/>
        </w:tabs>
        <w:ind w:left="1560" w:hanging="1560"/>
        <w:rPr>
          <w:rStyle w:val="Strong"/>
          <w:color w:val="244061" w:themeColor="accent1" w:themeShade="80"/>
          <w:sz w:val="22"/>
          <w:szCs w:val="22"/>
          <w:u w:val="single"/>
        </w:rPr>
      </w:pPr>
      <w:r w:rsidRPr="009E7655">
        <w:rPr>
          <w:rStyle w:val="Strong"/>
          <w:b w:val="0"/>
          <w:color w:val="244061" w:themeColor="accent1" w:themeShade="80"/>
          <w:sz w:val="22"/>
          <w:szCs w:val="22"/>
        </w:rPr>
        <w:t xml:space="preserve">               </w:t>
      </w:r>
      <w:r w:rsidRPr="009E7655">
        <w:rPr>
          <w:rStyle w:val="Strong"/>
          <w:color w:val="244061" w:themeColor="accent1" w:themeShade="80"/>
          <w:sz w:val="22"/>
          <w:szCs w:val="22"/>
          <w:u w:val="single"/>
        </w:rPr>
        <w:t xml:space="preserve">Effective from – </w:t>
      </w:r>
    </w:p>
    <w:p w:rsidR="006D4880" w:rsidRDefault="006D4880" w:rsidP="006D4880">
      <w:pPr>
        <w:tabs>
          <w:tab w:val="left" w:pos="0"/>
          <w:tab w:val="left" w:pos="567"/>
          <w:tab w:val="left" w:pos="851"/>
          <w:tab w:val="left" w:pos="1985"/>
        </w:tabs>
        <w:ind w:left="1560" w:hanging="1560"/>
        <w:rPr>
          <w:rStyle w:val="Strong"/>
          <w:b w:val="0"/>
          <w:color w:val="244061" w:themeColor="accent1" w:themeShade="80"/>
          <w:sz w:val="22"/>
          <w:szCs w:val="22"/>
        </w:rPr>
      </w:pPr>
      <w:r w:rsidRPr="009E7655">
        <w:rPr>
          <w:rStyle w:val="Strong"/>
          <w:b w:val="0"/>
          <w:color w:val="244061" w:themeColor="accent1" w:themeShade="80"/>
          <w:sz w:val="22"/>
          <w:szCs w:val="22"/>
        </w:rPr>
        <w:t xml:space="preserve">                             01.10.2014</w:t>
      </w:r>
    </w:p>
    <w:p w:rsidR="00F077A7" w:rsidRPr="009E7655" w:rsidRDefault="00F077A7" w:rsidP="006D4880">
      <w:pPr>
        <w:tabs>
          <w:tab w:val="left" w:pos="0"/>
          <w:tab w:val="left" w:pos="567"/>
          <w:tab w:val="left" w:pos="851"/>
          <w:tab w:val="left" w:pos="1985"/>
        </w:tabs>
        <w:ind w:left="1560" w:hanging="1560"/>
        <w:rPr>
          <w:rStyle w:val="Strong"/>
          <w:b w:val="0"/>
          <w:color w:val="244061" w:themeColor="accent1" w:themeShade="80"/>
          <w:sz w:val="22"/>
          <w:szCs w:val="22"/>
        </w:rPr>
      </w:pPr>
    </w:p>
    <w:p w:rsidR="006D4880" w:rsidRDefault="00F077A7" w:rsidP="006D4880">
      <w:pPr>
        <w:tabs>
          <w:tab w:val="left" w:pos="567"/>
          <w:tab w:val="left" w:pos="851"/>
          <w:tab w:val="left" w:pos="1985"/>
        </w:tabs>
        <w:rPr>
          <w:rStyle w:val="Strong"/>
          <w:sz w:val="22"/>
          <w:szCs w:val="22"/>
          <w:u w:val="single"/>
        </w:rPr>
      </w:pPr>
      <w:r>
        <w:rPr>
          <w:rStyle w:val="Strong"/>
          <w:sz w:val="22"/>
          <w:szCs w:val="22"/>
          <w:u w:val="single"/>
        </w:rPr>
        <w:t xml:space="preserve">                                                                 </w:t>
      </w:r>
    </w:p>
    <w:p w:rsidR="00F077A7" w:rsidRDefault="00F077A7" w:rsidP="006D4880">
      <w:pPr>
        <w:tabs>
          <w:tab w:val="left" w:pos="567"/>
          <w:tab w:val="left" w:pos="851"/>
          <w:tab w:val="left" w:pos="1985"/>
        </w:tabs>
        <w:rPr>
          <w:rStyle w:val="Strong"/>
          <w:sz w:val="22"/>
          <w:szCs w:val="22"/>
          <w:u w:val="single"/>
        </w:rPr>
      </w:pPr>
    </w:p>
    <w:p w:rsidR="00F077A7" w:rsidRDefault="00F077A7" w:rsidP="006D4880">
      <w:pPr>
        <w:tabs>
          <w:tab w:val="left" w:pos="567"/>
          <w:tab w:val="left" w:pos="851"/>
          <w:tab w:val="left" w:pos="1985"/>
        </w:tabs>
        <w:rPr>
          <w:rStyle w:val="Strong"/>
          <w:sz w:val="22"/>
          <w:szCs w:val="22"/>
          <w:u w:val="single"/>
        </w:rPr>
      </w:pPr>
    </w:p>
    <w:p w:rsidR="00F077A7" w:rsidRDefault="00F077A7" w:rsidP="006D4880">
      <w:pPr>
        <w:tabs>
          <w:tab w:val="left" w:pos="567"/>
          <w:tab w:val="left" w:pos="851"/>
          <w:tab w:val="left" w:pos="1985"/>
        </w:tabs>
        <w:rPr>
          <w:rStyle w:val="Strong"/>
          <w:b w:val="0"/>
          <w:sz w:val="22"/>
          <w:szCs w:val="22"/>
        </w:rPr>
      </w:pPr>
      <w:r>
        <w:rPr>
          <w:rStyle w:val="Strong"/>
          <w:sz w:val="22"/>
          <w:szCs w:val="22"/>
          <w:u w:val="single"/>
        </w:rPr>
        <w:t xml:space="preserve">                                                   </w:t>
      </w:r>
      <w:r>
        <w:rPr>
          <w:rStyle w:val="Strong"/>
          <w:b w:val="0"/>
          <w:sz w:val="22"/>
          <w:szCs w:val="22"/>
        </w:rPr>
        <w:t xml:space="preserve"> </w:t>
      </w:r>
    </w:p>
    <w:p w:rsidR="00F077A7" w:rsidRPr="00903C3E" w:rsidRDefault="00F077A7" w:rsidP="00E804DD">
      <w:pPr>
        <w:tabs>
          <w:tab w:val="left" w:pos="567"/>
          <w:tab w:val="left" w:pos="851"/>
          <w:tab w:val="left" w:pos="1985"/>
        </w:tabs>
        <w:jc w:val="center"/>
        <w:rPr>
          <w:rStyle w:val="Strong"/>
          <w:b w:val="0"/>
          <w:color w:val="244061" w:themeColor="accent1" w:themeShade="80"/>
          <w:sz w:val="22"/>
          <w:szCs w:val="22"/>
        </w:rPr>
      </w:pPr>
      <w:r w:rsidRPr="00903C3E">
        <w:rPr>
          <w:rStyle w:val="Strong"/>
          <w:b w:val="0"/>
          <w:color w:val="244061" w:themeColor="accent1" w:themeShade="80"/>
          <w:sz w:val="22"/>
          <w:szCs w:val="22"/>
        </w:rPr>
        <w:t>------------***------------</w:t>
      </w:r>
    </w:p>
    <w:p w:rsidR="000D3540" w:rsidRPr="00F077A7" w:rsidRDefault="000D3540" w:rsidP="00F077A7">
      <w:pPr>
        <w:tabs>
          <w:tab w:val="left" w:pos="1560"/>
        </w:tabs>
        <w:rPr>
          <w:rStyle w:val="Strong"/>
          <w:b w:val="0"/>
          <w:sz w:val="22"/>
          <w:szCs w:val="22"/>
        </w:rPr>
      </w:pPr>
    </w:p>
    <w:p w:rsidR="004622F3" w:rsidRPr="000D3540" w:rsidRDefault="000D3540" w:rsidP="004622F3">
      <w:pPr>
        <w:pStyle w:val="ListParagraph"/>
        <w:ind w:left="709" w:hanging="425"/>
        <w:rPr>
          <w:rStyle w:val="Strong"/>
          <w:b w:val="0"/>
          <w:sz w:val="22"/>
          <w:szCs w:val="22"/>
        </w:rPr>
      </w:pPr>
      <w:r>
        <w:rPr>
          <w:rStyle w:val="Strong"/>
          <w:sz w:val="22"/>
          <w:szCs w:val="22"/>
          <w:u w:val="single"/>
        </w:rPr>
        <w:t xml:space="preserve"> </w:t>
      </w:r>
    </w:p>
    <w:p w:rsidR="005C6F52" w:rsidRDefault="005C6F52" w:rsidP="00526EE7">
      <w:pPr>
        <w:tabs>
          <w:tab w:val="left" w:pos="426"/>
          <w:tab w:val="left" w:pos="5505"/>
        </w:tabs>
        <w:ind w:left="1418" w:hanging="992"/>
        <w:rPr>
          <w:rStyle w:val="Strong"/>
          <w:b w:val="0"/>
          <w:sz w:val="22"/>
          <w:szCs w:val="22"/>
        </w:rPr>
      </w:pPr>
      <w:r>
        <w:rPr>
          <w:rStyle w:val="Strong"/>
          <w:b w:val="0"/>
          <w:sz w:val="22"/>
          <w:szCs w:val="22"/>
        </w:rPr>
        <w:t xml:space="preserve"> </w:t>
      </w:r>
      <w:r w:rsidR="00526EE7">
        <w:rPr>
          <w:rStyle w:val="Strong"/>
          <w:b w:val="0"/>
          <w:sz w:val="22"/>
          <w:szCs w:val="22"/>
        </w:rPr>
        <w:tab/>
      </w:r>
      <w:r w:rsidR="00526EE7">
        <w:rPr>
          <w:rStyle w:val="Strong"/>
          <w:b w:val="0"/>
          <w:sz w:val="22"/>
          <w:szCs w:val="22"/>
        </w:rPr>
        <w:tab/>
      </w:r>
    </w:p>
    <w:p w:rsidR="005C6F52" w:rsidRDefault="005C6F52" w:rsidP="005C6F52">
      <w:pPr>
        <w:tabs>
          <w:tab w:val="left" w:pos="426"/>
          <w:tab w:val="left" w:pos="1560"/>
        </w:tabs>
        <w:ind w:left="1418" w:hanging="992"/>
        <w:rPr>
          <w:rStyle w:val="Strong"/>
          <w:b w:val="0"/>
          <w:sz w:val="22"/>
          <w:szCs w:val="22"/>
        </w:rPr>
      </w:pPr>
    </w:p>
    <w:p w:rsidR="005C6F52" w:rsidRPr="005C6F52" w:rsidRDefault="005C6F52" w:rsidP="00A66969">
      <w:pPr>
        <w:tabs>
          <w:tab w:val="left" w:pos="1418"/>
          <w:tab w:val="left" w:pos="1560"/>
        </w:tabs>
        <w:ind w:left="1418" w:hanging="709"/>
        <w:rPr>
          <w:rStyle w:val="Strong"/>
          <w:b w:val="0"/>
          <w:sz w:val="22"/>
          <w:szCs w:val="22"/>
        </w:rPr>
      </w:pPr>
    </w:p>
    <w:p w:rsidR="00642DC8" w:rsidRDefault="00642DC8" w:rsidP="00EB3218">
      <w:pPr>
        <w:pStyle w:val="ListParagraph"/>
        <w:tabs>
          <w:tab w:val="left" w:pos="1418"/>
        </w:tabs>
        <w:ind w:left="1418" w:hanging="709"/>
        <w:rPr>
          <w:rStyle w:val="Strong"/>
          <w:sz w:val="22"/>
          <w:szCs w:val="22"/>
          <w:u w:val="single"/>
        </w:rPr>
      </w:pPr>
      <w:r>
        <w:rPr>
          <w:rStyle w:val="Strong"/>
          <w:sz w:val="22"/>
          <w:szCs w:val="22"/>
          <w:u w:val="single"/>
        </w:rPr>
        <w:t xml:space="preserve">          </w:t>
      </w:r>
    </w:p>
    <w:p w:rsidR="00642DC8" w:rsidRDefault="00642DC8" w:rsidP="00642DC8">
      <w:pPr>
        <w:pStyle w:val="ListParagraph"/>
        <w:tabs>
          <w:tab w:val="left" w:pos="1418"/>
        </w:tabs>
        <w:ind w:left="2944"/>
        <w:rPr>
          <w:rStyle w:val="Strong"/>
          <w:sz w:val="22"/>
          <w:szCs w:val="22"/>
          <w:u w:val="single"/>
        </w:rPr>
      </w:pPr>
    </w:p>
    <w:p w:rsidR="00642DC8" w:rsidRDefault="00642DC8" w:rsidP="00EB3218">
      <w:pPr>
        <w:pStyle w:val="ListParagraph"/>
        <w:tabs>
          <w:tab w:val="left" w:pos="1418"/>
        </w:tabs>
        <w:ind w:left="1418" w:hanging="709"/>
        <w:rPr>
          <w:rStyle w:val="Strong"/>
          <w:sz w:val="22"/>
          <w:szCs w:val="22"/>
          <w:u w:val="single"/>
        </w:rPr>
      </w:pPr>
      <w:r>
        <w:rPr>
          <w:rStyle w:val="Strong"/>
          <w:sz w:val="22"/>
          <w:szCs w:val="22"/>
          <w:u w:val="single"/>
        </w:rPr>
        <w:t xml:space="preserve">              </w:t>
      </w:r>
    </w:p>
    <w:p w:rsidR="00642DC8" w:rsidRPr="00642DC8" w:rsidRDefault="00642DC8" w:rsidP="00642DC8">
      <w:pPr>
        <w:pStyle w:val="ListParagraph"/>
        <w:tabs>
          <w:tab w:val="left" w:pos="1418"/>
        </w:tabs>
        <w:ind w:left="2235"/>
        <w:rPr>
          <w:rStyle w:val="Strong"/>
          <w:sz w:val="22"/>
          <w:szCs w:val="22"/>
          <w:u w:val="single"/>
        </w:rPr>
      </w:pPr>
    </w:p>
    <w:p w:rsidR="00834A7F" w:rsidRPr="00EB3218" w:rsidRDefault="00642DC8" w:rsidP="00642DC8">
      <w:pPr>
        <w:rPr>
          <w:bCs/>
          <w:sz w:val="22"/>
          <w:szCs w:val="22"/>
        </w:rPr>
      </w:pPr>
      <w:r>
        <w:rPr>
          <w:bCs/>
          <w:sz w:val="22"/>
          <w:szCs w:val="22"/>
        </w:rPr>
        <w:t xml:space="preserve"> -</w:t>
      </w:r>
    </w:p>
    <w:sectPr w:rsidR="00834A7F" w:rsidRPr="00EB3218" w:rsidSect="00B86B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805"/>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D912EEA"/>
    <w:multiLevelType w:val="multilevel"/>
    <w:tmpl w:val="0409001D"/>
    <w:numStyleLink w:val="Style2"/>
  </w:abstractNum>
  <w:abstractNum w:abstractNumId="2">
    <w:nsid w:val="0ECB2395"/>
    <w:multiLevelType w:val="hybridMultilevel"/>
    <w:tmpl w:val="B772205A"/>
    <w:lvl w:ilvl="0" w:tplc="223EF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1526E4"/>
    <w:multiLevelType w:val="hybridMultilevel"/>
    <w:tmpl w:val="D208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5058B"/>
    <w:multiLevelType w:val="hybridMultilevel"/>
    <w:tmpl w:val="CCE2B4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2D264822"/>
    <w:multiLevelType w:val="multilevel"/>
    <w:tmpl w:val="0409001D"/>
    <w:numStyleLink w:val="Style1"/>
  </w:abstractNum>
  <w:abstractNum w:abstractNumId="6">
    <w:nsid w:val="34FA2274"/>
    <w:multiLevelType w:val="hybridMultilevel"/>
    <w:tmpl w:val="D8D62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B0418E"/>
    <w:multiLevelType w:val="hybridMultilevel"/>
    <w:tmpl w:val="D50254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4A820F9E"/>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9DE5CFD"/>
    <w:multiLevelType w:val="hybridMultilevel"/>
    <w:tmpl w:val="320417E4"/>
    <w:lvl w:ilvl="0" w:tplc="04090001">
      <w:start w:val="1"/>
      <w:numFmt w:val="bullet"/>
      <w:lvlText w:val=""/>
      <w:lvlJc w:val="left"/>
      <w:pPr>
        <w:ind w:left="2944"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62406E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8E031BB"/>
    <w:multiLevelType w:val="hybridMultilevel"/>
    <w:tmpl w:val="071AD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62075F"/>
    <w:multiLevelType w:val="hybridMultilevel"/>
    <w:tmpl w:val="CF6CF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DA27C2C"/>
    <w:multiLevelType w:val="hybridMultilevel"/>
    <w:tmpl w:val="E086047E"/>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num w:numId="1">
    <w:abstractNumId w:val="3"/>
  </w:num>
  <w:num w:numId="2">
    <w:abstractNumId w:val="11"/>
  </w:num>
  <w:num w:numId="3">
    <w:abstractNumId w:val="12"/>
  </w:num>
  <w:num w:numId="4">
    <w:abstractNumId w:val="6"/>
  </w:num>
  <w:num w:numId="5">
    <w:abstractNumId w:val="0"/>
  </w:num>
  <w:num w:numId="6">
    <w:abstractNumId w:val="5"/>
  </w:num>
  <w:num w:numId="7">
    <w:abstractNumId w:val="8"/>
  </w:num>
  <w:num w:numId="8">
    <w:abstractNumId w:val="1"/>
  </w:num>
  <w:num w:numId="9">
    <w:abstractNumId w:val="10"/>
  </w:num>
  <w:num w:numId="10">
    <w:abstractNumId w:val="2"/>
  </w:num>
  <w:num w:numId="11">
    <w:abstractNumId w:val="13"/>
  </w:num>
  <w:num w:numId="12">
    <w:abstractNumId w:val="9"/>
  </w:num>
  <w:num w:numId="13">
    <w:abstractNumId w:val="4"/>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24EB"/>
    <w:rsid w:val="000D3540"/>
    <w:rsid w:val="000F6945"/>
    <w:rsid w:val="00151FAA"/>
    <w:rsid w:val="001F0FAD"/>
    <w:rsid w:val="003940F0"/>
    <w:rsid w:val="003A28C4"/>
    <w:rsid w:val="003A6A69"/>
    <w:rsid w:val="004622F3"/>
    <w:rsid w:val="00526EE7"/>
    <w:rsid w:val="00542A76"/>
    <w:rsid w:val="005822EC"/>
    <w:rsid w:val="005C6F52"/>
    <w:rsid w:val="00623BC2"/>
    <w:rsid w:val="00642DC8"/>
    <w:rsid w:val="006D4880"/>
    <w:rsid w:val="006F75EF"/>
    <w:rsid w:val="00727311"/>
    <w:rsid w:val="0077040E"/>
    <w:rsid w:val="007C7C7B"/>
    <w:rsid w:val="007F4C61"/>
    <w:rsid w:val="00834A7F"/>
    <w:rsid w:val="00887232"/>
    <w:rsid w:val="00903C3E"/>
    <w:rsid w:val="009D10BA"/>
    <w:rsid w:val="009E7655"/>
    <w:rsid w:val="00A10F28"/>
    <w:rsid w:val="00A66969"/>
    <w:rsid w:val="00B16204"/>
    <w:rsid w:val="00B3462B"/>
    <w:rsid w:val="00B86B64"/>
    <w:rsid w:val="00CC1F34"/>
    <w:rsid w:val="00CC24EB"/>
    <w:rsid w:val="00D37A3E"/>
    <w:rsid w:val="00D45A8E"/>
    <w:rsid w:val="00DA666F"/>
    <w:rsid w:val="00DB4E02"/>
    <w:rsid w:val="00DE7F7E"/>
    <w:rsid w:val="00E367B2"/>
    <w:rsid w:val="00E804DD"/>
    <w:rsid w:val="00EB117B"/>
    <w:rsid w:val="00EB3218"/>
    <w:rsid w:val="00F077A7"/>
    <w:rsid w:val="00FE0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40"/>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B64"/>
  </w:style>
  <w:style w:type="paragraph" w:styleId="Heading2">
    <w:name w:val="heading 2"/>
    <w:basedOn w:val="Normal"/>
    <w:next w:val="Normal"/>
    <w:link w:val="Heading2Char"/>
    <w:uiPriority w:val="9"/>
    <w:unhideWhenUsed/>
    <w:qFormat/>
    <w:rsid w:val="003A6A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4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34A7F"/>
    <w:pPr>
      <w:ind w:left="720"/>
      <w:contextualSpacing/>
    </w:pPr>
  </w:style>
  <w:style w:type="paragraph" w:styleId="Title">
    <w:name w:val="Title"/>
    <w:basedOn w:val="Normal"/>
    <w:next w:val="Normal"/>
    <w:link w:val="TitleChar"/>
    <w:uiPriority w:val="10"/>
    <w:qFormat/>
    <w:rsid w:val="003A6A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6A6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A6A6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3A6A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A6A6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A6A69"/>
    <w:rPr>
      <w:i/>
      <w:iCs/>
      <w:color w:val="808080" w:themeColor="text1" w:themeTint="7F"/>
    </w:rPr>
  </w:style>
  <w:style w:type="paragraph" w:styleId="NoSpacing">
    <w:name w:val="No Spacing"/>
    <w:uiPriority w:val="1"/>
    <w:qFormat/>
    <w:rsid w:val="003A6A69"/>
    <w:pPr>
      <w:spacing w:after="0" w:line="240" w:lineRule="auto"/>
    </w:pPr>
  </w:style>
  <w:style w:type="character" w:styleId="IntenseEmphasis">
    <w:name w:val="Intense Emphasis"/>
    <w:basedOn w:val="DefaultParagraphFont"/>
    <w:uiPriority w:val="21"/>
    <w:qFormat/>
    <w:rsid w:val="003A6A69"/>
    <w:rPr>
      <w:b/>
      <w:bCs/>
      <w:i/>
      <w:iCs/>
      <w:color w:val="4F81BD" w:themeColor="accent1"/>
    </w:rPr>
  </w:style>
  <w:style w:type="character" w:styleId="Strong">
    <w:name w:val="Strong"/>
    <w:basedOn w:val="DefaultParagraphFont"/>
    <w:uiPriority w:val="22"/>
    <w:qFormat/>
    <w:rsid w:val="003A6A69"/>
    <w:rPr>
      <w:b/>
      <w:bCs/>
    </w:rPr>
  </w:style>
  <w:style w:type="numbering" w:customStyle="1" w:styleId="Style1">
    <w:name w:val="Style1"/>
    <w:uiPriority w:val="99"/>
    <w:rsid w:val="00DA666F"/>
    <w:pPr>
      <w:numPr>
        <w:numId w:val="5"/>
      </w:numPr>
    </w:pPr>
  </w:style>
  <w:style w:type="numbering" w:customStyle="1" w:styleId="Style2">
    <w:name w:val="Style2"/>
    <w:uiPriority w:val="99"/>
    <w:rsid w:val="00DA666F"/>
    <w:pPr>
      <w:numPr>
        <w:numId w:val="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2015-01-09T10:46:00Z</dcterms:created>
  <dcterms:modified xsi:type="dcterms:W3CDTF">2015-01-10T09:47:00Z</dcterms:modified>
</cp:coreProperties>
</file>