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C97" w:rsidRDefault="00CD765A">
      <w:pPr>
        <w:rPr>
          <w:b/>
          <w:sz w:val="28"/>
          <w:szCs w:val="28"/>
          <w:u w:val="single"/>
        </w:rPr>
      </w:pPr>
      <w:r w:rsidRPr="00CD765A">
        <w:rPr>
          <w:b/>
          <w:sz w:val="28"/>
          <w:szCs w:val="28"/>
          <w:u w:val="single"/>
        </w:rPr>
        <w:t>WHY CENVAT NOT UTILISED UNDER REVERSE CHARGE</w:t>
      </w:r>
    </w:p>
    <w:p w:rsidR="00CD765A" w:rsidRDefault="00D24133" w:rsidP="004C709A">
      <w:pPr>
        <w:jc w:val="both"/>
        <w:rPr>
          <w:sz w:val="24"/>
          <w:szCs w:val="24"/>
        </w:rPr>
      </w:pPr>
      <w:r>
        <w:rPr>
          <w:sz w:val="24"/>
          <w:szCs w:val="24"/>
        </w:rPr>
        <w:t>The CENVAT are available as credit to a service provider when they are pain on :</w:t>
      </w:r>
    </w:p>
    <w:p w:rsidR="00D24133" w:rsidRDefault="00D24133" w:rsidP="004C709A">
      <w:pPr>
        <w:pStyle w:val="ListParagraph"/>
        <w:numPr>
          <w:ilvl w:val="0"/>
          <w:numId w:val="1"/>
        </w:numPr>
        <w:jc w:val="both"/>
        <w:rPr>
          <w:sz w:val="24"/>
          <w:szCs w:val="24"/>
        </w:rPr>
      </w:pPr>
      <w:r>
        <w:rPr>
          <w:sz w:val="24"/>
          <w:szCs w:val="24"/>
        </w:rPr>
        <w:t>Any input or capital goods received in the premises of the provider or output service on or after the 10</w:t>
      </w:r>
      <w:r w:rsidRPr="00D24133">
        <w:rPr>
          <w:sz w:val="24"/>
          <w:szCs w:val="24"/>
          <w:vertAlign w:val="superscript"/>
        </w:rPr>
        <w:t>th</w:t>
      </w:r>
      <w:r>
        <w:rPr>
          <w:sz w:val="24"/>
          <w:szCs w:val="24"/>
        </w:rPr>
        <w:t xml:space="preserve"> day of September’ 2004</w:t>
      </w:r>
    </w:p>
    <w:p w:rsidR="00D24133" w:rsidRDefault="00D24133" w:rsidP="004C709A">
      <w:pPr>
        <w:pStyle w:val="ListParagraph"/>
        <w:numPr>
          <w:ilvl w:val="0"/>
          <w:numId w:val="1"/>
        </w:numPr>
        <w:jc w:val="both"/>
        <w:rPr>
          <w:sz w:val="24"/>
          <w:szCs w:val="24"/>
        </w:rPr>
      </w:pPr>
      <w:r>
        <w:rPr>
          <w:sz w:val="24"/>
          <w:szCs w:val="24"/>
        </w:rPr>
        <w:t>Any input service received by the provider of output services on or after the 10</w:t>
      </w:r>
      <w:r w:rsidRPr="00D24133">
        <w:rPr>
          <w:sz w:val="24"/>
          <w:szCs w:val="24"/>
          <w:vertAlign w:val="superscript"/>
        </w:rPr>
        <w:t>th</w:t>
      </w:r>
      <w:r>
        <w:rPr>
          <w:sz w:val="24"/>
          <w:szCs w:val="24"/>
        </w:rPr>
        <w:t xml:space="preserve"> day of September’ 2004</w:t>
      </w:r>
    </w:p>
    <w:p w:rsidR="00D24133" w:rsidRDefault="00D24133" w:rsidP="004C709A">
      <w:pPr>
        <w:pStyle w:val="ListParagraph"/>
        <w:ind w:left="0"/>
        <w:jc w:val="both"/>
        <w:rPr>
          <w:sz w:val="24"/>
          <w:szCs w:val="24"/>
        </w:rPr>
      </w:pPr>
    </w:p>
    <w:p w:rsidR="00C14D68" w:rsidRDefault="00C14D68" w:rsidP="004C709A">
      <w:pPr>
        <w:pStyle w:val="ListParagraph"/>
        <w:ind w:left="0"/>
        <w:jc w:val="both"/>
        <w:rPr>
          <w:sz w:val="24"/>
          <w:szCs w:val="24"/>
        </w:rPr>
      </w:pPr>
      <w:r>
        <w:rPr>
          <w:sz w:val="24"/>
          <w:szCs w:val="24"/>
        </w:rPr>
        <w:t>The Cenvat Credit so available can be used for the following purpose to a service provider:</w:t>
      </w:r>
    </w:p>
    <w:p w:rsidR="00C14D68" w:rsidRDefault="00C14D68" w:rsidP="004C709A">
      <w:pPr>
        <w:pStyle w:val="ListParagraph"/>
        <w:numPr>
          <w:ilvl w:val="0"/>
          <w:numId w:val="2"/>
        </w:numPr>
        <w:jc w:val="both"/>
        <w:rPr>
          <w:sz w:val="24"/>
          <w:szCs w:val="24"/>
        </w:rPr>
      </w:pPr>
      <w:r>
        <w:rPr>
          <w:sz w:val="24"/>
          <w:szCs w:val="24"/>
        </w:rPr>
        <w:t>An amount equal to Cenvat Credit taken on inputs if such inputs are removed as such after being partially processed</w:t>
      </w:r>
    </w:p>
    <w:p w:rsidR="00C14D68" w:rsidRDefault="00C14D68" w:rsidP="004C709A">
      <w:pPr>
        <w:pStyle w:val="ListParagraph"/>
        <w:numPr>
          <w:ilvl w:val="0"/>
          <w:numId w:val="2"/>
        </w:numPr>
        <w:jc w:val="both"/>
        <w:rPr>
          <w:sz w:val="24"/>
          <w:szCs w:val="24"/>
        </w:rPr>
      </w:pPr>
      <w:r>
        <w:rPr>
          <w:sz w:val="24"/>
          <w:szCs w:val="24"/>
        </w:rPr>
        <w:t>An amount equal to the Cenvat Credit taken on Capital Goods if such capital goods are removed as such</w:t>
      </w:r>
    </w:p>
    <w:p w:rsidR="00C14D68" w:rsidRDefault="00C14D68" w:rsidP="004C709A">
      <w:pPr>
        <w:pStyle w:val="ListParagraph"/>
        <w:numPr>
          <w:ilvl w:val="0"/>
          <w:numId w:val="2"/>
        </w:numPr>
        <w:jc w:val="both"/>
        <w:rPr>
          <w:b/>
          <w:sz w:val="24"/>
          <w:szCs w:val="24"/>
          <w:u w:val="single"/>
        </w:rPr>
      </w:pPr>
      <w:r w:rsidRPr="00C14D68">
        <w:rPr>
          <w:b/>
          <w:sz w:val="24"/>
          <w:szCs w:val="24"/>
          <w:u w:val="single"/>
        </w:rPr>
        <w:t>Service Tax on any ouput service</w:t>
      </w:r>
    </w:p>
    <w:p w:rsidR="00C14D68" w:rsidRDefault="00C14D68" w:rsidP="004C709A">
      <w:pPr>
        <w:pStyle w:val="ListParagraph"/>
        <w:jc w:val="both"/>
        <w:rPr>
          <w:b/>
          <w:sz w:val="24"/>
          <w:szCs w:val="24"/>
          <w:u w:val="single"/>
        </w:rPr>
      </w:pPr>
    </w:p>
    <w:p w:rsidR="00C14D68" w:rsidRDefault="00C94F29" w:rsidP="004C709A">
      <w:pPr>
        <w:pStyle w:val="ListParagraph"/>
        <w:jc w:val="both"/>
        <w:rPr>
          <w:sz w:val="24"/>
          <w:szCs w:val="24"/>
        </w:rPr>
      </w:pPr>
      <w:r>
        <w:rPr>
          <w:sz w:val="24"/>
          <w:szCs w:val="24"/>
        </w:rPr>
        <w:t>As per Rule 2(p) of Cenvat Credit Rule, 2004 defines output services as;</w:t>
      </w:r>
    </w:p>
    <w:p w:rsidR="00C94F29" w:rsidRDefault="00C94F29" w:rsidP="004C709A">
      <w:pPr>
        <w:pStyle w:val="ListParagraph"/>
        <w:ind w:left="0"/>
        <w:jc w:val="both"/>
        <w:rPr>
          <w:sz w:val="24"/>
          <w:szCs w:val="24"/>
        </w:rPr>
      </w:pPr>
      <w:r>
        <w:rPr>
          <w:sz w:val="24"/>
          <w:szCs w:val="24"/>
        </w:rPr>
        <w:t>“output service” means any service provided by a provider of service located in the taxable territory but shall not include a service;-</w:t>
      </w:r>
    </w:p>
    <w:p w:rsidR="00C94F29" w:rsidRDefault="00C94F29" w:rsidP="004C709A">
      <w:pPr>
        <w:pStyle w:val="ListParagraph"/>
        <w:ind w:left="0"/>
        <w:jc w:val="both"/>
        <w:rPr>
          <w:sz w:val="24"/>
          <w:szCs w:val="24"/>
        </w:rPr>
      </w:pPr>
    </w:p>
    <w:p w:rsidR="00C94F29" w:rsidRDefault="00C94F29" w:rsidP="004C709A">
      <w:pPr>
        <w:pStyle w:val="ListParagraph"/>
        <w:numPr>
          <w:ilvl w:val="0"/>
          <w:numId w:val="3"/>
        </w:numPr>
        <w:jc w:val="both"/>
        <w:rPr>
          <w:sz w:val="24"/>
          <w:szCs w:val="24"/>
        </w:rPr>
      </w:pPr>
      <w:r>
        <w:rPr>
          <w:sz w:val="24"/>
          <w:szCs w:val="24"/>
        </w:rPr>
        <w:t>Specfied in section 66D of the Finance Act; or</w:t>
      </w:r>
    </w:p>
    <w:p w:rsidR="00C94F29" w:rsidRDefault="00C94F29" w:rsidP="004C709A">
      <w:pPr>
        <w:pStyle w:val="ListParagraph"/>
        <w:numPr>
          <w:ilvl w:val="0"/>
          <w:numId w:val="3"/>
        </w:numPr>
        <w:jc w:val="both"/>
        <w:rPr>
          <w:sz w:val="24"/>
          <w:szCs w:val="24"/>
        </w:rPr>
      </w:pPr>
      <w:r>
        <w:rPr>
          <w:sz w:val="24"/>
          <w:szCs w:val="24"/>
        </w:rPr>
        <w:t>Where the whole of service tax is liable to be paid by the receipt of service.</w:t>
      </w:r>
    </w:p>
    <w:p w:rsidR="00C94F29" w:rsidRDefault="00C94F29" w:rsidP="004C709A">
      <w:pPr>
        <w:pStyle w:val="ListParagraph"/>
        <w:jc w:val="both"/>
        <w:rPr>
          <w:sz w:val="24"/>
          <w:szCs w:val="24"/>
        </w:rPr>
      </w:pPr>
    </w:p>
    <w:p w:rsidR="00C94F29" w:rsidRDefault="00C94F29" w:rsidP="004C709A">
      <w:pPr>
        <w:pStyle w:val="ListParagraph"/>
        <w:ind w:left="0"/>
        <w:jc w:val="both"/>
        <w:rPr>
          <w:sz w:val="24"/>
          <w:szCs w:val="24"/>
        </w:rPr>
      </w:pPr>
      <w:r>
        <w:rPr>
          <w:sz w:val="24"/>
          <w:szCs w:val="24"/>
        </w:rPr>
        <w:t>Accordingly, output service definition includes all services other than:</w:t>
      </w:r>
    </w:p>
    <w:p w:rsidR="00C94F29" w:rsidRPr="004C709A" w:rsidRDefault="004C709A" w:rsidP="004C709A">
      <w:pPr>
        <w:pStyle w:val="ListParagraph"/>
        <w:numPr>
          <w:ilvl w:val="0"/>
          <w:numId w:val="4"/>
        </w:numPr>
        <w:jc w:val="both"/>
        <w:rPr>
          <w:sz w:val="24"/>
          <w:szCs w:val="24"/>
          <w:u w:val="single"/>
        </w:rPr>
      </w:pPr>
      <w:r w:rsidRPr="004C709A">
        <w:rPr>
          <w:sz w:val="24"/>
          <w:szCs w:val="24"/>
          <w:u w:val="single"/>
        </w:rPr>
        <w:t>Negative Services [specified in section 66D of the Finance Act]</w:t>
      </w:r>
    </w:p>
    <w:p w:rsidR="004C709A" w:rsidRDefault="004C709A" w:rsidP="004C709A">
      <w:pPr>
        <w:pStyle w:val="ListParagraph"/>
        <w:jc w:val="both"/>
        <w:rPr>
          <w:sz w:val="24"/>
          <w:szCs w:val="24"/>
        </w:rPr>
      </w:pPr>
    </w:p>
    <w:p w:rsidR="004C709A" w:rsidRDefault="004C709A" w:rsidP="004C709A">
      <w:pPr>
        <w:pStyle w:val="ListParagraph"/>
        <w:jc w:val="both"/>
        <w:rPr>
          <w:sz w:val="24"/>
          <w:szCs w:val="24"/>
        </w:rPr>
      </w:pPr>
      <w:r>
        <w:rPr>
          <w:sz w:val="24"/>
          <w:szCs w:val="24"/>
        </w:rPr>
        <w:t>The exclusin aims to disallow the credit against the Negative services on which no service tax is payble.</w:t>
      </w:r>
    </w:p>
    <w:p w:rsidR="004C709A" w:rsidRPr="004C709A" w:rsidRDefault="004C709A" w:rsidP="004C709A">
      <w:pPr>
        <w:pStyle w:val="ListParagraph"/>
        <w:numPr>
          <w:ilvl w:val="0"/>
          <w:numId w:val="4"/>
        </w:numPr>
        <w:jc w:val="both"/>
        <w:rPr>
          <w:sz w:val="24"/>
          <w:szCs w:val="24"/>
        </w:rPr>
      </w:pPr>
      <w:r>
        <w:rPr>
          <w:sz w:val="24"/>
          <w:szCs w:val="24"/>
          <w:u w:val="single"/>
        </w:rPr>
        <w:t>Where the whole of service tax is liable to be paid by the receipt of service</w:t>
      </w:r>
    </w:p>
    <w:p w:rsidR="004C709A" w:rsidRDefault="004C709A" w:rsidP="004C709A">
      <w:pPr>
        <w:pStyle w:val="ListParagraph"/>
        <w:jc w:val="both"/>
        <w:rPr>
          <w:sz w:val="24"/>
          <w:szCs w:val="24"/>
        </w:rPr>
      </w:pPr>
    </w:p>
    <w:p w:rsidR="004C709A" w:rsidRPr="008172C0" w:rsidRDefault="004C709A" w:rsidP="004C709A">
      <w:pPr>
        <w:pStyle w:val="ListParagraph"/>
        <w:jc w:val="both"/>
        <w:rPr>
          <w:color w:val="000000" w:themeColor="text1"/>
          <w:sz w:val="24"/>
          <w:szCs w:val="24"/>
        </w:rPr>
      </w:pPr>
      <w:r>
        <w:rPr>
          <w:sz w:val="24"/>
          <w:szCs w:val="24"/>
        </w:rPr>
        <w:t xml:space="preserve">This exclusion provides that a service provider on whose services the recipient is liable to </w:t>
      </w:r>
      <w:r w:rsidRPr="008172C0">
        <w:rPr>
          <w:color w:val="000000" w:themeColor="text1"/>
          <w:sz w:val="24"/>
          <w:szCs w:val="24"/>
        </w:rPr>
        <w:t>pay the entire tax, such services would not qualify as output services from the perspective of service provider. Servies where whole of the service tax is to be paid by the service receipient are as follows.</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8"/>
          <w:szCs w:val="18"/>
          <w:shd w:val="clear" w:color="auto" w:fill="FFFFFF"/>
        </w:rPr>
        <w:t>Services of insurance agent</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8"/>
          <w:szCs w:val="18"/>
          <w:shd w:val="clear" w:color="auto" w:fill="FFFFFF"/>
        </w:rPr>
        <w:t>Services of Goods Transport Agency (GTA) of goods transport</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8"/>
          <w:szCs w:val="18"/>
          <w:shd w:val="clear" w:color="auto" w:fill="FFFFFF"/>
        </w:rPr>
        <w:t>Sponsorship service</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8"/>
          <w:szCs w:val="18"/>
          <w:shd w:val="clear" w:color="auto" w:fill="FFFFFF"/>
        </w:rPr>
        <w:lastRenderedPageBreak/>
        <w:t>Services of Arbitral Tribunal</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8"/>
          <w:szCs w:val="18"/>
          <w:shd w:val="clear" w:color="auto" w:fill="FFFFFF"/>
        </w:rPr>
        <w:t>Legal Services of Advocate or Advocate Firms</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8"/>
          <w:szCs w:val="18"/>
          <w:shd w:val="clear" w:color="auto" w:fill="FFFFFF"/>
        </w:rPr>
        <w:t>Services of director to company (entry added w.e.f. 7-8-2012)</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6"/>
          <w:szCs w:val="16"/>
          <w:shd w:val="clear" w:color="auto" w:fill="FFFFFF"/>
        </w:rPr>
        <w:t>Support Services by Government or Local Authority</w:t>
      </w:r>
      <w:r w:rsidRPr="008172C0">
        <w:rPr>
          <w:rStyle w:val="apple-converted-space"/>
          <w:rFonts w:ascii="Verdana" w:hAnsi="Verdana"/>
          <w:color w:val="000000" w:themeColor="text1"/>
          <w:sz w:val="16"/>
          <w:szCs w:val="16"/>
          <w:shd w:val="clear" w:color="auto" w:fill="FFFFFF"/>
        </w:rPr>
        <w:t> </w:t>
      </w:r>
      <w:r w:rsidRPr="008172C0">
        <w:rPr>
          <w:rStyle w:val="Emphasis"/>
          <w:rFonts w:ascii="Verdana" w:hAnsi="Verdana"/>
          <w:b/>
          <w:bCs/>
          <w:color w:val="000000" w:themeColor="text1"/>
          <w:sz w:val="16"/>
          <w:szCs w:val="16"/>
          <w:shd w:val="clear" w:color="auto" w:fill="FFFFFF"/>
        </w:rPr>
        <w:t>excluding</w:t>
      </w:r>
      <w:r w:rsidRPr="008172C0">
        <w:rPr>
          <w:rFonts w:ascii="Verdana" w:hAnsi="Verdana"/>
          <w:color w:val="000000" w:themeColor="text1"/>
          <w:sz w:val="16"/>
          <w:szCs w:val="16"/>
          <w:shd w:val="clear" w:color="auto" w:fill="FFFFFF"/>
        </w:rPr>
        <w:t>renting of immovable property and services specified in clauses (i), (ii) and (iii) of Section 66D(a) of Finance Act, 1994 (These cover postal, port, airport and railway services)</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6"/>
          <w:szCs w:val="16"/>
          <w:shd w:val="clear" w:color="auto" w:fill="FFFFFF"/>
        </w:rPr>
        <w:t>Renting or hiring of motor vehicle designed to carry passengers to any person who is not in the similar line of business</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6"/>
          <w:szCs w:val="16"/>
          <w:shd w:val="clear" w:color="auto" w:fill="FFFFFF"/>
        </w:rPr>
        <w:t>Supply of Manpower for any purpose or security service (The words ‘</w:t>
      </w:r>
      <w:r w:rsidRPr="008172C0">
        <w:rPr>
          <w:rStyle w:val="Emphasis"/>
          <w:rFonts w:ascii="Verdana" w:hAnsi="Verdana"/>
          <w:color w:val="000000" w:themeColor="text1"/>
          <w:sz w:val="16"/>
          <w:szCs w:val="16"/>
          <w:shd w:val="clear" w:color="auto" w:fill="FFFFFF"/>
        </w:rPr>
        <w:t>or security service</w:t>
      </w:r>
      <w:r w:rsidRPr="008172C0">
        <w:rPr>
          <w:rFonts w:ascii="Verdana" w:hAnsi="Verdana"/>
          <w:color w:val="000000" w:themeColor="text1"/>
          <w:sz w:val="16"/>
          <w:szCs w:val="16"/>
          <w:shd w:val="clear" w:color="auto" w:fill="FFFFFF"/>
        </w:rPr>
        <w:t>’ were added w.e.f. 7-8-2012</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6"/>
          <w:szCs w:val="16"/>
          <w:shd w:val="clear" w:color="auto" w:fill="FFFFFF"/>
        </w:rPr>
        <w:t>Service portion in execution of Works Contract</w:t>
      </w:r>
    </w:p>
    <w:p w:rsidR="008172C0" w:rsidRPr="008172C0" w:rsidRDefault="008172C0" w:rsidP="008172C0">
      <w:pPr>
        <w:pStyle w:val="ListParagraph"/>
        <w:numPr>
          <w:ilvl w:val="0"/>
          <w:numId w:val="5"/>
        </w:numPr>
        <w:jc w:val="both"/>
        <w:rPr>
          <w:color w:val="000000" w:themeColor="text1"/>
          <w:sz w:val="24"/>
          <w:szCs w:val="24"/>
        </w:rPr>
      </w:pPr>
      <w:r w:rsidRPr="008172C0">
        <w:rPr>
          <w:rFonts w:ascii="Verdana" w:hAnsi="Verdana"/>
          <w:color w:val="000000" w:themeColor="text1"/>
          <w:sz w:val="16"/>
          <w:szCs w:val="16"/>
          <w:shd w:val="clear" w:color="auto" w:fill="FFFFFF"/>
        </w:rPr>
        <w:t>Services received from non-taxable territory (Import of Service)</w:t>
      </w:r>
    </w:p>
    <w:p w:rsidR="008172C0" w:rsidRDefault="008172C0" w:rsidP="008172C0">
      <w:pPr>
        <w:pStyle w:val="ListParagraph"/>
        <w:ind w:left="1440"/>
        <w:jc w:val="both"/>
        <w:rPr>
          <w:rFonts w:ascii="Verdana" w:hAnsi="Verdana"/>
          <w:color w:val="000000" w:themeColor="text1"/>
          <w:sz w:val="16"/>
          <w:szCs w:val="16"/>
          <w:shd w:val="clear" w:color="auto" w:fill="FFFFFF"/>
        </w:rPr>
      </w:pPr>
    </w:p>
    <w:p w:rsidR="008172C0" w:rsidRDefault="008172C0" w:rsidP="008172C0">
      <w:pPr>
        <w:pStyle w:val="ListParagraph"/>
        <w:ind w:left="0"/>
        <w:jc w:val="both"/>
        <w:rPr>
          <w:rFonts w:ascii="Verdana" w:hAnsi="Verdana"/>
          <w:color w:val="000000" w:themeColor="text1"/>
          <w:sz w:val="16"/>
          <w:szCs w:val="16"/>
          <w:shd w:val="clear" w:color="auto" w:fill="FFFFFF"/>
        </w:rPr>
      </w:pPr>
      <w:r>
        <w:rPr>
          <w:rFonts w:ascii="Verdana" w:hAnsi="Verdana"/>
          <w:color w:val="000000" w:themeColor="text1"/>
          <w:sz w:val="16"/>
          <w:szCs w:val="16"/>
          <w:shd w:val="clear" w:color="auto" w:fill="FFFFFF"/>
        </w:rPr>
        <w:t>Thus, in all above cases, the services would not be considered as output services from the perspective of service provider. Accordingly, service provider in above cases would not be able to CENVAT credit of input and input services used in provision of such services.</w:t>
      </w:r>
    </w:p>
    <w:p w:rsidR="008172C0" w:rsidRDefault="008172C0" w:rsidP="008172C0">
      <w:pPr>
        <w:pStyle w:val="ListParagraph"/>
        <w:ind w:left="0"/>
        <w:jc w:val="both"/>
        <w:rPr>
          <w:rFonts w:ascii="Verdana" w:hAnsi="Verdana"/>
          <w:color w:val="000000" w:themeColor="text1"/>
          <w:sz w:val="16"/>
          <w:szCs w:val="16"/>
          <w:shd w:val="clear" w:color="auto" w:fill="FFFFFF"/>
        </w:rPr>
      </w:pPr>
    </w:p>
    <w:sectPr w:rsidR="008172C0" w:rsidSect="00874C9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65A" w:rsidRDefault="00CD765A" w:rsidP="00CD765A">
      <w:pPr>
        <w:spacing w:after="0" w:line="240" w:lineRule="auto"/>
      </w:pPr>
      <w:r>
        <w:separator/>
      </w:r>
    </w:p>
  </w:endnote>
  <w:endnote w:type="continuationSeparator" w:id="0">
    <w:p w:rsidR="00CD765A" w:rsidRDefault="00CD765A" w:rsidP="00CD7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5A" w:rsidRDefault="00CD765A">
    <w:pPr>
      <w:pStyle w:val="Footer"/>
      <w:pBdr>
        <w:top w:val="thinThickSmallGap" w:sz="24" w:space="1" w:color="622423" w:themeColor="accent2" w:themeShade="7F"/>
      </w:pBdr>
      <w:rPr>
        <w:rFonts w:asciiTheme="majorHAnsi" w:hAnsiTheme="majorHAnsi"/>
      </w:rPr>
    </w:pPr>
    <w:r>
      <w:rPr>
        <w:rFonts w:asciiTheme="majorHAnsi" w:hAnsiTheme="majorHAnsi"/>
      </w:rPr>
      <w:t>PH+91-9891483597</w:t>
    </w:r>
    <w:r>
      <w:rPr>
        <w:rFonts w:asciiTheme="majorHAnsi" w:hAnsiTheme="majorHAnsi"/>
      </w:rPr>
      <w:ptab w:relativeTo="margin" w:alignment="right" w:leader="none"/>
    </w:r>
    <w:r>
      <w:rPr>
        <w:rFonts w:asciiTheme="majorHAnsi" w:hAnsiTheme="majorHAnsi"/>
      </w:rPr>
      <w:t xml:space="preserve">Page </w:t>
    </w:r>
    <w:fldSimple w:instr=" PAGE   \* MERGEFORMAT ">
      <w:r w:rsidR="008172C0" w:rsidRPr="008172C0">
        <w:rPr>
          <w:rFonts w:asciiTheme="majorHAnsi" w:hAnsiTheme="majorHAnsi"/>
          <w:noProof/>
        </w:rPr>
        <w:t>2</w:t>
      </w:r>
    </w:fldSimple>
  </w:p>
  <w:p w:rsidR="00CD765A" w:rsidRDefault="00CD76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65A" w:rsidRDefault="00CD765A" w:rsidP="00CD765A">
      <w:pPr>
        <w:spacing w:after="0" w:line="240" w:lineRule="auto"/>
      </w:pPr>
      <w:r>
        <w:separator/>
      </w:r>
    </w:p>
  </w:footnote>
  <w:footnote w:type="continuationSeparator" w:id="0">
    <w:p w:rsidR="00CD765A" w:rsidRDefault="00CD765A" w:rsidP="00CD76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135"/>
      <w:gridCol w:w="2455"/>
    </w:tblGrid>
    <w:tr w:rsidR="00CD765A" w:rsidTr="00CD765A">
      <w:trPr>
        <w:trHeight w:val="288"/>
      </w:trPr>
      <w:sdt>
        <w:sdtPr>
          <w:rPr>
            <w:rFonts w:asciiTheme="majorHAnsi" w:eastAsiaTheme="majorEastAsia" w:hAnsiTheme="majorHAnsi" w:cstheme="majorBidi"/>
            <w:sz w:val="36"/>
            <w:szCs w:val="36"/>
          </w:rPr>
          <w:alias w:val="Title"/>
          <w:id w:val="77761602"/>
          <w:placeholder>
            <w:docPart w:val="64BAC9667EDB4B90A31DBCEC329E53B2"/>
          </w:placeholder>
          <w:dataBinding w:prefixMappings="xmlns:ns0='http://schemas.openxmlformats.org/package/2006/metadata/core-properties' xmlns:ns1='http://purl.org/dc/elements/1.1/'" w:xpath="/ns0:coreProperties[1]/ns1:title[1]" w:storeItemID="{6C3C8BC8-F283-45AE-878A-BAB7291924A1}"/>
          <w:text/>
        </w:sdtPr>
        <w:sdtContent>
          <w:tc>
            <w:tcPr>
              <w:tcW w:w="7135" w:type="dxa"/>
            </w:tcPr>
            <w:p w:rsidR="00CD765A" w:rsidRDefault="00CD765A" w:rsidP="00CD765A">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CENVAT CREDIT IN REVERSE CHARGE</w:t>
              </w:r>
            </w:p>
          </w:tc>
        </w:sdtContent>
      </w:sdt>
      <w:sdt>
        <w:sdtPr>
          <w:rPr>
            <w:rFonts w:asciiTheme="majorHAnsi" w:eastAsiaTheme="majorEastAsia" w:hAnsiTheme="majorHAnsi" w:cstheme="majorBidi"/>
            <w:b/>
            <w:bCs/>
            <w:color w:val="4F81BD" w:themeColor="accent1"/>
            <w:sz w:val="36"/>
            <w:szCs w:val="36"/>
          </w:rPr>
          <w:alias w:val="Year"/>
          <w:id w:val="77761609"/>
          <w:placeholder>
            <w:docPart w:val="D8C1F1A4359649E1B27D06CA6C305156"/>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455" w:type="dxa"/>
            </w:tcPr>
            <w:p w:rsidR="00CD765A" w:rsidRDefault="00CD765A" w:rsidP="00CD765A">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CA PRADEEP SHARMA</w:t>
              </w:r>
            </w:p>
          </w:tc>
        </w:sdtContent>
      </w:sdt>
    </w:tr>
  </w:tbl>
  <w:p w:rsidR="00CD765A" w:rsidRDefault="00CD76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2110"/>
    <w:multiLevelType w:val="hybridMultilevel"/>
    <w:tmpl w:val="1D14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324D7"/>
    <w:multiLevelType w:val="hybridMultilevel"/>
    <w:tmpl w:val="24EA7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50E28"/>
    <w:multiLevelType w:val="hybridMultilevel"/>
    <w:tmpl w:val="9D54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972C9"/>
    <w:multiLevelType w:val="hybridMultilevel"/>
    <w:tmpl w:val="9676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890CFE"/>
    <w:multiLevelType w:val="hybridMultilevel"/>
    <w:tmpl w:val="348681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D765A"/>
    <w:rsid w:val="004C709A"/>
    <w:rsid w:val="008172C0"/>
    <w:rsid w:val="00874C97"/>
    <w:rsid w:val="00C14D68"/>
    <w:rsid w:val="00C94F29"/>
    <w:rsid w:val="00CD765A"/>
    <w:rsid w:val="00D24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65A"/>
  </w:style>
  <w:style w:type="paragraph" w:styleId="Footer">
    <w:name w:val="footer"/>
    <w:basedOn w:val="Normal"/>
    <w:link w:val="FooterChar"/>
    <w:uiPriority w:val="99"/>
    <w:unhideWhenUsed/>
    <w:rsid w:val="00CD7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65A"/>
  </w:style>
  <w:style w:type="paragraph" w:styleId="BalloonText">
    <w:name w:val="Balloon Text"/>
    <w:basedOn w:val="Normal"/>
    <w:link w:val="BalloonTextChar"/>
    <w:uiPriority w:val="99"/>
    <w:semiHidden/>
    <w:unhideWhenUsed/>
    <w:rsid w:val="00CD7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65A"/>
    <w:rPr>
      <w:rFonts w:ascii="Tahoma" w:hAnsi="Tahoma" w:cs="Tahoma"/>
      <w:sz w:val="16"/>
      <w:szCs w:val="16"/>
    </w:rPr>
  </w:style>
  <w:style w:type="paragraph" w:styleId="ListParagraph">
    <w:name w:val="List Paragraph"/>
    <w:basedOn w:val="Normal"/>
    <w:uiPriority w:val="34"/>
    <w:qFormat/>
    <w:rsid w:val="00D24133"/>
    <w:pPr>
      <w:ind w:left="720"/>
      <w:contextualSpacing/>
    </w:pPr>
  </w:style>
  <w:style w:type="character" w:customStyle="1" w:styleId="apple-converted-space">
    <w:name w:val="apple-converted-space"/>
    <w:basedOn w:val="DefaultParagraphFont"/>
    <w:rsid w:val="008172C0"/>
  </w:style>
  <w:style w:type="character" w:styleId="Emphasis">
    <w:name w:val="Emphasis"/>
    <w:basedOn w:val="DefaultParagraphFont"/>
    <w:uiPriority w:val="20"/>
    <w:qFormat/>
    <w:rsid w:val="008172C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BAC9667EDB4B90A31DBCEC329E53B2"/>
        <w:category>
          <w:name w:val="General"/>
          <w:gallery w:val="placeholder"/>
        </w:category>
        <w:types>
          <w:type w:val="bbPlcHdr"/>
        </w:types>
        <w:behaviors>
          <w:behavior w:val="content"/>
        </w:behaviors>
        <w:guid w:val="{D0617873-14F5-498A-AF1E-D2C7590D5CB3}"/>
      </w:docPartPr>
      <w:docPartBody>
        <w:p w:rsidR="00000000" w:rsidRDefault="008216EE" w:rsidP="008216EE">
          <w:pPr>
            <w:pStyle w:val="64BAC9667EDB4B90A31DBCEC329E53B2"/>
          </w:pPr>
          <w:r>
            <w:rPr>
              <w:rFonts w:asciiTheme="majorHAnsi" w:eastAsiaTheme="majorEastAsia" w:hAnsiTheme="majorHAnsi" w:cstheme="majorBidi"/>
              <w:sz w:val="36"/>
              <w:szCs w:val="36"/>
            </w:rPr>
            <w:t>[Type the document title]</w:t>
          </w:r>
        </w:p>
      </w:docPartBody>
    </w:docPart>
    <w:docPart>
      <w:docPartPr>
        <w:name w:val="D8C1F1A4359649E1B27D06CA6C305156"/>
        <w:category>
          <w:name w:val="General"/>
          <w:gallery w:val="placeholder"/>
        </w:category>
        <w:types>
          <w:type w:val="bbPlcHdr"/>
        </w:types>
        <w:behaviors>
          <w:behavior w:val="content"/>
        </w:behaviors>
        <w:guid w:val="{42D2114C-78F4-41BA-93DD-DC0438827B51}"/>
      </w:docPartPr>
      <w:docPartBody>
        <w:p w:rsidR="00000000" w:rsidRDefault="008216EE" w:rsidP="008216EE">
          <w:pPr>
            <w:pStyle w:val="D8C1F1A4359649E1B27D06CA6C305156"/>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216EE"/>
    <w:rsid w:val="00821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BAC9667EDB4B90A31DBCEC329E53B2">
    <w:name w:val="64BAC9667EDB4B90A31DBCEC329E53B2"/>
    <w:rsid w:val="008216EE"/>
  </w:style>
  <w:style w:type="paragraph" w:customStyle="1" w:styleId="D8C1F1A4359649E1B27D06CA6C305156">
    <w:name w:val="D8C1F1A4359649E1B27D06CA6C305156"/>
    <w:rsid w:val="008216EE"/>
  </w:style>
  <w:style w:type="paragraph" w:customStyle="1" w:styleId="40D0A4904BF74C0EACA7D3EA4F9C06BA">
    <w:name w:val="40D0A4904BF74C0EACA7D3EA4F9C06BA"/>
    <w:rsid w:val="008216E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CA PRADEEP SHARMA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CENVAT CREDIT IN REVERSE CHARGE</dc:title>
  <dc:subject/>
  <dc:creator>Pradeep Sharma</dc:creator>
  <cp:keywords/>
  <dc:description/>
  <cp:lastModifiedBy>Pradeep Sharma</cp:lastModifiedBy>
  <cp:revision>7</cp:revision>
  <dcterms:created xsi:type="dcterms:W3CDTF">2013-09-16T17:39:00Z</dcterms:created>
  <dcterms:modified xsi:type="dcterms:W3CDTF">2013-09-16T18:08:00Z</dcterms:modified>
</cp:coreProperties>
</file>