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1327F" w:rsidRDefault="00B92D73" w:rsidP="00D73DB6">
      <w:pPr>
        <w:jc w:val="both"/>
        <w:rPr>
          <w:b/>
          <w:bCs/>
        </w:rPr>
      </w:pPr>
      <w:r w:rsidRPr="0071327F">
        <w:rPr>
          <w:b/>
          <w:bCs/>
        </w:rPr>
        <w:t>Changes from 11</w:t>
      </w:r>
      <w:r w:rsidRPr="0071327F">
        <w:rPr>
          <w:b/>
          <w:bCs/>
          <w:vertAlign w:val="superscript"/>
        </w:rPr>
        <w:t>th</w:t>
      </w:r>
      <w:r w:rsidRPr="0071327F">
        <w:rPr>
          <w:b/>
          <w:bCs/>
        </w:rPr>
        <w:t xml:space="preserve"> July, 2014</w:t>
      </w:r>
    </w:p>
    <w:tbl>
      <w:tblPr>
        <w:tblStyle w:val="TableGrid"/>
        <w:tblW w:w="10207" w:type="dxa"/>
        <w:tblInd w:w="-318" w:type="dxa"/>
        <w:tblLook w:val="04A0"/>
      </w:tblPr>
      <w:tblGrid>
        <w:gridCol w:w="2978"/>
        <w:gridCol w:w="7229"/>
      </w:tblGrid>
      <w:tr w:rsidR="004B52E5" w:rsidTr="00925987">
        <w:tc>
          <w:tcPr>
            <w:tcW w:w="2978" w:type="dxa"/>
          </w:tcPr>
          <w:p w:rsidR="004B52E5" w:rsidRDefault="004B52E5" w:rsidP="00D73DB6">
            <w:pPr>
              <w:jc w:val="both"/>
            </w:pPr>
            <w:r>
              <w:t xml:space="preserve"> Advertisement</w:t>
            </w:r>
          </w:p>
        </w:tc>
        <w:tc>
          <w:tcPr>
            <w:tcW w:w="7229" w:type="dxa"/>
          </w:tcPr>
          <w:p w:rsidR="004B52E5" w:rsidRDefault="00F60665" w:rsidP="00D73DB6">
            <w:pPr>
              <w:jc w:val="both"/>
            </w:pPr>
            <w:r>
              <w:rPr>
                <w:sz w:val="23"/>
                <w:szCs w:val="23"/>
              </w:rPr>
              <w:t>new levy would further extend to advertisements in internet websites, out-of-home media, on film screen in theatres, bill boards, conveyances, buildings, cell phones, Automated Teller Machines, tickets, commercial publications, aerial advertising, etc</w:t>
            </w:r>
          </w:p>
        </w:tc>
      </w:tr>
      <w:tr w:rsidR="004B52E5" w:rsidTr="00925987">
        <w:tc>
          <w:tcPr>
            <w:tcW w:w="2978" w:type="dxa"/>
          </w:tcPr>
          <w:p w:rsidR="004B52E5" w:rsidRDefault="00D14212" w:rsidP="00D73DB6">
            <w:pPr>
              <w:jc w:val="both"/>
            </w:pPr>
            <w:r>
              <w:t>Radio Taxis or radio cabs with or without air-conditioned</w:t>
            </w:r>
          </w:p>
        </w:tc>
        <w:tc>
          <w:tcPr>
            <w:tcW w:w="7229" w:type="dxa"/>
          </w:tcPr>
          <w:p w:rsidR="004B52E5" w:rsidRDefault="00D14212" w:rsidP="00D73DB6">
            <w:pPr>
              <w:jc w:val="both"/>
            </w:pPr>
            <w:r>
              <w:rPr>
                <w:sz w:val="23"/>
                <w:szCs w:val="23"/>
              </w:rPr>
              <w:t>The abatement presently available to rent-a-cab service would also be made available to radio taxi service, to bring them on par</w:t>
            </w:r>
          </w:p>
        </w:tc>
      </w:tr>
      <w:tr w:rsidR="00D14212" w:rsidTr="00925987">
        <w:tc>
          <w:tcPr>
            <w:tcW w:w="2978" w:type="dxa"/>
          </w:tcPr>
          <w:p w:rsidR="00D14212" w:rsidRDefault="005414A5" w:rsidP="00D73DB6">
            <w:pPr>
              <w:jc w:val="both"/>
            </w:pPr>
            <w:r>
              <w:t>Contract Carriage</w:t>
            </w:r>
            <w:r w:rsidR="00233CE0">
              <w:t xml:space="preserve"> other than for tourism</w:t>
            </w:r>
          </w:p>
        </w:tc>
        <w:tc>
          <w:tcPr>
            <w:tcW w:w="7229" w:type="dxa"/>
          </w:tcPr>
          <w:p w:rsidR="00D14212" w:rsidRDefault="005414A5" w:rsidP="00D73DB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Exemption withdrawn for contract carriage having air-conditioned</w:t>
            </w:r>
          </w:p>
        </w:tc>
      </w:tr>
      <w:tr w:rsidR="00220E29" w:rsidTr="00925987">
        <w:tc>
          <w:tcPr>
            <w:tcW w:w="2978" w:type="dxa"/>
          </w:tcPr>
          <w:p w:rsidR="00220E29" w:rsidRDefault="00CB3B04" w:rsidP="00D73DB6">
            <w:pPr>
              <w:jc w:val="both"/>
            </w:pPr>
            <w:r>
              <w:t>Technical testing of drug</w:t>
            </w:r>
          </w:p>
        </w:tc>
        <w:tc>
          <w:tcPr>
            <w:tcW w:w="7229" w:type="dxa"/>
          </w:tcPr>
          <w:p w:rsidR="00220E29" w:rsidRDefault="00CB3B04" w:rsidP="00D73DB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Exemption now withdrawn</w:t>
            </w:r>
          </w:p>
        </w:tc>
      </w:tr>
      <w:tr w:rsidR="00CB3B04" w:rsidTr="00925987">
        <w:tc>
          <w:tcPr>
            <w:tcW w:w="2978" w:type="dxa"/>
          </w:tcPr>
          <w:p w:rsidR="00CB3B04" w:rsidRDefault="00CB3B04" w:rsidP="00D73DB6">
            <w:pPr>
              <w:jc w:val="both"/>
            </w:pPr>
            <w:r>
              <w:t>Services received by Educational institute</w:t>
            </w:r>
          </w:p>
        </w:tc>
        <w:tc>
          <w:tcPr>
            <w:tcW w:w="7229" w:type="dxa"/>
          </w:tcPr>
          <w:p w:rsidR="00CB3B04" w:rsidRDefault="0071327F" w:rsidP="00D73DB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Now the definition of Educational auxiliary services removed and “services will be exempt if received by an eligible institute” provided for clarity.</w:t>
            </w:r>
          </w:p>
        </w:tc>
      </w:tr>
      <w:tr w:rsidR="0071327F" w:rsidTr="00925987">
        <w:tc>
          <w:tcPr>
            <w:tcW w:w="2978" w:type="dxa"/>
          </w:tcPr>
          <w:p w:rsidR="0071327F" w:rsidRDefault="0071327F" w:rsidP="00D73DB6">
            <w:pPr>
              <w:jc w:val="both"/>
            </w:pPr>
            <w:r>
              <w:t>Service provided to municipality</w:t>
            </w:r>
          </w:p>
        </w:tc>
        <w:tc>
          <w:tcPr>
            <w:tcW w:w="7229" w:type="dxa"/>
          </w:tcPr>
          <w:p w:rsidR="0071327F" w:rsidRDefault="0071327F" w:rsidP="00D73DB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For clarity purpose it was clarified that service which are mentioned in notification only exempted and other services will be taxable as usual.</w:t>
            </w:r>
          </w:p>
        </w:tc>
      </w:tr>
      <w:tr w:rsidR="0071327F" w:rsidTr="00925987">
        <w:tc>
          <w:tcPr>
            <w:tcW w:w="2978" w:type="dxa"/>
          </w:tcPr>
          <w:p w:rsidR="0071327F" w:rsidRDefault="004D5B20" w:rsidP="00D73DB6">
            <w:pPr>
              <w:jc w:val="both"/>
            </w:pPr>
            <w:r>
              <w:t>Director service to Body Corporate</w:t>
            </w:r>
          </w:p>
        </w:tc>
        <w:tc>
          <w:tcPr>
            <w:tcW w:w="7229" w:type="dxa"/>
          </w:tcPr>
          <w:p w:rsidR="0071327F" w:rsidRDefault="004D5B20" w:rsidP="00D73DB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Body Corporate like RBI now liable to pay service tax under RCM </w:t>
            </w:r>
          </w:p>
        </w:tc>
      </w:tr>
      <w:tr w:rsidR="004D5B20" w:rsidTr="00925987">
        <w:tc>
          <w:tcPr>
            <w:tcW w:w="2978" w:type="dxa"/>
          </w:tcPr>
          <w:p w:rsidR="004D5B20" w:rsidRDefault="004D5B20" w:rsidP="00D73DB6">
            <w:pPr>
              <w:jc w:val="both"/>
            </w:pPr>
            <w:r>
              <w:t>Services of Recovery Agent</w:t>
            </w:r>
          </w:p>
        </w:tc>
        <w:tc>
          <w:tcPr>
            <w:tcW w:w="7229" w:type="dxa"/>
          </w:tcPr>
          <w:p w:rsidR="004D5B20" w:rsidRDefault="004D5B20" w:rsidP="00D73DB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Bank, NBFC and Financial institution liable to pay S.T. under RCM</w:t>
            </w:r>
          </w:p>
        </w:tc>
      </w:tr>
      <w:tr w:rsidR="00A02413" w:rsidTr="00925987">
        <w:tc>
          <w:tcPr>
            <w:tcW w:w="2978" w:type="dxa"/>
          </w:tcPr>
          <w:p w:rsidR="00A02413" w:rsidRDefault="00A02413" w:rsidP="00D73DB6">
            <w:pPr>
              <w:jc w:val="both"/>
            </w:pPr>
            <w:r>
              <w:t>Advance ruling</w:t>
            </w:r>
          </w:p>
        </w:tc>
        <w:tc>
          <w:tcPr>
            <w:tcW w:w="7229" w:type="dxa"/>
          </w:tcPr>
          <w:p w:rsidR="00A02413" w:rsidRDefault="00A02413" w:rsidP="00D73DB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Now Private Limited company also eligible to make application.</w:t>
            </w:r>
          </w:p>
        </w:tc>
      </w:tr>
      <w:tr w:rsidR="00A02413" w:rsidTr="00925987">
        <w:tc>
          <w:tcPr>
            <w:tcW w:w="2978" w:type="dxa"/>
          </w:tcPr>
          <w:p w:rsidR="00A02413" w:rsidRDefault="00B645C4" w:rsidP="00B645C4">
            <w:pPr>
              <w:jc w:val="both"/>
            </w:pPr>
            <w:r>
              <w:t>Exemptions</w:t>
            </w:r>
            <w:r w:rsidR="003863D2">
              <w:t xml:space="preserve"> </w:t>
            </w:r>
          </w:p>
        </w:tc>
        <w:tc>
          <w:tcPr>
            <w:tcW w:w="7229" w:type="dxa"/>
          </w:tcPr>
          <w:p w:rsidR="00A02413" w:rsidRDefault="003863D2" w:rsidP="00B645C4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 w:rsidRPr="00B645C4">
              <w:rPr>
                <w:sz w:val="23"/>
                <w:szCs w:val="23"/>
              </w:rPr>
              <w:t>All life micro-insurance schemes approved by IRDA</w:t>
            </w:r>
            <w:r w:rsidR="00C75EF3" w:rsidRPr="00B645C4">
              <w:rPr>
                <w:sz w:val="23"/>
                <w:szCs w:val="23"/>
              </w:rPr>
              <w:t>, sum does not exceeds R</w:t>
            </w:r>
            <w:r w:rsidRPr="00B645C4">
              <w:rPr>
                <w:sz w:val="23"/>
                <w:szCs w:val="23"/>
              </w:rPr>
              <w:t>s. 50000, service tax will be exempt.</w:t>
            </w:r>
          </w:p>
          <w:p w:rsidR="00B645C4" w:rsidRDefault="006D1921" w:rsidP="00B645C4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Transport of organic manure by vessel, rail or road (by GTA) is being exempted.</w:t>
            </w:r>
          </w:p>
          <w:p w:rsidR="006D1921" w:rsidRDefault="006D1921" w:rsidP="00B645C4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Services by way of loading, unloading, packing, storage or warehousing, transport by vessel, rail or road (GTA), of cotton, ginned or baled, is being exempted.</w:t>
            </w:r>
          </w:p>
          <w:p w:rsidR="006D1921" w:rsidRDefault="006D1921" w:rsidP="00B645C4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Services provided by Common Bio-medical Waste Treatment Facility operators by way of treatment, disposal of bio medical waste or processes incidental to such treatment or disposal are being exempted.</w:t>
            </w:r>
          </w:p>
          <w:p w:rsidR="006D1921" w:rsidRDefault="006D1921" w:rsidP="00B645C4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Specialized financial services received by RBI from outside India, in the course of management of foreign exchange reserves, e.g. external asset management, custodial services, securities lending services, are being exempted.</w:t>
            </w:r>
          </w:p>
          <w:p w:rsidR="00B645C4" w:rsidRPr="006F3103" w:rsidRDefault="006D1921" w:rsidP="006F3103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 w:rsidRPr="006D1921">
              <w:rPr>
                <w:sz w:val="23"/>
                <w:szCs w:val="23"/>
              </w:rPr>
              <w:t>Services provided by the Indian tour operators to foreign tourists in relation to tours wholly conducted outside India are being exempted.</w:t>
            </w:r>
          </w:p>
        </w:tc>
      </w:tr>
    </w:tbl>
    <w:p w:rsidR="00B92D73" w:rsidRDefault="00B92D73" w:rsidP="00D73DB6">
      <w:pPr>
        <w:ind w:left="2880" w:hanging="2880"/>
        <w:jc w:val="both"/>
      </w:pPr>
    </w:p>
    <w:p w:rsidR="00C71CDE" w:rsidRPr="0071327F" w:rsidRDefault="00C71CDE" w:rsidP="00C71CDE">
      <w:pPr>
        <w:jc w:val="both"/>
        <w:rPr>
          <w:b/>
          <w:bCs/>
        </w:rPr>
      </w:pPr>
      <w:r w:rsidRPr="0071327F">
        <w:rPr>
          <w:b/>
          <w:bCs/>
        </w:rPr>
        <w:t>Changes from 1</w:t>
      </w:r>
      <w:r w:rsidRPr="0071327F">
        <w:rPr>
          <w:b/>
          <w:bCs/>
          <w:vertAlign w:val="superscript"/>
        </w:rPr>
        <w:t>st</w:t>
      </w:r>
      <w:r>
        <w:rPr>
          <w:b/>
          <w:bCs/>
        </w:rPr>
        <w:t xml:space="preserve"> September</w:t>
      </w:r>
      <w:r w:rsidRPr="0071327F">
        <w:rPr>
          <w:b/>
          <w:bCs/>
        </w:rPr>
        <w:t>, 2014</w:t>
      </w:r>
    </w:p>
    <w:tbl>
      <w:tblPr>
        <w:tblStyle w:val="TableGrid"/>
        <w:tblW w:w="10207" w:type="dxa"/>
        <w:tblInd w:w="-318" w:type="dxa"/>
        <w:tblLook w:val="04A0"/>
      </w:tblPr>
      <w:tblGrid>
        <w:gridCol w:w="2978"/>
        <w:gridCol w:w="7229"/>
      </w:tblGrid>
      <w:tr w:rsidR="00C71CDE" w:rsidTr="00925987">
        <w:tc>
          <w:tcPr>
            <w:tcW w:w="2978" w:type="dxa"/>
          </w:tcPr>
          <w:p w:rsidR="00C71CDE" w:rsidRDefault="00CB749A" w:rsidP="00B66A6C">
            <w:pPr>
              <w:jc w:val="both"/>
            </w:pPr>
            <w:r>
              <w:t>Cenvat Credit on invoice</w:t>
            </w:r>
          </w:p>
        </w:tc>
        <w:tc>
          <w:tcPr>
            <w:tcW w:w="7229" w:type="dxa"/>
          </w:tcPr>
          <w:p w:rsidR="00C71CDE" w:rsidRDefault="00CB749A" w:rsidP="00B66A6C">
            <w:pPr>
              <w:jc w:val="both"/>
            </w:pPr>
            <w:r>
              <w:rPr>
                <w:sz w:val="23"/>
                <w:szCs w:val="23"/>
              </w:rPr>
              <w:t>Manufacturer or a service provider shall take credit on inputs and input services within a period of six months from the date of issue of invoice, bill or challan w.e.f. 1</w:t>
            </w:r>
            <w:r>
              <w:rPr>
                <w:sz w:val="16"/>
                <w:szCs w:val="16"/>
              </w:rPr>
              <w:t xml:space="preserve">st </w:t>
            </w:r>
            <w:r>
              <w:rPr>
                <w:sz w:val="23"/>
                <w:szCs w:val="23"/>
              </w:rPr>
              <w:t>September,2014</w:t>
            </w:r>
          </w:p>
        </w:tc>
      </w:tr>
    </w:tbl>
    <w:p w:rsidR="006844DA" w:rsidRDefault="006844DA" w:rsidP="00D73DB6">
      <w:pPr>
        <w:jc w:val="both"/>
        <w:rPr>
          <w:b/>
          <w:bCs/>
        </w:rPr>
      </w:pPr>
    </w:p>
    <w:p w:rsidR="006844DA" w:rsidRDefault="006844DA" w:rsidP="00D73DB6">
      <w:pPr>
        <w:jc w:val="both"/>
        <w:rPr>
          <w:b/>
          <w:bCs/>
        </w:rPr>
      </w:pPr>
    </w:p>
    <w:p w:rsidR="0071327F" w:rsidRPr="0071327F" w:rsidRDefault="0071327F" w:rsidP="00D73DB6">
      <w:pPr>
        <w:jc w:val="both"/>
        <w:rPr>
          <w:b/>
          <w:bCs/>
        </w:rPr>
      </w:pPr>
      <w:r w:rsidRPr="0071327F">
        <w:rPr>
          <w:b/>
          <w:bCs/>
        </w:rPr>
        <w:lastRenderedPageBreak/>
        <w:t>Changes from 1</w:t>
      </w:r>
      <w:r w:rsidRPr="0071327F">
        <w:rPr>
          <w:b/>
          <w:bCs/>
          <w:vertAlign w:val="superscript"/>
        </w:rPr>
        <w:t>st</w:t>
      </w:r>
      <w:r>
        <w:rPr>
          <w:b/>
          <w:bCs/>
        </w:rPr>
        <w:t xml:space="preserve"> October</w:t>
      </w:r>
      <w:r w:rsidRPr="0071327F">
        <w:rPr>
          <w:b/>
          <w:bCs/>
        </w:rPr>
        <w:t>, 2014</w:t>
      </w:r>
    </w:p>
    <w:tbl>
      <w:tblPr>
        <w:tblStyle w:val="TableGrid"/>
        <w:tblW w:w="10207" w:type="dxa"/>
        <w:tblInd w:w="-318" w:type="dxa"/>
        <w:tblLook w:val="04A0"/>
      </w:tblPr>
      <w:tblGrid>
        <w:gridCol w:w="2978"/>
        <w:gridCol w:w="7229"/>
      </w:tblGrid>
      <w:tr w:rsidR="0071327F" w:rsidTr="00925987">
        <w:tc>
          <w:tcPr>
            <w:tcW w:w="2978" w:type="dxa"/>
          </w:tcPr>
          <w:p w:rsidR="0071327F" w:rsidRDefault="0071327F" w:rsidP="00D73DB6">
            <w:pPr>
              <w:jc w:val="both"/>
            </w:pPr>
            <w:r>
              <w:t>Works Contract</w:t>
            </w:r>
          </w:p>
        </w:tc>
        <w:tc>
          <w:tcPr>
            <w:tcW w:w="7229" w:type="dxa"/>
          </w:tcPr>
          <w:p w:rsidR="0071327F" w:rsidRDefault="0071327F" w:rsidP="00D73DB6">
            <w:pPr>
              <w:jc w:val="both"/>
            </w:pPr>
            <w:r>
              <w:t>Abatement of 60% removed and merged into 70% in composition scheme to remove classification doubts.</w:t>
            </w:r>
          </w:p>
        </w:tc>
      </w:tr>
      <w:tr w:rsidR="0071327F" w:rsidTr="00925987">
        <w:tc>
          <w:tcPr>
            <w:tcW w:w="2978" w:type="dxa"/>
          </w:tcPr>
          <w:p w:rsidR="0071327F" w:rsidRDefault="0071327F" w:rsidP="00D73DB6">
            <w:pPr>
              <w:jc w:val="both"/>
            </w:pPr>
            <w:r>
              <w:t>Rate of Interest u/s 75</w:t>
            </w:r>
          </w:p>
        </w:tc>
        <w:tc>
          <w:tcPr>
            <w:tcW w:w="7229" w:type="dxa"/>
          </w:tcPr>
          <w:p w:rsidR="0071327F" w:rsidRDefault="0071327F" w:rsidP="00D73DB6">
            <w:pPr>
              <w:jc w:val="both"/>
            </w:pPr>
            <w:r>
              <w:t>Upto 6 months        18</w:t>
            </w:r>
            <w:r w:rsidR="00FE28F9">
              <w:t>%</w:t>
            </w:r>
          </w:p>
          <w:p w:rsidR="00FE28F9" w:rsidRDefault="00FE28F9" w:rsidP="00D73DB6">
            <w:pPr>
              <w:jc w:val="both"/>
            </w:pPr>
            <w:r>
              <w:t>6&lt;=12 months         18% for 6 months</w:t>
            </w:r>
          </w:p>
          <w:p w:rsidR="00FE28F9" w:rsidRDefault="00FE28F9" w:rsidP="00D73DB6">
            <w:pPr>
              <w:jc w:val="both"/>
            </w:pPr>
            <w:r>
              <w:t xml:space="preserve">                                   24% for further 6 months</w:t>
            </w:r>
          </w:p>
          <w:p w:rsidR="00FE28F9" w:rsidRDefault="00FE28F9" w:rsidP="00D73DB6">
            <w:pPr>
              <w:jc w:val="both"/>
            </w:pPr>
            <w:r>
              <w:t>&gt;12 months              18% for 6 months</w:t>
            </w:r>
          </w:p>
          <w:p w:rsidR="00FE28F9" w:rsidRDefault="00FE28F9" w:rsidP="00D73DB6">
            <w:pPr>
              <w:jc w:val="both"/>
            </w:pPr>
            <w:r>
              <w:t xml:space="preserve">                                   24% for further 6 months</w:t>
            </w:r>
          </w:p>
          <w:p w:rsidR="00FE28F9" w:rsidRDefault="00FE28F9" w:rsidP="00D73DB6">
            <w:pPr>
              <w:jc w:val="both"/>
            </w:pPr>
            <w:r>
              <w:t xml:space="preserve">                                   30% for beyond one year</w:t>
            </w:r>
          </w:p>
          <w:p w:rsidR="00FE28F9" w:rsidRDefault="00FE28F9" w:rsidP="00D73DB6">
            <w:pPr>
              <w:jc w:val="both"/>
            </w:pPr>
            <w:r>
              <w:t>Note: 3% concession for small service provider available.</w:t>
            </w:r>
          </w:p>
        </w:tc>
      </w:tr>
      <w:tr w:rsidR="0071327F" w:rsidTr="00925987">
        <w:tc>
          <w:tcPr>
            <w:tcW w:w="2978" w:type="dxa"/>
          </w:tcPr>
          <w:p w:rsidR="0071327F" w:rsidRDefault="00FE28F9" w:rsidP="00D73DB6">
            <w:pPr>
              <w:jc w:val="both"/>
            </w:pPr>
            <w:r>
              <w:t>E- Payment</w:t>
            </w:r>
          </w:p>
        </w:tc>
        <w:tc>
          <w:tcPr>
            <w:tcW w:w="7229" w:type="dxa"/>
          </w:tcPr>
          <w:p w:rsidR="0071327F" w:rsidRDefault="00FE28F9" w:rsidP="00D73DB6">
            <w:pPr>
              <w:jc w:val="both"/>
            </w:pPr>
            <w:r>
              <w:t>Made mandatory</w:t>
            </w:r>
          </w:p>
        </w:tc>
      </w:tr>
      <w:tr w:rsidR="00FE28F9" w:rsidTr="00925987">
        <w:tc>
          <w:tcPr>
            <w:tcW w:w="2978" w:type="dxa"/>
          </w:tcPr>
          <w:p w:rsidR="00FE28F9" w:rsidRDefault="004D5B20" w:rsidP="00D73DB6">
            <w:pPr>
              <w:jc w:val="both"/>
            </w:pPr>
            <w:r>
              <w:t>Place of Provision rules</w:t>
            </w:r>
          </w:p>
        </w:tc>
        <w:tc>
          <w:tcPr>
            <w:tcW w:w="7229" w:type="dxa"/>
          </w:tcPr>
          <w:p w:rsidR="006C5A98" w:rsidRDefault="00D17982" w:rsidP="00D73DB6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Under Rule 4, Condition prescribed for imported goods temporarily for repair work now omitted.</w:t>
            </w:r>
          </w:p>
          <w:p w:rsidR="006C5A98" w:rsidRDefault="00D17982" w:rsidP="00D73DB6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 xml:space="preserve">Definition of intermediary </w:t>
            </w:r>
            <w:r w:rsidR="006C5A98">
              <w:t>amended to includes the intermediary of goods. Rule 9(c) now covered service of commission agent or consignment agent.</w:t>
            </w:r>
          </w:p>
          <w:p w:rsidR="006C5A98" w:rsidRDefault="006C5A98" w:rsidP="00D73DB6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Hiring of vessel (excl yachts) and aircrafts being excluded from rule 9(d) and now governs as per general rule. POP will be place of location of service receiver.</w:t>
            </w:r>
          </w:p>
        </w:tc>
      </w:tr>
      <w:tr w:rsidR="00D17982" w:rsidTr="00925987">
        <w:tc>
          <w:tcPr>
            <w:tcW w:w="2978" w:type="dxa"/>
          </w:tcPr>
          <w:p w:rsidR="00D17982" w:rsidRDefault="007439C6" w:rsidP="00D73DB6">
            <w:pPr>
              <w:jc w:val="both"/>
            </w:pPr>
            <w:r>
              <w:t>Point of taxation rules</w:t>
            </w:r>
          </w:p>
        </w:tc>
        <w:tc>
          <w:tcPr>
            <w:tcW w:w="7229" w:type="dxa"/>
          </w:tcPr>
          <w:p w:rsidR="00D17982" w:rsidRDefault="007439C6" w:rsidP="00D73DB6">
            <w:pPr>
              <w:jc w:val="both"/>
            </w:pPr>
            <w:r>
              <w:t>In RCM case, Date of Payment or 1</w:t>
            </w:r>
            <w:r w:rsidRPr="007439C6">
              <w:rPr>
                <w:vertAlign w:val="superscript"/>
              </w:rPr>
              <w:t>st</w:t>
            </w:r>
            <w:r>
              <w:t xml:space="preserve"> after passing of 3 months from invoice date will be POT. (RULE -10)</w:t>
            </w:r>
          </w:p>
        </w:tc>
      </w:tr>
      <w:tr w:rsidR="007439C6" w:rsidTr="00925987">
        <w:tc>
          <w:tcPr>
            <w:tcW w:w="2978" w:type="dxa"/>
          </w:tcPr>
          <w:p w:rsidR="007439C6" w:rsidRDefault="002C356B" w:rsidP="00D73DB6">
            <w:pPr>
              <w:jc w:val="both"/>
            </w:pPr>
            <w:r>
              <w:t xml:space="preserve">Cenvat Credit of </w:t>
            </w:r>
            <w:r w:rsidR="00002C2B">
              <w:t>renting of motor cab by sub contractor to main contractor</w:t>
            </w:r>
          </w:p>
        </w:tc>
        <w:tc>
          <w:tcPr>
            <w:tcW w:w="7229" w:type="dxa"/>
          </w:tcPr>
          <w:p w:rsidR="007439C6" w:rsidRDefault="00002C2B" w:rsidP="00D73DB6">
            <w:pPr>
              <w:jc w:val="both"/>
            </w:pPr>
            <w:r>
              <w:t>Now the Cenvat credit allowed if service of hiring of rent cab being taken by person engaged in similar line of business. The Cenvat credit eligibility restricted to 40% if service tax will be paid or payable on full value of the service i.e. without any abatement.</w:t>
            </w:r>
          </w:p>
          <w:p w:rsidR="00002C2B" w:rsidRDefault="00002C2B" w:rsidP="00D73DB6">
            <w:pPr>
              <w:jc w:val="both"/>
            </w:pPr>
          </w:p>
          <w:p w:rsidR="00002C2B" w:rsidRDefault="00002C2B" w:rsidP="00D065D1">
            <w:pPr>
              <w:jc w:val="both"/>
            </w:pPr>
            <w:r>
              <w:t>Note: same provision also made applicable in case of tour operator service.</w:t>
            </w:r>
          </w:p>
        </w:tc>
      </w:tr>
      <w:tr w:rsidR="00CA51EA" w:rsidTr="00925987">
        <w:tc>
          <w:tcPr>
            <w:tcW w:w="2978" w:type="dxa"/>
          </w:tcPr>
          <w:p w:rsidR="00CA51EA" w:rsidRDefault="00CA51EA" w:rsidP="00D73DB6">
            <w:pPr>
              <w:jc w:val="both"/>
            </w:pPr>
            <w:r>
              <w:t>Transport of goods by vessel</w:t>
            </w:r>
          </w:p>
        </w:tc>
        <w:tc>
          <w:tcPr>
            <w:tcW w:w="7229" w:type="dxa"/>
          </w:tcPr>
          <w:p w:rsidR="00CA51EA" w:rsidRDefault="00CA51EA" w:rsidP="00D73DB6">
            <w:pPr>
              <w:jc w:val="both"/>
            </w:pPr>
            <w:r>
              <w:t>Taxable portion now reduced from 50% to 40%. Effective rate will be 4.944%</w:t>
            </w:r>
          </w:p>
        </w:tc>
      </w:tr>
      <w:tr w:rsidR="00CA51EA" w:rsidTr="00925987">
        <w:tc>
          <w:tcPr>
            <w:tcW w:w="2978" w:type="dxa"/>
          </w:tcPr>
          <w:p w:rsidR="00CA51EA" w:rsidRDefault="00CA51EA" w:rsidP="00D73DB6">
            <w:pPr>
              <w:jc w:val="both"/>
            </w:pPr>
            <w:r>
              <w:t>Renting of motor vehicle</w:t>
            </w:r>
          </w:p>
        </w:tc>
        <w:tc>
          <w:tcPr>
            <w:tcW w:w="7229" w:type="dxa"/>
          </w:tcPr>
          <w:p w:rsidR="00CA51EA" w:rsidRDefault="00CA51EA" w:rsidP="00D73DB6">
            <w:pPr>
              <w:jc w:val="both"/>
            </w:pPr>
            <w:r>
              <w:t>Service provider not taking abatement, the service provider and service receiver liable to pay S.T. 50% each.</w:t>
            </w:r>
          </w:p>
        </w:tc>
      </w:tr>
    </w:tbl>
    <w:p w:rsidR="0071327F" w:rsidRDefault="0071327F" w:rsidP="00D73DB6">
      <w:pPr>
        <w:ind w:left="2880" w:hanging="2880"/>
        <w:jc w:val="both"/>
      </w:pPr>
    </w:p>
    <w:sectPr w:rsidR="0071327F" w:rsidSect="006844DA">
      <w:headerReference w:type="default" r:id="rId7"/>
      <w:footerReference w:type="default" r:id="rId8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48D" w:rsidRDefault="008A748D" w:rsidP="00081C82">
      <w:pPr>
        <w:spacing w:after="0" w:line="240" w:lineRule="auto"/>
      </w:pPr>
      <w:r>
        <w:separator/>
      </w:r>
    </w:p>
  </w:endnote>
  <w:endnote w:type="continuationSeparator" w:id="1">
    <w:p w:rsidR="008A748D" w:rsidRDefault="008A748D" w:rsidP="0008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09" w:type="pct"/>
      <w:tblInd w:w="-311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990"/>
      <w:gridCol w:w="1217"/>
    </w:tblGrid>
    <w:tr w:rsidR="006844DA" w:rsidTr="006844DA">
      <w:tc>
        <w:tcPr>
          <w:tcW w:w="4404" w:type="pct"/>
          <w:tcBorders>
            <w:top w:val="single" w:sz="4" w:space="0" w:color="000000" w:themeColor="text1"/>
          </w:tcBorders>
        </w:tcPr>
        <w:p w:rsidR="006844DA" w:rsidRDefault="006844DA" w:rsidP="006844DA">
          <w:pPr>
            <w:pStyle w:val="Footer"/>
            <w:ind w:left="-426"/>
          </w:pPr>
        </w:p>
      </w:tc>
      <w:tc>
        <w:tcPr>
          <w:tcW w:w="596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6844DA" w:rsidRDefault="006844DA">
          <w:pPr>
            <w:pStyle w:val="Header"/>
            <w:rPr>
              <w:color w:val="FFFFFF" w:themeColor="background1"/>
            </w:rPr>
          </w:pPr>
          <w:fldSimple w:instr=" PAGE   \* MERGEFORMAT ">
            <w:r w:rsidR="00747546" w:rsidRPr="00747546">
              <w:rPr>
                <w:noProof/>
                <w:color w:val="FFFFFF" w:themeColor="background1"/>
              </w:rPr>
              <w:t>2</w:t>
            </w:r>
          </w:fldSimple>
        </w:p>
      </w:tc>
    </w:tr>
  </w:tbl>
  <w:p w:rsidR="006844DA" w:rsidRDefault="006844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48D" w:rsidRDefault="008A748D" w:rsidP="00081C82">
      <w:pPr>
        <w:spacing w:after="0" w:line="240" w:lineRule="auto"/>
      </w:pPr>
      <w:r>
        <w:separator/>
      </w:r>
    </w:p>
  </w:footnote>
  <w:footnote w:type="continuationSeparator" w:id="1">
    <w:p w:rsidR="008A748D" w:rsidRDefault="008A748D" w:rsidP="0008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color w:val="1F497D" w:themeColor="text2"/>
        <w:sz w:val="28"/>
        <w:szCs w:val="28"/>
      </w:rPr>
      <w:alias w:val="Title"/>
      <w:id w:val="-240215781"/>
      <w:placeholder>
        <w:docPart w:val="730F514125284C1C8D240C6E8F68770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844DA" w:rsidRDefault="006844DA" w:rsidP="006844DA">
        <w:pPr>
          <w:pStyle w:val="Header"/>
          <w:tabs>
            <w:tab w:val="left" w:pos="2580"/>
            <w:tab w:val="left" w:pos="2985"/>
          </w:tabs>
          <w:spacing w:after="120" w:line="276" w:lineRule="auto"/>
          <w:ind w:hanging="426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>Change in Service Tax, Finance Act 2014</w:t>
        </w:r>
      </w:p>
    </w:sdtContent>
  </w:sdt>
  <w:p w:rsidR="006844DA" w:rsidRDefault="006844DA" w:rsidP="00747546">
    <w:pPr>
      <w:pStyle w:val="Header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ind w:hanging="284"/>
      <w:rPr>
        <w:color w:val="808080" w:themeColor="text1" w:themeTint="7F"/>
      </w:rPr>
    </w:pPr>
    <w:r>
      <w:rPr>
        <w:color w:val="808080" w:themeColor="text1" w:themeTint="7F"/>
      </w:rPr>
      <w:t>Ramesh Chand</w:t>
    </w:r>
  </w:p>
  <w:p w:rsidR="006844DA" w:rsidRDefault="006844D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77ED4"/>
    <w:multiLevelType w:val="hybridMultilevel"/>
    <w:tmpl w:val="9B3CD8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46BFE"/>
    <w:multiLevelType w:val="hybridMultilevel"/>
    <w:tmpl w:val="77264D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92D73"/>
    <w:rsid w:val="00002C2B"/>
    <w:rsid w:val="00081C82"/>
    <w:rsid w:val="000C330D"/>
    <w:rsid w:val="00220E29"/>
    <w:rsid w:val="00233CE0"/>
    <w:rsid w:val="002C356B"/>
    <w:rsid w:val="003863D2"/>
    <w:rsid w:val="004B52E5"/>
    <w:rsid w:val="004D5B20"/>
    <w:rsid w:val="005414A5"/>
    <w:rsid w:val="006844DA"/>
    <w:rsid w:val="006C5A98"/>
    <w:rsid w:val="006D1921"/>
    <w:rsid w:val="006F3103"/>
    <w:rsid w:val="0071327F"/>
    <w:rsid w:val="00735DB9"/>
    <w:rsid w:val="007439C6"/>
    <w:rsid w:val="00747546"/>
    <w:rsid w:val="008A748D"/>
    <w:rsid w:val="00925987"/>
    <w:rsid w:val="00974DE8"/>
    <w:rsid w:val="00A02413"/>
    <w:rsid w:val="00B645C4"/>
    <w:rsid w:val="00B92D73"/>
    <w:rsid w:val="00C71CDE"/>
    <w:rsid w:val="00C75EF3"/>
    <w:rsid w:val="00CA51EA"/>
    <w:rsid w:val="00CB3B04"/>
    <w:rsid w:val="00CB749A"/>
    <w:rsid w:val="00CE6391"/>
    <w:rsid w:val="00D065D1"/>
    <w:rsid w:val="00D14212"/>
    <w:rsid w:val="00D17982"/>
    <w:rsid w:val="00D73DB6"/>
    <w:rsid w:val="00F60665"/>
    <w:rsid w:val="00FE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5A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1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C82"/>
  </w:style>
  <w:style w:type="paragraph" w:styleId="Footer">
    <w:name w:val="footer"/>
    <w:basedOn w:val="Normal"/>
    <w:link w:val="FooterChar"/>
    <w:uiPriority w:val="99"/>
    <w:unhideWhenUsed/>
    <w:rsid w:val="00081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C82"/>
  </w:style>
  <w:style w:type="paragraph" w:styleId="BalloonText">
    <w:name w:val="Balloon Text"/>
    <w:basedOn w:val="Normal"/>
    <w:link w:val="BalloonTextChar"/>
    <w:uiPriority w:val="99"/>
    <w:semiHidden/>
    <w:unhideWhenUsed/>
    <w:rsid w:val="0008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0F514125284C1C8D240C6E8F687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EBF3D-0A52-4D7E-84DA-A6B1820029D7}"/>
      </w:docPartPr>
      <w:docPartBody>
        <w:p w:rsidR="00000000" w:rsidRDefault="00C07AC9" w:rsidP="00C07AC9">
          <w:pPr>
            <w:pStyle w:val="730F514125284C1C8D240C6E8F687706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07AC9"/>
    <w:rsid w:val="005A7C8B"/>
    <w:rsid w:val="00C0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C29EB892F14D56B2CE2E7339F7AD33">
    <w:name w:val="6BC29EB892F14D56B2CE2E7339F7AD33"/>
    <w:rsid w:val="00C07AC9"/>
  </w:style>
  <w:style w:type="paragraph" w:customStyle="1" w:styleId="730F514125284C1C8D240C6E8F687706">
    <w:name w:val="730F514125284C1C8D240C6E8F687706"/>
    <w:rsid w:val="00C07AC9"/>
  </w:style>
  <w:style w:type="paragraph" w:customStyle="1" w:styleId="AA5C8CB5CB194672A935A1E0CCDAE55F">
    <w:name w:val="AA5C8CB5CB194672A935A1E0CCDAE55F"/>
    <w:rsid w:val="00C07AC9"/>
  </w:style>
  <w:style w:type="paragraph" w:customStyle="1" w:styleId="6D512D80CBDB40E3834133A471F1B817">
    <w:name w:val="6D512D80CBDB40E3834133A471F1B817"/>
    <w:rsid w:val="00C07AC9"/>
  </w:style>
  <w:style w:type="paragraph" w:customStyle="1" w:styleId="D6D72E6312554491A2E998DD5AFF52B0">
    <w:name w:val="D6D72E6312554491A2E998DD5AFF52B0"/>
    <w:rsid w:val="00C07AC9"/>
  </w:style>
  <w:style w:type="paragraph" w:customStyle="1" w:styleId="6C9FF476313249119C0E7ACDE8C92D22">
    <w:name w:val="6C9FF476313249119C0E7ACDE8C92D22"/>
    <w:rsid w:val="00C07AC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in Service Tax, Finance Act 2014</dc:title>
  <dc:subject/>
  <dc:creator>auditor1</dc:creator>
  <cp:keywords/>
  <dc:description/>
  <cp:lastModifiedBy>auditor1</cp:lastModifiedBy>
  <cp:revision>37</cp:revision>
  <dcterms:created xsi:type="dcterms:W3CDTF">2014-11-25T06:33:00Z</dcterms:created>
  <dcterms:modified xsi:type="dcterms:W3CDTF">2014-11-25T08:31:00Z</dcterms:modified>
</cp:coreProperties>
</file>