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D4" w:rsidRPr="00F15980" w:rsidRDefault="005F060E" w:rsidP="00966E25">
      <w:pPr>
        <w:spacing w:after="0" w:line="360" w:lineRule="auto"/>
        <w:jc w:val="both"/>
        <w:rPr>
          <w:rFonts w:ascii="Georgia" w:hAnsi="Georgia"/>
          <w:b/>
          <w:i/>
          <w:sz w:val="24"/>
          <w:szCs w:val="24"/>
          <w:u w:val="single"/>
        </w:rPr>
      </w:pPr>
      <w:r w:rsidRPr="00F15980">
        <w:rPr>
          <w:rFonts w:ascii="Georgia" w:hAnsi="Georgia"/>
          <w:b/>
          <w:i/>
          <w:sz w:val="24"/>
          <w:szCs w:val="24"/>
          <w:u w:val="single"/>
        </w:rPr>
        <w:t>SERVICE TAX ON PREFERRED LOCATION CHARGES INCLUDING HEIGHT ESCALATION: TAXABLE AT FULL RATE OR ABATEMENT CAN BE CLAIMED?</w:t>
      </w:r>
    </w:p>
    <w:p w:rsidR="005F060E" w:rsidRPr="00207CF2" w:rsidRDefault="005F060E" w:rsidP="00615BBC">
      <w:pPr>
        <w:spacing w:after="0" w:line="240" w:lineRule="auto"/>
        <w:jc w:val="both"/>
        <w:rPr>
          <w:rFonts w:ascii="Georgia" w:hAnsi="Georgia"/>
          <w:b/>
          <w:sz w:val="24"/>
          <w:szCs w:val="24"/>
          <w:u w:val="single"/>
        </w:rPr>
      </w:pPr>
    </w:p>
    <w:p w:rsidR="005F060E" w:rsidRPr="00F84253" w:rsidRDefault="007F36A2" w:rsidP="00AA2112">
      <w:pPr>
        <w:spacing w:after="0" w:line="360" w:lineRule="auto"/>
        <w:rPr>
          <w:rFonts w:ascii="Georgia" w:hAnsi="Georgia"/>
          <w:b/>
          <w:i/>
          <w:sz w:val="20"/>
          <w:szCs w:val="20"/>
        </w:rPr>
      </w:pPr>
      <w:r w:rsidRPr="00F84253">
        <w:rPr>
          <w:rFonts w:ascii="Georgia" w:hAnsi="Georgia"/>
          <w:b/>
          <w:i/>
          <w:sz w:val="20"/>
          <w:szCs w:val="20"/>
        </w:rPr>
        <w:t>By CA Narayan Kr. Agarwal; FCA</w:t>
      </w:r>
      <w:r w:rsidR="00AA2112" w:rsidRPr="00F84253">
        <w:rPr>
          <w:rFonts w:ascii="Georgia" w:hAnsi="Georgia"/>
          <w:b/>
          <w:i/>
          <w:sz w:val="20"/>
          <w:szCs w:val="20"/>
        </w:rPr>
        <w:t xml:space="preserve">                 </w:t>
      </w:r>
      <w:r w:rsidR="00F84253">
        <w:rPr>
          <w:rFonts w:ascii="Georgia" w:hAnsi="Georgia"/>
          <w:b/>
          <w:i/>
          <w:sz w:val="20"/>
          <w:szCs w:val="20"/>
        </w:rPr>
        <w:t xml:space="preserve">          </w:t>
      </w:r>
      <w:r w:rsidR="005F060E" w:rsidRPr="00F84253">
        <w:rPr>
          <w:rFonts w:ascii="Georgia" w:hAnsi="Georgia"/>
          <w:b/>
          <w:i/>
          <w:sz w:val="20"/>
          <w:szCs w:val="20"/>
        </w:rPr>
        <w:t>Email: narayanagarwalca@gmail.com</w:t>
      </w:r>
    </w:p>
    <w:p w:rsidR="005F060E" w:rsidRPr="00207CF2" w:rsidRDefault="005F060E" w:rsidP="00966E25">
      <w:pPr>
        <w:spacing w:after="0" w:line="360" w:lineRule="auto"/>
        <w:jc w:val="right"/>
        <w:rPr>
          <w:rFonts w:ascii="Georgia" w:hAnsi="Georgia"/>
          <w:sz w:val="24"/>
          <w:szCs w:val="24"/>
        </w:rPr>
      </w:pPr>
    </w:p>
    <w:p w:rsidR="00BC3F49" w:rsidRPr="00966E25" w:rsidRDefault="005F060E" w:rsidP="00966E25">
      <w:pPr>
        <w:pStyle w:val="ListParagraph"/>
        <w:numPr>
          <w:ilvl w:val="0"/>
          <w:numId w:val="9"/>
        </w:numPr>
        <w:spacing w:after="0" w:line="360" w:lineRule="auto"/>
        <w:ind w:hanging="720"/>
        <w:jc w:val="both"/>
        <w:rPr>
          <w:rFonts w:ascii="Georgia" w:hAnsi="Georgia"/>
          <w:b/>
          <w:sz w:val="24"/>
          <w:szCs w:val="24"/>
        </w:rPr>
      </w:pPr>
      <w:r w:rsidRPr="004D2235">
        <w:rPr>
          <w:rFonts w:ascii="Georgia" w:hAnsi="Georgia"/>
          <w:b/>
          <w:sz w:val="24"/>
          <w:szCs w:val="24"/>
          <w:u w:val="single"/>
        </w:rPr>
        <w:t>Background</w:t>
      </w:r>
    </w:p>
    <w:p w:rsidR="00207CF2" w:rsidRPr="00207CF2" w:rsidRDefault="00207CF2" w:rsidP="00615BBC">
      <w:pPr>
        <w:spacing w:after="0" w:line="240" w:lineRule="auto"/>
        <w:jc w:val="both"/>
        <w:rPr>
          <w:rFonts w:ascii="Georgia" w:hAnsi="Georgia"/>
          <w:b/>
          <w:sz w:val="24"/>
          <w:szCs w:val="24"/>
        </w:rPr>
      </w:pPr>
    </w:p>
    <w:p w:rsidR="004D2235" w:rsidRDefault="00152875" w:rsidP="003E3A16">
      <w:pPr>
        <w:spacing w:after="0" w:line="360" w:lineRule="auto"/>
        <w:ind w:firstLine="720"/>
        <w:jc w:val="both"/>
        <w:rPr>
          <w:rFonts w:ascii="Georgia" w:hAnsi="Georgia"/>
          <w:iCs/>
          <w:sz w:val="24"/>
          <w:szCs w:val="24"/>
        </w:rPr>
      </w:pPr>
      <w:r>
        <w:rPr>
          <w:rFonts w:ascii="Georgia" w:hAnsi="Georgia"/>
          <w:sz w:val="24"/>
          <w:szCs w:val="24"/>
        </w:rPr>
        <w:t>Service tax on construction has always been a subject matter of various d</w:t>
      </w:r>
      <w:r w:rsidR="00B50A6D">
        <w:rPr>
          <w:rFonts w:ascii="Georgia" w:hAnsi="Georgia"/>
          <w:sz w:val="24"/>
          <w:szCs w:val="24"/>
        </w:rPr>
        <w:t>isputes. Construction</w:t>
      </w:r>
      <w:r>
        <w:rPr>
          <w:rFonts w:ascii="Georgia" w:hAnsi="Georgia"/>
          <w:sz w:val="24"/>
          <w:szCs w:val="24"/>
        </w:rPr>
        <w:t xml:space="preserve"> service was made l</w:t>
      </w:r>
      <w:r w:rsidR="00895BE8">
        <w:rPr>
          <w:rFonts w:ascii="Georgia" w:hAnsi="Georgia"/>
          <w:sz w:val="24"/>
          <w:szCs w:val="24"/>
        </w:rPr>
        <w:t>iable to service tax w.e.f.10.09.2004.</w:t>
      </w:r>
      <w:r>
        <w:rPr>
          <w:rFonts w:ascii="Georgia" w:hAnsi="Georgia"/>
          <w:sz w:val="24"/>
          <w:szCs w:val="24"/>
        </w:rPr>
        <w:t xml:space="preserve"> However, builders/developers were brought in under the net of service tax w.e.f. 01.07.2010 by inserting an explanation to the definition of taxable service as con</w:t>
      </w:r>
      <w:r w:rsidR="00895BE8">
        <w:rPr>
          <w:rFonts w:ascii="Georgia" w:hAnsi="Georgia"/>
          <w:sz w:val="24"/>
          <w:szCs w:val="24"/>
        </w:rPr>
        <w:t>tained under section 65(105</w:t>
      </w:r>
      <w:proofErr w:type="gramStart"/>
      <w:r w:rsidR="00895BE8">
        <w:rPr>
          <w:rFonts w:ascii="Georgia" w:hAnsi="Georgia"/>
          <w:sz w:val="24"/>
          <w:szCs w:val="24"/>
        </w:rPr>
        <w:t>)(</w:t>
      </w:r>
      <w:proofErr w:type="spellStart"/>
      <w:proofErr w:type="gramEnd"/>
      <w:r w:rsidR="00895BE8">
        <w:rPr>
          <w:rFonts w:ascii="Georgia" w:hAnsi="Georgia"/>
          <w:sz w:val="24"/>
          <w:szCs w:val="24"/>
        </w:rPr>
        <w:t>zzzh</w:t>
      </w:r>
      <w:proofErr w:type="spellEnd"/>
      <w:r w:rsidR="00895BE8">
        <w:rPr>
          <w:rFonts w:ascii="Georgia" w:hAnsi="Georgia"/>
          <w:sz w:val="24"/>
          <w:szCs w:val="24"/>
        </w:rPr>
        <w:t>).</w:t>
      </w:r>
      <w:r>
        <w:rPr>
          <w:rFonts w:ascii="Georgia" w:hAnsi="Georgia"/>
          <w:sz w:val="24"/>
          <w:szCs w:val="24"/>
        </w:rPr>
        <w:t xml:space="preserve"> By notification no. 01/2006, an abatement of 75% was given if the cost of the land is included in the value of flat and in other </w:t>
      </w:r>
      <w:proofErr w:type="gramStart"/>
      <w:r>
        <w:rPr>
          <w:rFonts w:ascii="Georgia" w:hAnsi="Georgia"/>
          <w:sz w:val="24"/>
          <w:szCs w:val="24"/>
        </w:rPr>
        <w:t>cases,</w:t>
      </w:r>
      <w:proofErr w:type="gramEnd"/>
      <w:r>
        <w:rPr>
          <w:rFonts w:ascii="Georgia" w:hAnsi="Georgia"/>
          <w:sz w:val="24"/>
          <w:szCs w:val="24"/>
        </w:rPr>
        <w:t xml:space="preserve"> rate of abatement was kept at 67%. </w:t>
      </w:r>
      <w:r w:rsidR="00166E8E">
        <w:rPr>
          <w:rFonts w:ascii="Georgia" w:hAnsi="Georgia"/>
          <w:sz w:val="24"/>
          <w:szCs w:val="24"/>
        </w:rPr>
        <w:t xml:space="preserve">The abatement was subject to the condition that cenvat credit of input, input services or capital goods have not been taken by the service provider. Further, w.e.f. 01.07.2010, a new category of service called as ‘Builders Special Service or Preferred Location Service’ was introduced vide section </w:t>
      </w:r>
      <w:r w:rsidR="00166E8E" w:rsidRPr="00207CF2">
        <w:rPr>
          <w:rFonts w:ascii="Georgia" w:hAnsi="Georgia"/>
          <w:iCs/>
          <w:sz w:val="24"/>
          <w:szCs w:val="24"/>
        </w:rPr>
        <w:t>65(105</w:t>
      </w:r>
      <w:proofErr w:type="gramStart"/>
      <w:r w:rsidR="00166E8E" w:rsidRPr="00207CF2">
        <w:rPr>
          <w:rFonts w:ascii="Georgia" w:hAnsi="Georgia"/>
          <w:iCs/>
          <w:sz w:val="24"/>
          <w:szCs w:val="24"/>
        </w:rPr>
        <w:t>)(</w:t>
      </w:r>
      <w:proofErr w:type="spellStart"/>
      <w:proofErr w:type="gramEnd"/>
      <w:r w:rsidR="00166E8E" w:rsidRPr="00207CF2">
        <w:rPr>
          <w:rFonts w:ascii="Georgia" w:hAnsi="Georgia"/>
          <w:iCs/>
          <w:sz w:val="24"/>
          <w:szCs w:val="24"/>
        </w:rPr>
        <w:t>zzzzu</w:t>
      </w:r>
      <w:proofErr w:type="spellEnd"/>
      <w:r w:rsidR="00166E8E" w:rsidRPr="00207CF2">
        <w:rPr>
          <w:rFonts w:ascii="Georgia" w:hAnsi="Georgia"/>
          <w:iCs/>
          <w:sz w:val="24"/>
          <w:szCs w:val="24"/>
        </w:rPr>
        <w:t>) of the Finance Act’1994</w:t>
      </w:r>
      <w:r w:rsidR="00166E8E">
        <w:rPr>
          <w:rFonts w:ascii="Georgia" w:hAnsi="Georgia"/>
          <w:iCs/>
          <w:sz w:val="24"/>
          <w:szCs w:val="24"/>
        </w:rPr>
        <w:t xml:space="preserve">. </w:t>
      </w:r>
      <w:r w:rsidR="004D2235">
        <w:rPr>
          <w:rFonts w:ascii="Georgia" w:hAnsi="Georgia"/>
          <w:iCs/>
          <w:sz w:val="24"/>
          <w:szCs w:val="24"/>
        </w:rPr>
        <w:t>Relevant provisions as it existed up to 30.06.2012 are as follows:</w:t>
      </w:r>
    </w:p>
    <w:p w:rsidR="004D2235" w:rsidRDefault="004D2235" w:rsidP="003E3A16">
      <w:pPr>
        <w:spacing w:after="0" w:line="360" w:lineRule="auto"/>
        <w:ind w:firstLine="720"/>
        <w:jc w:val="both"/>
        <w:rPr>
          <w:rFonts w:ascii="Georgia" w:hAnsi="Georgia"/>
          <w:iCs/>
          <w:sz w:val="24"/>
          <w:szCs w:val="24"/>
        </w:rPr>
      </w:pPr>
    </w:p>
    <w:p w:rsidR="00166E8E" w:rsidRPr="00166E8E" w:rsidRDefault="00166E8E" w:rsidP="00166E8E">
      <w:pPr>
        <w:spacing w:after="0" w:line="360" w:lineRule="auto"/>
        <w:ind w:firstLine="720"/>
        <w:jc w:val="both"/>
        <w:rPr>
          <w:rFonts w:ascii="Georgia" w:hAnsi="Georgia"/>
          <w:i/>
          <w:iCs/>
          <w:sz w:val="24"/>
          <w:szCs w:val="24"/>
        </w:rPr>
      </w:pPr>
      <w:r w:rsidRPr="00166E8E">
        <w:rPr>
          <w:rFonts w:ascii="Georgia" w:hAnsi="Georgia"/>
          <w:i/>
          <w:iCs/>
          <w:sz w:val="24"/>
          <w:szCs w:val="24"/>
        </w:rPr>
        <w:t xml:space="preserve">“taxable service is any service provided or to be provided to a buyer, by a builder of a residential complex, or a commercial complex, or any other person </w:t>
      </w:r>
      <w:proofErr w:type="spellStart"/>
      <w:r w:rsidRPr="00166E8E">
        <w:rPr>
          <w:rFonts w:ascii="Georgia" w:hAnsi="Georgia"/>
          <w:i/>
          <w:iCs/>
          <w:sz w:val="24"/>
          <w:szCs w:val="24"/>
        </w:rPr>
        <w:t>authorised</w:t>
      </w:r>
      <w:proofErr w:type="spellEnd"/>
      <w:r w:rsidRPr="00166E8E">
        <w:rPr>
          <w:rFonts w:ascii="Georgia" w:hAnsi="Georgia"/>
          <w:i/>
          <w:iCs/>
          <w:sz w:val="24"/>
          <w:szCs w:val="24"/>
        </w:rPr>
        <w:t xml:space="preserve"> by such builder, for providing preferential location or development of such complex but does not include services covered under sub-clauses (zzg), (zzq), (</w:t>
      </w:r>
      <w:proofErr w:type="spellStart"/>
      <w:r w:rsidRPr="00166E8E">
        <w:rPr>
          <w:rFonts w:ascii="Georgia" w:hAnsi="Georgia"/>
          <w:i/>
          <w:iCs/>
          <w:sz w:val="24"/>
          <w:szCs w:val="24"/>
        </w:rPr>
        <w:t>zzzh</w:t>
      </w:r>
      <w:proofErr w:type="spellEnd"/>
      <w:r w:rsidRPr="00166E8E">
        <w:rPr>
          <w:rFonts w:ascii="Georgia" w:hAnsi="Georgia"/>
          <w:i/>
          <w:iCs/>
          <w:sz w:val="24"/>
          <w:szCs w:val="24"/>
        </w:rPr>
        <w:t>) and in relation to parking place.”</w:t>
      </w:r>
    </w:p>
    <w:p w:rsidR="00166E8E" w:rsidRDefault="00166E8E" w:rsidP="00166E8E">
      <w:pPr>
        <w:spacing w:after="0" w:line="360" w:lineRule="auto"/>
        <w:ind w:firstLine="720"/>
        <w:jc w:val="both"/>
        <w:rPr>
          <w:rFonts w:ascii="Georgia" w:hAnsi="Georgia"/>
          <w:b/>
          <w:i/>
          <w:iCs/>
          <w:sz w:val="24"/>
          <w:szCs w:val="24"/>
        </w:rPr>
      </w:pPr>
    </w:p>
    <w:p w:rsidR="00166E8E" w:rsidRPr="00207CF2" w:rsidRDefault="00166E8E" w:rsidP="00166E8E">
      <w:pPr>
        <w:spacing w:after="0" w:line="360" w:lineRule="auto"/>
        <w:ind w:firstLine="720"/>
        <w:jc w:val="both"/>
        <w:rPr>
          <w:rFonts w:ascii="Georgia" w:hAnsi="Georgia"/>
          <w:i/>
          <w:iCs/>
          <w:sz w:val="24"/>
          <w:szCs w:val="24"/>
        </w:rPr>
      </w:pPr>
      <w:proofErr w:type="gramStart"/>
      <w:r w:rsidRPr="00207CF2">
        <w:rPr>
          <w:rFonts w:ascii="Georgia" w:hAnsi="Georgia"/>
          <w:b/>
          <w:i/>
          <w:iCs/>
          <w:sz w:val="24"/>
          <w:szCs w:val="24"/>
        </w:rPr>
        <w:t>Explanation.</w:t>
      </w:r>
      <w:proofErr w:type="gramEnd"/>
      <w:r w:rsidRPr="00207CF2">
        <w:rPr>
          <w:rFonts w:ascii="Georgia" w:hAnsi="Georgia"/>
          <w:i/>
          <w:iCs/>
          <w:sz w:val="24"/>
          <w:szCs w:val="24"/>
        </w:rPr>
        <w:t xml:space="preserve"> — For the purposes of this sub-clause, ‘‘preferential location’’ means any location having extra advantage which attracts extra payment over and above the basic sale price;</w:t>
      </w:r>
    </w:p>
    <w:p w:rsidR="00152875" w:rsidRDefault="00152875" w:rsidP="00966E25">
      <w:pPr>
        <w:spacing w:after="0" w:line="360" w:lineRule="auto"/>
        <w:ind w:firstLine="720"/>
        <w:jc w:val="both"/>
        <w:rPr>
          <w:rFonts w:ascii="Georgia" w:hAnsi="Georgia"/>
          <w:sz w:val="24"/>
          <w:szCs w:val="24"/>
        </w:rPr>
      </w:pPr>
    </w:p>
    <w:p w:rsidR="0056173D" w:rsidRDefault="0056173D" w:rsidP="0056173D">
      <w:pPr>
        <w:pStyle w:val="bodytext"/>
        <w:spacing w:before="0" w:beforeAutospacing="0" w:after="0" w:afterAutospacing="0" w:line="360" w:lineRule="auto"/>
        <w:ind w:firstLine="720"/>
        <w:jc w:val="both"/>
        <w:rPr>
          <w:rFonts w:ascii="Georgia" w:hAnsi="Georgia"/>
        </w:rPr>
      </w:pPr>
      <w:r>
        <w:rPr>
          <w:rFonts w:ascii="Georgia" w:hAnsi="Georgia" w:cs="Helvetica"/>
          <w:color w:val="000000"/>
        </w:rPr>
        <w:t>“P</w:t>
      </w:r>
      <w:r>
        <w:rPr>
          <w:rFonts w:ascii="Georgia" w:hAnsi="Georgia"/>
          <w:iCs/>
        </w:rPr>
        <w:t xml:space="preserve">referential location’’ means any location having extra advantage which attracts extra payment over and above the basic sale price. Thus extra amounts charged towards flats south facing, garden facing, </w:t>
      </w:r>
      <w:proofErr w:type="spellStart"/>
      <w:r>
        <w:rPr>
          <w:rFonts w:ascii="Georgia" w:hAnsi="Georgia"/>
          <w:i/>
          <w:iCs/>
        </w:rPr>
        <w:t>vastu</w:t>
      </w:r>
      <w:proofErr w:type="spellEnd"/>
      <w:r>
        <w:rPr>
          <w:rFonts w:ascii="Georgia" w:hAnsi="Georgia"/>
          <w:iCs/>
        </w:rPr>
        <w:t xml:space="preserve"> compliant etc. or extra </w:t>
      </w:r>
      <w:r>
        <w:rPr>
          <w:rFonts w:ascii="Georgia" w:hAnsi="Georgia"/>
          <w:iCs/>
        </w:rPr>
        <w:lastRenderedPageBreak/>
        <w:t xml:space="preserve">charges collected towards some internal development/facility are covered under this category and </w:t>
      </w:r>
      <w:r w:rsidRPr="0056173D">
        <w:rPr>
          <w:rFonts w:ascii="Georgia" w:hAnsi="Georgia"/>
          <w:b/>
          <w:iCs/>
        </w:rPr>
        <w:t>liable to full rate of service tax without any abatement.</w:t>
      </w:r>
      <w:r>
        <w:rPr>
          <w:rFonts w:ascii="Georgia" w:hAnsi="Georgia"/>
          <w:iCs/>
        </w:rPr>
        <w:t xml:space="preserve"> </w:t>
      </w:r>
    </w:p>
    <w:p w:rsidR="0056173D" w:rsidRDefault="0056173D" w:rsidP="00966E25">
      <w:pPr>
        <w:spacing w:after="0" w:line="360" w:lineRule="auto"/>
        <w:ind w:firstLine="720"/>
        <w:jc w:val="both"/>
        <w:rPr>
          <w:rFonts w:ascii="Georgia" w:hAnsi="Georgia"/>
          <w:sz w:val="24"/>
          <w:szCs w:val="24"/>
        </w:rPr>
      </w:pPr>
    </w:p>
    <w:p w:rsidR="00166E8E" w:rsidRPr="004D2235" w:rsidRDefault="00166E8E" w:rsidP="00166E8E">
      <w:pPr>
        <w:pStyle w:val="ListParagraph"/>
        <w:numPr>
          <w:ilvl w:val="0"/>
          <w:numId w:val="9"/>
        </w:numPr>
        <w:spacing w:after="0" w:line="360" w:lineRule="auto"/>
        <w:ind w:hanging="720"/>
        <w:jc w:val="both"/>
        <w:rPr>
          <w:rFonts w:ascii="Georgia" w:hAnsi="Georgia"/>
          <w:b/>
          <w:sz w:val="24"/>
          <w:szCs w:val="24"/>
          <w:u w:val="single"/>
        </w:rPr>
      </w:pPr>
      <w:r w:rsidRPr="004D2235">
        <w:rPr>
          <w:rFonts w:ascii="Georgia" w:hAnsi="Georgia"/>
          <w:b/>
          <w:sz w:val="24"/>
          <w:szCs w:val="24"/>
          <w:u w:val="single"/>
        </w:rPr>
        <w:t>Departmental Clarification</w:t>
      </w:r>
    </w:p>
    <w:p w:rsidR="00166E8E" w:rsidRPr="00207CF2" w:rsidRDefault="00166E8E" w:rsidP="00615BBC">
      <w:pPr>
        <w:spacing w:after="0" w:line="240" w:lineRule="auto"/>
        <w:jc w:val="both"/>
        <w:rPr>
          <w:rFonts w:ascii="Georgia" w:hAnsi="Georgia"/>
          <w:sz w:val="24"/>
          <w:szCs w:val="24"/>
        </w:rPr>
      </w:pPr>
    </w:p>
    <w:p w:rsidR="00166E8E" w:rsidRDefault="00166E8E" w:rsidP="00166E8E">
      <w:pPr>
        <w:spacing w:after="0" w:line="360" w:lineRule="auto"/>
        <w:ind w:firstLine="720"/>
        <w:jc w:val="both"/>
        <w:rPr>
          <w:rFonts w:ascii="Georgia" w:hAnsi="Georgia"/>
          <w:sz w:val="24"/>
          <w:szCs w:val="24"/>
        </w:rPr>
      </w:pPr>
      <w:r w:rsidRPr="00207CF2">
        <w:rPr>
          <w:rFonts w:ascii="Georgia" w:hAnsi="Georgia"/>
          <w:sz w:val="24"/>
          <w:szCs w:val="24"/>
        </w:rPr>
        <w:t xml:space="preserve">Department issued a detailed clarification vide </w:t>
      </w:r>
      <w:proofErr w:type="spellStart"/>
      <w:r w:rsidRPr="00207CF2">
        <w:rPr>
          <w:rFonts w:ascii="Georgia" w:hAnsi="Georgia"/>
          <w:sz w:val="24"/>
          <w:szCs w:val="24"/>
        </w:rPr>
        <w:t>F.No</w:t>
      </w:r>
      <w:proofErr w:type="spellEnd"/>
      <w:r w:rsidRPr="00207CF2">
        <w:rPr>
          <w:rFonts w:ascii="Georgia" w:hAnsi="Georgia"/>
          <w:sz w:val="24"/>
          <w:szCs w:val="24"/>
        </w:rPr>
        <w:t xml:space="preserve"> 334/1/2010-TRU dated 26.02.2010 explaining the rationale behind bringing Preferential location charges within the purview of service tax.</w:t>
      </w:r>
      <w:r w:rsidR="00712117">
        <w:rPr>
          <w:rFonts w:ascii="Georgia" w:hAnsi="Georgia"/>
          <w:sz w:val="24"/>
          <w:szCs w:val="24"/>
        </w:rPr>
        <w:t xml:space="preserve"> It clarifies that following charges will be covered under this category:-</w:t>
      </w:r>
    </w:p>
    <w:p w:rsidR="00712117" w:rsidRPr="00207CF2" w:rsidRDefault="00712117" w:rsidP="00615BBC">
      <w:pPr>
        <w:spacing w:after="0" w:line="240" w:lineRule="auto"/>
        <w:ind w:firstLine="720"/>
        <w:jc w:val="both"/>
        <w:rPr>
          <w:rFonts w:ascii="Georgia" w:hAnsi="Georgia"/>
          <w:sz w:val="24"/>
          <w:szCs w:val="24"/>
        </w:rPr>
      </w:pPr>
    </w:p>
    <w:p w:rsidR="00166E8E" w:rsidRPr="00207CF2" w:rsidRDefault="00166E8E" w:rsidP="00166E8E">
      <w:pPr>
        <w:pStyle w:val="bodytext"/>
        <w:numPr>
          <w:ilvl w:val="0"/>
          <w:numId w:val="6"/>
        </w:numPr>
        <w:spacing w:before="0" w:beforeAutospacing="0" w:after="0" w:afterAutospacing="0" w:line="360" w:lineRule="auto"/>
        <w:ind w:left="990"/>
        <w:jc w:val="both"/>
        <w:rPr>
          <w:rFonts w:ascii="Georgia" w:hAnsi="Georgia"/>
          <w:iCs/>
        </w:rPr>
      </w:pPr>
      <w:r w:rsidRPr="00207CF2">
        <w:rPr>
          <w:rFonts w:ascii="Georgia" w:hAnsi="Georgia"/>
          <w:iCs/>
        </w:rPr>
        <w:t xml:space="preserve">prime/preferential location charges for allotting a flat/commercial space according to the choice of the buyer (i.e. Direction- sea facing, park facing, corner flat; Floor- first floor, top floor, </w:t>
      </w:r>
      <w:proofErr w:type="spellStart"/>
      <w:r w:rsidRPr="00207CF2">
        <w:rPr>
          <w:rFonts w:ascii="Georgia" w:hAnsi="Georgia"/>
          <w:iCs/>
        </w:rPr>
        <w:t>Vastu</w:t>
      </w:r>
      <w:proofErr w:type="spellEnd"/>
      <w:r w:rsidRPr="00207CF2">
        <w:rPr>
          <w:rFonts w:ascii="Georgia" w:hAnsi="Georgia"/>
          <w:iCs/>
        </w:rPr>
        <w:t>-  having the bed room in a particular direction; Number- lucky numbers)</w:t>
      </w:r>
    </w:p>
    <w:p w:rsidR="00166E8E" w:rsidRPr="00207CF2" w:rsidRDefault="00166E8E" w:rsidP="00166E8E">
      <w:pPr>
        <w:pStyle w:val="bodytext"/>
        <w:numPr>
          <w:ilvl w:val="0"/>
          <w:numId w:val="6"/>
        </w:numPr>
        <w:spacing w:before="0" w:beforeAutospacing="0" w:after="0" w:afterAutospacing="0" w:line="360" w:lineRule="auto"/>
        <w:ind w:left="990"/>
        <w:jc w:val="both"/>
        <w:rPr>
          <w:rFonts w:ascii="Georgia" w:hAnsi="Georgia"/>
          <w:iCs/>
        </w:rPr>
      </w:pPr>
      <w:r w:rsidRPr="00207CF2">
        <w:rPr>
          <w:rFonts w:ascii="Georgia" w:hAnsi="Georgia"/>
          <w:iCs/>
        </w:rPr>
        <w:t xml:space="preserve">internal or external development charges which are collected for developing/maintaining parks, laying of sewerage and water pipelines, providing access roads and common lighting </w:t>
      </w:r>
      <w:proofErr w:type="spellStart"/>
      <w:r w:rsidRPr="00207CF2">
        <w:rPr>
          <w:rFonts w:ascii="Georgia" w:hAnsi="Georgia"/>
          <w:iCs/>
        </w:rPr>
        <w:t>etc</w:t>
      </w:r>
      <w:proofErr w:type="spellEnd"/>
      <w:r w:rsidRPr="00207CF2">
        <w:rPr>
          <w:rFonts w:ascii="Georgia" w:hAnsi="Georgia"/>
          <w:iCs/>
        </w:rPr>
        <w:t>;</w:t>
      </w:r>
    </w:p>
    <w:p w:rsidR="00166E8E" w:rsidRPr="00207CF2" w:rsidRDefault="00166E8E" w:rsidP="00166E8E">
      <w:pPr>
        <w:pStyle w:val="bodytext"/>
        <w:numPr>
          <w:ilvl w:val="0"/>
          <w:numId w:val="6"/>
        </w:numPr>
        <w:spacing w:before="0" w:beforeAutospacing="0" w:after="0" w:afterAutospacing="0" w:line="360" w:lineRule="auto"/>
        <w:ind w:left="990"/>
        <w:jc w:val="both"/>
        <w:rPr>
          <w:rFonts w:ascii="Georgia" w:hAnsi="Georgia"/>
          <w:iCs/>
        </w:rPr>
      </w:pPr>
      <w:r w:rsidRPr="00207CF2">
        <w:rPr>
          <w:rFonts w:ascii="Georgia" w:hAnsi="Georgia"/>
          <w:iCs/>
        </w:rPr>
        <w:t>fire-fighting installation charges</w:t>
      </w:r>
    </w:p>
    <w:p w:rsidR="00166E8E" w:rsidRPr="00207CF2" w:rsidRDefault="00166E8E" w:rsidP="00166E8E">
      <w:pPr>
        <w:pStyle w:val="bodytext"/>
        <w:numPr>
          <w:ilvl w:val="0"/>
          <w:numId w:val="6"/>
        </w:numPr>
        <w:spacing w:before="0" w:beforeAutospacing="0" w:after="0" w:afterAutospacing="0" w:line="360" w:lineRule="auto"/>
        <w:ind w:left="990"/>
        <w:jc w:val="both"/>
        <w:rPr>
          <w:rFonts w:ascii="Georgia" w:hAnsi="Georgia"/>
          <w:iCs/>
        </w:rPr>
      </w:pPr>
      <w:r w:rsidRPr="00207CF2">
        <w:rPr>
          <w:rFonts w:ascii="Georgia" w:hAnsi="Georgia"/>
          <w:iCs/>
        </w:rPr>
        <w:t xml:space="preserve">Power back up charges etc. </w:t>
      </w:r>
    </w:p>
    <w:p w:rsidR="00152875" w:rsidRDefault="00152875" w:rsidP="00615BBC">
      <w:pPr>
        <w:spacing w:after="0" w:line="240" w:lineRule="auto"/>
        <w:ind w:firstLine="720"/>
        <w:jc w:val="both"/>
        <w:rPr>
          <w:rFonts w:ascii="Georgia" w:hAnsi="Georgia"/>
          <w:sz w:val="24"/>
          <w:szCs w:val="24"/>
        </w:rPr>
      </w:pPr>
    </w:p>
    <w:p w:rsidR="00152875" w:rsidRDefault="0056173D" w:rsidP="00966E25">
      <w:pPr>
        <w:spacing w:after="0" w:line="360" w:lineRule="auto"/>
        <w:ind w:firstLine="720"/>
        <w:jc w:val="both"/>
        <w:rPr>
          <w:rFonts w:ascii="Georgia" w:hAnsi="Georgia"/>
          <w:sz w:val="24"/>
          <w:szCs w:val="24"/>
        </w:rPr>
      </w:pPr>
      <w:r>
        <w:rPr>
          <w:rFonts w:ascii="Georgia" w:hAnsi="Georgia"/>
          <w:sz w:val="24"/>
          <w:szCs w:val="24"/>
        </w:rPr>
        <w:t xml:space="preserve">Accordingly, service tax became applicable on these charges at full rate without any abatement. </w:t>
      </w:r>
    </w:p>
    <w:p w:rsidR="00152875" w:rsidRDefault="00152875" w:rsidP="00966E25">
      <w:pPr>
        <w:spacing w:after="0" w:line="360" w:lineRule="auto"/>
        <w:ind w:firstLine="720"/>
        <w:jc w:val="both"/>
        <w:rPr>
          <w:rFonts w:ascii="Georgia" w:hAnsi="Georgia"/>
          <w:sz w:val="24"/>
          <w:szCs w:val="24"/>
        </w:rPr>
      </w:pPr>
    </w:p>
    <w:p w:rsidR="004D2235" w:rsidRPr="004D2235" w:rsidRDefault="004D2235" w:rsidP="004D2235">
      <w:pPr>
        <w:pStyle w:val="ListParagraph"/>
        <w:numPr>
          <w:ilvl w:val="0"/>
          <w:numId w:val="9"/>
        </w:numPr>
        <w:spacing w:after="0" w:line="360" w:lineRule="auto"/>
        <w:ind w:hanging="720"/>
        <w:jc w:val="both"/>
        <w:rPr>
          <w:rFonts w:ascii="Georgia" w:hAnsi="Georgia"/>
          <w:b/>
          <w:sz w:val="24"/>
          <w:szCs w:val="24"/>
          <w:u w:val="single"/>
        </w:rPr>
      </w:pPr>
      <w:r w:rsidRPr="004D2235">
        <w:rPr>
          <w:rFonts w:ascii="Georgia" w:hAnsi="Georgia"/>
          <w:b/>
          <w:sz w:val="24"/>
          <w:szCs w:val="24"/>
          <w:u w:val="single"/>
        </w:rPr>
        <w:t>Position in Post Negative List Era</w:t>
      </w:r>
    </w:p>
    <w:p w:rsidR="004D2235" w:rsidRDefault="004D2235" w:rsidP="00615BBC">
      <w:pPr>
        <w:spacing w:after="0" w:line="240" w:lineRule="auto"/>
        <w:ind w:firstLine="720"/>
        <w:jc w:val="both"/>
        <w:rPr>
          <w:rFonts w:ascii="Georgia" w:hAnsi="Georgia"/>
          <w:sz w:val="24"/>
          <w:szCs w:val="24"/>
        </w:rPr>
      </w:pPr>
    </w:p>
    <w:p w:rsidR="00152875" w:rsidRDefault="00895BE8" w:rsidP="00966E25">
      <w:pPr>
        <w:spacing w:after="0" w:line="360" w:lineRule="auto"/>
        <w:ind w:firstLine="720"/>
        <w:jc w:val="both"/>
        <w:rPr>
          <w:rFonts w:ascii="Georgia" w:hAnsi="Georgia"/>
          <w:sz w:val="24"/>
          <w:szCs w:val="24"/>
        </w:rPr>
      </w:pPr>
      <w:r w:rsidRPr="00895BE8">
        <w:rPr>
          <w:rFonts w:ascii="Georgia" w:hAnsi="Georgia"/>
          <w:sz w:val="24"/>
          <w:szCs w:val="24"/>
        </w:rPr>
        <w:t>Concept of Negative List based taxation of services was introduced from 01.07.2012 in order to put an end to all disputes relating to classification of services, interpretation of various definition of taxable services etc. and the service tax codes were also withdrawn. However, vide a Circular No. 165/16/2012-ST, dated 20.11.2012, service specific accounting codes have been restored and reason given for such restoration is statistical purpose.</w:t>
      </w:r>
      <w:r>
        <w:rPr>
          <w:rFonts w:ascii="Georgia" w:hAnsi="Georgia"/>
          <w:sz w:val="24"/>
          <w:szCs w:val="24"/>
        </w:rPr>
        <w:t xml:space="preserve"> The</w:t>
      </w:r>
      <w:r w:rsidR="004D2235">
        <w:rPr>
          <w:rFonts w:ascii="Georgia" w:hAnsi="Georgia"/>
          <w:sz w:val="24"/>
          <w:szCs w:val="24"/>
        </w:rPr>
        <w:t xml:space="preserve"> concept of positive list or selective approach of taxing services had resulted in a lot of classification and interpretational issues and litigations. Therefore, to bring clarity and transparency in service tax, concept of negative list based taxation of service was introduced</w:t>
      </w:r>
      <w:r>
        <w:rPr>
          <w:rFonts w:ascii="Georgia" w:hAnsi="Georgia"/>
          <w:sz w:val="24"/>
          <w:szCs w:val="24"/>
        </w:rPr>
        <w:t>.</w:t>
      </w:r>
      <w:r w:rsidR="004D2235">
        <w:rPr>
          <w:rFonts w:ascii="Georgia" w:hAnsi="Georgia"/>
          <w:sz w:val="24"/>
          <w:szCs w:val="24"/>
        </w:rPr>
        <w:t xml:space="preserve"> Negative list based approach means that all services except services mentioned in the negative list or services specifically exempted, all other services are liable to service tax. Hence, all </w:t>
      </w:r>
      <w:r w:rsidR="004D2235">
        <w:rPr>
          <w:rFonts w:ascii="Georgia" w:hAnsi="Georgia"/>
          <w:sz w:val="24"/>
          <w:szCs w:val="24"/>
        </w:rPr>
        <w:lastRenderedPageBreak/>
        <w:t>definitions of taxable services became in-applicable w.e.f. 01.07.2012. However, some services have been specifically covered as ‘declared services’ under section 66E.</w:t>
      </w:r>
    </w:p>
    <w:p w:rsidR="004D2235" w:rsidRDefault="004D2235" w:rsidP="00966E25">
      <w:pPr>
        <w:spacing w:after="0" w:line="360" w:lineRule="auto"/>
        <w:ind w:firstLine="720"/>
        <w:jc w:val="both"/>
        <w:rPr>
          <w:rFonts w:ascii="Georgia" w:hAnsi="Georgia"/>
          <w:sz w:val="24"/>
          <w:szCs w:val="24"/>
        </w:rPr>
      </w:pPr>
    </w:p>
    <w:p w:rsidR="004D2235" w:rsidRDefault="004D2235" w:rsidP="004D2235">
      <w:pPr>
        <w:spacing w:after="0" w:line="360" w:lineRule="auto"/>
        <w:ind w:firstLine="720"/>
        <w:jc w:val="both"/>
        <w:rPr>
          <w:rFonts w:ascii="Georgia" w:hAnsi="Georgia"/>
          <w:sz w:val="24"/>
          <w:szCs w:val="24"/>
        </w:rPr>
      </w:pPr>
      <w:r w:rsidRPr="00207CF2">
        <w:rPr>
          <w:rFonts w:ascii="Georgia" w:hAnsi="Georgia"/>
          <w:sz w:val="24"/>
          <w:szCs w:val="24"/>
        </w:rPr>
        <w:t xml:space="preserve">Clause (b) of Section 66E i.e. ‘Declared Services’ covers ‘Construction of a complex, building, civil structure or a part thereof including a complex or building intended for sale to a buyer’. </w:t>
      </w:r>
      <w:r w:rsidRPr="00AA2112">
        <w:rPr>
          <w:rFonts w:ascii="Georgia" w:hAnsi="Georgia"/>
          <w:b/>
          <w:sz w:val="24"/>
          <w:szCs w:val="24"/>
        </w:rPr>
        <w:t>PLC is not separately included under declared service.</w:t>
      </w:r>
    </w:p>
    <w:p w:rsidR="00B2589A" w:rsidRPr="00207CF2" w:rsidRDefault="00B2589A" w:rsidP="00615BBC">
      <w:pPr>
        <w:pStyle w:val="ListParagraph"/>
        <w:spacing w:after="0" w:line="240" w:lineRule="auto"/>
        <w:jc w:val="both"/>
        <w:rPr>
          <w:rFonts w:ascii="Georgia" w:hAnsi="Georgia"/>
          <w:b/>
          <w:i/>
          <w:sz w:val="24"/>
          <w:szCs w:val="24"/>
        </w:rPr>
      </w:pPr>
    </w:p>
    <w:p w:rsidR="005F060E" w:rsidRPr="00207CF2" w:rsidRDefault="00B2589A" w:rsidP="00966E25">
      <w:pPr>
        <w:pStyle w:val="ListParagraph"/>
        <w:numPr>
          <w:ilvl w:val="0"/>
          <w:numId w:val="9"/>
        </w:numPr>
        <w:spacing w:after="0" w:line="360" w:lineRule="auto"/>
        <w:ind w:hanging="720"/>
        <w:jc w:val="both"/>
        <w:rPr>
          <w:rFonts w:ascii="Georgia" w:hAnsi="Georgia"/>
          <w:b/>
          <w:sz w:val="24"/>
          <w:szCs w:val="24"/>
        </w:rPr>
      </w:pPr>
      <w:r w:rsidRPr="00AA2112">
        <w:rPr>
          <w:rFonts w:ascii="Georgia" w:hAnsi="Georgia"/>
          <w:b/>
          <w:sz w:val="24"/>
          <w:szCs w:val="24"/>
          <w:u w:val="single"/>
        </w:rPr>
        <w:t>Concept of Bundled Service</w:t>
      </w:r>
    </w:p>
    <w:p w:rsidR="00C91BEA" w:rsidRPr="00207CF2" w:rsidRDefault="00C91BEA" w:rsidP="00615BBC">
      <w:pPr>
        <w:spacing w:after="0" w:line="240" w:lineRule="auto"/>
        <w:jc w:val="both"/>
        <w:rPr>
          <w:rFonts w:ascii="Georgia" w:hAnsi="Georgia"/>
          <w:b/>
          <w:sz w:val="24"/>
          <w:szCs w:val="24"/>
        </w:rPr>
      </w:pPr>
    </w:p>
    <w:p w:rsidR="00AA2112" w:rsidRPr="00AA2112" w:rsidRDefault="00AA2112" w:rsidP="00AA2112">
      <w:pPr>
        <w:spacing w:after="0" w:line="360" w:lineRule="auto"/>
        <w:ind w:firstLine="720"/>
        <w:jc w:val="both"/>
        <w:rPr>
          <w:rFonts w:ascii="Georgia" w:hAnsi="Georgia"/>
          <w:bCs/>
          <w:iCs/>
          <w:sz w:val="24"/>
          <w:szCs w:val="24"/>
        </w:rPr>
      </w:pPr>
      <w:r w:rsidRPr="00AA2112">
        <w:rPr>
          <w:rFonts w:ascii="Georgia" w:hAnsi="Georgia"/>
          <w:bCs/>
          <w:iCs/>
          <w:sz w:val="24"/>
          <w:szCs w:val="24"/>
        </w:rPr>
        <w:t>As per Section 66F (3) the taxability of bundled service will be determined in the following manner:</w:t>
      </w:r>
    </w:p>
    <w:p w:rsidR="00AA2112" w:rsidRPr="00AA2112" w:rsidRDefault="00AA2112" w:rsidP="00615BBC">
      <w:pPr>
        <w:spacing w:after="0" w:line="240" w:lineRule="auto"/>
        <w:ind w:firstLine="720"/>
        <w:jc w:val="both"/>
        <w:rPr>
          <w:rFonts w:ascii="Georgia" w:hAnsi="Georgia"/>
          <w:sz w:val="24"/>
          <w:szCs w:val="24"/>
        </w:rPr>
      </w:pPr>
    </w:p>
    <w:p w:rsidR="00AA2112" w:rsidRPr="00207CF2" w:rsidRDefault="00AA2112" w:rsidP="00AA2112">
      <w:pPr>
        <w:widowControl w:val="0"/>
        <w:numPr>
          <w:ilvl w:val="0"/>
          <w:numId w:val="5"/>
        </w:numPr>
        <w:adjustRightInd w:val="0"/>
        <w:spacing w:after="0" w:line="360" w:lineRule="auto"/>
        <w:ind w:left="1170" w:hanging="630"/>
        <w:jc w:val="both"/>
        <w:rPr>
          <w:rFonts w:cs="Times New Roman"/>
          <w:i/>
          <w:color w:val="3333FF"/>
          <w:sz w:val="24"/>
          <w:szCs w:val="24"/>
        </w:rPr>
      </w:pPr>
      <w:proofErr w:type="gramStart"/>
      <w:r w:rsidRPr="00207CF2">
        <w:rPr>
          <w:rFonts w:ascii="Georgia" w:hAnsi="Georgia" w:cs="Times New Roman"/>
          <w:bCs/>
          <w:i/>
          <w:iCs/>
          <w:sz w:val="24"/>
          <w:szCs w:val="24"/>
        </w:rPr>
        <w:t>if</w:t>
      </w:r>
      <w:proofErr w:type="gramEnd"/>
      <w:r w:rsidRPr="00207CF2">
        <w:rPr>
          <w:rFonts w:ascii="Georgia" w:hAnsi="Georgia" w:cs="Times New Roman"/>
          <w:bCs/>
          <w:i/>
          <w:iCs/>
          <w:sz w:val="24"/>
          <w:szCs w:val="24"/>
        </w:rPr>
        <w:t xml:space="preserve"> various elements of such service are </w:t>
      </w:r>
      <w:r w:rsidRPr="00AA2112">
        <w:rPr>
          <w:rFonts w:ascii="Georgia" w:hAnsi="Georgia" w:cs="Times New Roman"/>
          <w:b/>
          <w:bCs/>
          <w:i/>
          <w:iCs/>
          <w:sz w:val="24"/>
          <w:szCs w:val="24"/>
        </w:rPr>
        <w:t>naturally bundled</w:t>
      </w:r>
      <w:r w:rsidRPr="00207CF2">
        <w:rPr>
          <w:rFonts w:ascii="Georgia" w:hAnsi="Georgia" w:cs="Times New Roman"/>
          <w:bCs/>
          <w:i/>
          <w:iCs/>
          <w:sz w:val="24"/>
          <w:szCs w:val="24"/>
        </w:rPr>
        <w:t xml:space="preserve"> in the ordinary course of business, it shall be treated as provision of the single service which gives such bundle its essential character.</w:t>
      </w:r>
    </w:p>
    <w:p w:rsidR="00AA2112" w:rsidRPr="00207CF2" w:rsidRDefault="00AA2112" w:rsidP="00AA2112">
      <w:pPr>
        <w:widowControl w:val="0"/>
        <w:numPr>
          <w:ilvl w:val="0"/>
          <w:numId w:val="5"/>
        </w:numPr>
        <w:adjustRightInd w:val="0"/>
        <w:spacing w:after="0" w:line="360" w:lineRule="auto"/>
        <w:ind w:left="1170" w:hanging="630"/>
        <w:jc w:val="both"/>
        <w:rPr>
          <w:rFonts w:ascii="Georgia" w:hAnsi="Georgia" w:cs="Times New Roman"/>
          <w:bCs/>
          <w:i/>
          <w:iCs/>
          <w:sz w:val="24"/>
          <w:szCs w:val="24"/>
        </w:rPr>
      </w:pPr>
      <w:proofErr w:type="gramStart"/>
      <w:r w:rsidRPr="00207CF2">
        <w:rPr>
          <w:rFonts w:ascii="Georgia" w:hAnsi="Georgia" w:cs="Times New Roman"/>
          <w:bCs/>
          <w:i/>
          <w:iCs/>
          <w:sz w:val="24"/>
          <w:szCs w:val="24"/>
        </w:rPr>
        <w:t>if</w:t>
      </w:r>
      <w:proofErr w:type="gramEnd"/>
      <w:r w:rsidRPr="00207CF2">
        <w:rPr>
          <w:rFonts w:ascii="Georgia" w:hAnsi="Georgia" w:cs="Times New Roman"/>
          <w:bCs/>
          <w:i/>
          <w:iCs/>
          <w:sz w:val="24"/>
          <w:szCs w:val="24"/>
        </w:rPr>
        <w:t xml:space="preserve"> various elements of such service are not naturally bundled in the ordinary course of business, it shall be treated as provision of the single service which results in highest liability of service tax.</w:t>
      </w:r>
    </w:p>
    <w:p w:rsidR="005F060E" w:rsidRDefault="005F060E" w:rsidP="00966E25">
      <w:pPr>
        <w:spacing w:after="0" w:line="360" w:lineRule="auto"/>
        <w:jc w:val="both"/>
        <w:rPr>
          <w:rFonts w:ascii="Georgia" w:hAnsi="Georgia"/>
          <w:sz w:val="24"/>
          <w:szCs w:val="24"/>
        </w:rPr>
      </w:pPr>
    </w:p>
    <w:p w:rsidR="00AA2112" w:rsidRDefault="00AA2112" w:rsidP="00AA2112">
      <w:pPr>
        <w:spacing w:after="0" w:line="360" w:lineRule="auto"/>
        <w:ind w:firstLine="540"/>
        <w:jc w:val="both"/>
        <w:rPr>
          <w:rFonts w:ascii="Georgia" w:hAnsi="Georgia"/>
          <w:sz w:val="24"/>
          <w:szCs w:val="24"/>
        </w:rPr>
      </w:pPr>
      <w:r>
        <w:rPr>
          <w:rFonts w:ascii="Georgia" w:hAnsi="Georgia"/>
          <w:sz w:val="24"/>
          <w:szCs w:val="24"/>
        </w:rPr>
        <w:t xml:space="preserve">Accordingly, </w:t>
      </w:r>
      <w:r w:rsidRPr="00207CF2">
        <w:rPr>
          <w:rFonts w:ascii="Georgia" w:hAnsi="Georgia"/>
          <w:sz w:val="24"/>
          <w:szCs w:val="24"/>
        </w:rPr>
        <w:t xml:space="preserve">"Bundled service" means a bundle of provision of various services wherein an element of provision of one service is combined with an element or elements of provision of any other service or services. Applying the provisions, any service which is integrally connected with main service is to be taxed with tax rate which is applicable for main service. </w:t>
      </w:r>
    </w:p>
    <w:p w:rsidR="00AA2112" w:rsidRPr="00207CF2" w:rsidRDefault="00AA2112" w:rsidP="00966E25">
      <w:pPr>
        <w:spacing w:after="0" w:line="360" w:lineRule="auto"/>
        <w:jc w:val="both"/>
        <w:rPr>
          <w:rFonts w:ascii="Georgia" w:hAnsi="Georgia"/>
          <w:sz w:val="24"/>
          <w:szCs w:val="24"/>
        </w:rPr>
      </w:pPr>
    </w:p>
    <w:p w:rsidR="005F060E" w:rsidRPr="00AA2112" w:rsidRDefault="005F060E" w:rsidP="00966E25">
      <w:pPr>
        <w:pStyle w:val="ListParagraph"/>
        <w:numPr>
          <w:ilvl w:val="0"/>
          <w:numId w:val="9"/>
        </w:numPr>
        <w:spacing w:after="0" w:line="360" w:lineRule="auto"/>
        <w:ind w:hanging="720"/>
        <w:jc w:val="both"/>
        <w:rPr>
          <w:rFonts w:ascii="Georgia" w:hAnsi="Georgia"/>
          <w:b/>
          <w:sz w:val="24"/>
          <w:szCs w:val="24"/>
          <w:u w:val="single"/>
        </w:rPr>
      </w:pPr>
      <w:r w:rsidRPr="00AA2112">
        <w:rPr>
          <w:rFonts w:ascii="Georgia" w:hAnsi="Georgia"/>
          <w:b/>
          <w:sz w:val="24"/>
          <w:szCs w:val="24"/>
          <w:u w:val="single"/>
        </w:rPr>
        <w:t>Logical Interpretation</w:t>
      </w:r>
    </w:p>
    <w:p w:rsidR="005F060E" w:rsidRPr="00207CF2" w:rsidRDefault="005F060E" w:rsidP="00615BBC">
      <w:pPr>
        <w:spacing w:after="0" w:line="240" w:lineRule="auto"/>
        <w:jc w:val="both"/>
        <w:rPr>
          <w:rFonts w:ascii="Georgia" w:hAnsi="Georgia"/>
          <w:sz w:val="24"/>
          <w:szCs w:val="24"/>
        </w:rPr>
      </w:pPr>
    </w:p>
    <w:p w:rsidR="00F15980" w:rsidRDefault="00F15980" w:rsidP="00F15980">
      <w:pPr>
        <w:widowControl w:val="0"/>
        <w:adjustRightInd w:val="0"/>
        <w:spacing w:after="0" w:line="360" w:lineRule="auto"/>
        <w:ind w:firstLine="720"/>
        <w:jc w:val="both"/>
        <w:rPr>
          <w:rFonts w:ascii="Georgia" w:hAnsi="Georgia" w:cs="Times New Roman"/>
          <w:bCs/>
          <w:iCs/>
          <w:sz w:val="24"/>
          <w:szCs w:val="24"/>
        </w:rPr>
      </w:pPr>
      <w:r>
        <w:rPr>
          <w:rFonts w:ascii="Georgia" w:hAnsi="Georgia"/>
          <w:sz w:val="24"/>
          <w:szCs w:val="24"/>
        </w:rPr>
        <w:t xml:space="preserve">It is already said that definition of different taxable services is no more there in the Finance Act, 1994 w.e.f. 01.07.2012. If one go through the charges covered under PLC service as per </w:t>
      </w:r>
      <w:r w:rsidR="009B25A8">
        <w:rPr>
          <w:rFonts w:ascii="Georgia" w:hAnsi="Georgia"/>
          <w:sz w:val="24"/>
          <w:szCs w:val="24"/>
        </w:rPr>
        <w:t>CBEC</w:t>
      </w:r>
      <w:r>
        <w:rPr>
          <w:rFonts w:ascii="Georgia" w:hAnsi="Georgia"/>
          <w:sz w:val="24"/>
          <w:szCs w:val="24"/>
        </w:rPr>
        <w:t xml:space="preserve"> clarification, it becomes clear that all these charges are part and parcel of main service, i.e. construction only. How one can argue that height escalation is a service different from the construction service. Can anyone ask for PLC service only without availing construction service? A builder/developer can ask for different rate in relation to different flats/commercial space depending upon the location and market demand. How one can say that he has provided a separate </w:t>
      </w:r>
      <w:r>
        <w:rPr>
          <w:rFonts w:ascii="Georgia" w:hAnsi="Georgia"/>
          <w:sz w:val="24"/>
          <w:szCs w:val="24"/>
        </w:rPr>
        <w:lastRenderedPageBreak/>
        <w:t xml:space="preserve">service to the buyer apart from construction if he sells a flat/commercial space at a premium due to its locational advantage. </w:t>
      </w:r>
      <w:r w:rsidRPr="00E660CD">
        <w:rPr>
          <w:rFonts w:ascii="Georgia" w:hAnsi="Georgia"/>
          <w:sz w:val="24"/>
          <w:szCs w:val="24"/>
        </w:rPr>
        <w:t xml:space="preserve">Moreover, principles of ‘Bundled Service’ now clearly says that </w:t>
      </w:r>
      <w:r w:rsidRPr="00E660CD">
        <w:rPr>
          <w:rFonts w:ascii="Georgia" w:hAnsi="Georgia" w:cs="Times New Roman"/>
          <w:bCs/>
          <w:i/>
          <w:iCs/>
          <w:sz w:val="24"/>
          <w:szCs w:val="24"/>
        </w:rPr>
        <w:t xml:space="preserve">if various elements of such service are </w:t>
      </w:r>
      <w:r w:rsidRPr="00E660CD">
        <w:rPr>
          <w:rFonts w:ascii="Georgia" w:hAnsi="Georgia" w:cs="Times New Roman"/>
          <w:b/>
          <w:bCs/>
          <w:i/>
          <w:iCs/>
          <w:sz w:val="24"/>
          <w:szCs w:val="24"/>
        </w:rPr>
        <w:t>naturally bundled</w:t>
      </w:r>
      <w:r w:rsidRPr="00E660CD">
        <w:rPr>
          <w:rFonts w:ascii="Georgia" w:hAnsi="Georgia" w:cs="Times New Roman"/>
          <w:bCs/>
          <w:i/>
          <w:iCs/>
          <w:sz w:val="24"/>
          <w:szCs w:val="24"/>
        </w:rPr>
        <w:t xml:space="preserve"> in the ordinary course of business, it shall be treated as provision of the single service which gives such bundle its essential character. </w:t>
      </w:r>
      <w:r w:rsidRPr="00E660CD">
        <w:rPr>
          <w:rFonts w:ascii="Georgia" w:hAnsi="Georgia" w:cs="Times New Roman"/>
          <w:bCs/>
          <w:iCs/>
          <w:sz w:val="24"/>
          <w:szCs w:val="24"/>
        </w:rPr>
        <w:t xml:space="preserve">In the present case, </w:t>
      </w:r>
      <w:r w:rsidR="00E660CD" w:rsidRPr="00E660CD">
        <w:rPr>
          <w:rFonts w:ascii="Georgia" w:hAnsi="Georgia" w:cs="Times New Roman"/>
          <w:bCs/>
          <w:iCs/>
          <w:sz w:val="24"/>
          <w:szCs w:val="24"/>
        </w:rPr>
        <w:t xml:space="preserve">the essential character of the service is only construction and not PLC/Height Escalation. These charges are naturally and as a matter of trade practice collected by the builder/developer.  But these charges cannot be equated with provision of any separate service which is different from the construction. </w:t>
      </w:r>
    </w:p>
    <w:p w:rsidR="000B1DB7" w:rsidRDefault="000B1DB7" w:rsidP="00F15980">
      <w:pPr>
        <w:widowControl w:val="0"/>
        <w:adjustRightInd w:val="0"/>
        <w:spacing w:after="0" w:line="360" w:lineRule="auto"/>
        <w:ind w:firstLine="720"/>
        <w:jc w:val="both"/>
        <w:rPr>
          <w:rFonts w:ascii="Georgia" w:hAnsi="Georgia" w:cs="Times New Roman"/>
          <w:bCs/>
          <w:iCs/>
          <w:sz w:val="24"/>
          <w:szCs w:val="24"/>
        </w:rPr>
      </w:pPr>
    </w:p>
    <w:p w:rsidR="000B1DB7" w:rsidRPr="00E660CD" w:rsidRDefault="000B1DB7" w:rsidP="00F15980">
      <w:pPr>
        <w:widowControl w:val="0"/>
        <w:adjustRightInd w:val="0"/>
        <w:spacing w:after="0" w:line="360" w:lineRule="auto"/>
        <w:ind w:firstLine="720"/>
        <w:jc w:val="both"/>
        <w:rPr>
          <w:rFonts w:cs="Times New Roman"/>
          <w:color w:val="3333FF"/>
          <w:sz w:val="24"/>
          <w:szCs w:val="24"/>
        </w:rPr>
      </w:pPr>
      <w:r>
        <w:rPr>
          <w:rFonts w:ascii="Georgia" w:hAnsi="Georgia" w:cs="Times New Roman"/>
          <w:bCs/>
          <w:iCs/>
          <w:sz w:val="24"/>
          <w:szCs w:val="24"/>
        </w:rPr>
        <w:t xml:space="preserve">Further, some experts say that if charges towards PLC is separately collected, then it will be liable to service tax at full rate and in case charges towards PLC is not separately collected, then it will be considered as construction service only by applying the principles of ‘Bundled Service’. Accordingly, in that case, abatement can be claimed. However, in my view, as PLC itself is not a separate service, it does not make any difference if someone charges separately on account of PLC or not. </w:t>
      </w:r>
      <w:r w:rsidR="00F7532B">
        <w:rPr>
          <w:rFonts w:ascii="Georgia" w:hAnsi="Georgia" w:cs="Times New Roman"/>
          <w:bCs/>
          <w:iCs/>
          <w:sz w:val="24"/>
          <w:szCs w:val="24"/>
        </w:rPr>
        <w:t>A builder is charging only against construction service of flat/commercial space. There may be bifurcation of various component of price charged for the flat/commercial space, but essentially only construction service is being provided. From the buyer’s end, he will debit all these charges to the cost of the flat/commercial space as it will form part of price of the flat/commercial space. Charges towards PLC will not be shown as a separate capital asset acquired against extra charges.</w:t>
      </w:r>
    </w:p>
    <w:p w:rsidR="00F15980" w:rsidRDefault="00F15980" w:rsidP="00F15980">
      <w:pPr>
        <w:spacing w:after="0" w:line="360" w:lineRule="auto"/>
        <w:ind w:firstLine="720"/>
        <w:jc w:val="both"/>
        <w:rPr>
          <w:rFonts w:ascii="Georgia" w:hAnsi="Georgia"/>
          <w:sz w:val="24"/>
          <w:szCs w:val="24"/>
        </w:rPr>
      </w:pPr>
    </w:p>
    <w:p w:rsidR="005F060E" w:rsidRPr="00F7532B" w:rsidRDefault="005F060E" w:rsidP="00966E25">
      <w:pPr>
        <w:pStyle w:val="ListParagraph"/>
        <w:numPr>
          <w:ilvl w:val="0"/>
          <w:numId w:val="9"/>
        </w:numPr>
        <w:spacing w:after="0" w:line="360" w:lineRule="auto"/>
        <w:ind w:hanging="720"/>
        <w:jc w:val="both"/>
        <w:rPr>
          <w:rFonts w:ascii="Georgia" w:hAnsi="Georgia"/>
          <w:b/>
          <w:sz w:val="24"/>
          <w:szCs w:val="24"/>
          <w:u w:val="single"/>
        </w:rPr>
      </w:pPr>
      <w:r w:rsidRPr="00F7532B">
        <w:rPr>
          <w:rFonts w:ascii="Georgia" w:hAnsi="Georgia"/>
          <w:b/>
          <w:sz w:val="24"/>
          <w:szCs w:val="24"/>
          <w:u w:val="single"/>
        </w:rPr>
        <w:t>Conclusion</w:t>
      </w:r>
    </w:p>
    <w:p w:rsidR="0014298E" w:rsidRDefault="0014298E" w:rsidP="005D04AD">
      <w:pPr>
        <w:spacing w:after="0" w:line="360" w:lineRule="auto"/>
        <w:ind w:left="720"/>
        <w:jc w:val="both"/>
        <w:rPr>
          <w:rFonts w:ascii="Georgia" w:hAnsi="Georgia"/>
          <w:b/>
          <w:sz w:val="24"/>
          <w:szCs w:val="24"/>
        </w:rPr>
      </w:pPr>
    </w:p>
    <w:p w:rsidR="005D04AD" w:rsidRDefault="005D04AD" w:rsidP="00615BBC">
      <w:pPr>
        <w:widowControl w:val="0"/>
        <w:adjustRightInd w:val="0"/>
        <w:spacing w:after="0" w:line="360" w:lineRule="auto"/>
        <w:ind w:firstLine="720"/>
        <w:jc w:val="both"/>
        <w:rPr>
          <w:rFonts w:ascii="Georgia" w:hAnsi="Georgia"/>
          <w:sz w:val="24"/>
          <w:szCs w:val="24"/>
        </w:rPr>
      </w:pPr>
      <w:r w:rsidRPr="005D04AD">
        <w:rPr>
          <w:rFonts w:ascii="Georgia" w:hAnsi="Georgia"/>
          <w:sz w:val="24"/>
          <w:szCs w:val="24"/>
        </w:rPr>
        <w:t>Service tax had always been in limelight due to lot of litigations</w:t>
      </w:r>
      <w:r w:rsidR="00EF2E28">
        <w:rPr>
          <w:rFonts w:ascii="Georgia" w:hAnsi="Georgia"/>
          <w:sz w:val="24"/>
          <w:szCs w:val="24"/>
        </w:rPr>
        <w:t xml:space="preserve"> and interpretational issues. This was the one of the most important reason to move from a positive list approach to negative list approach. Accordingly, reference to earlier definition of taxable services is a dangerous trend and will lead to voluminous amount of litigations. Department is still referring earlier definitions to interpret the taxability of a transaction. This is not a desirable approach and defeats the very purpose of introduction of negative list </w:t>
      </w:r>
      <w:r w:rsidR="004E64C7">
        <w:rPr>
          <w:rFonts w:ascii="Georgia" w:hAnsi="Georgia"/>
          <w:sz w:val="24"/>
          <w:szCs w:val="24"/>
        </w:rPr>
        <w:t>concept</w:t>
      </w:r>
      <w:r w:rsidR="00EF2E28">
        <w:rPr>
          <w:rFonts w:ascii="Georgia" w:hAnsi="Georgia"/>
          <w:sz w:val="24"/>
          <w:szCs w:val="24"/>
        </w:rPr>
        <w:t xml:space="preserve">. With respect to abatement on PLC charges, a decision had to be taken keeping in view the possible dispute with the department as abatement will be disallowed by the department invariably in each </w:t>
      </w:r>
      <w:r w:rsidR="00EF2E28">
        <w:rPr>
          <w:rFonts w:ascii="Georgia" w:hAnsi="Georgia"/>
          <w:sz w:val="24"/>
          <w:szCs w:val="24"/>
        </w:rPr>
        <w:lastRenderedPageBreak/>
        <w:t xml:space="preserve">and every case. However, judicious and logical interpretation seems to be that PLC charges are part and parcel of construction service and should be taxed in the same way as the construction service is taxed. </w:t>
      </w:r>
      <w:r w:rsidR="00895BE8">
        <w:rPr>
          <w:rFonts w:ascii="Georgia" w:hAnsi="Georgia"/>
          <w:sz w:val="24"/>
          <w:szCs w:val="24"/>
        </w:rPr>
        <w:t xml:space="preserve">One will have to fight at least up to the level of CESTAT to get the relief. </w:t>
      </w:r>
      <w:r w:rsidR="00EF2E28">
        <w:rPr>
          <w:rFonts w:ascii="Georgia" w:hAnsi="Georgia"/>
          <w:sz w:val="24"/>
          <w:szCs w:val="24"/>
        </w:rPr>
        <w:t xml:space="preserve">For the time being it is certain that clarity in the service tax is still a distant dream. </w:t>
      </w:r>
    </w:p>
    <w:p w:rsidR="003A4468" w:rsidRDefault="003A4468" w:rsidP="00615BBC">
      <w:pPr>
        <w:widowControl w:val="0"/>
        <w:adjustRightInd w:val="0"/>
        <w:spacing w:after="0" w:line="360" w:lineRule="auto"/>
        <w:ind w:firstLine="720"/>
        <w:jc w:val="both"/>
        <w:rPr>
          <w:rFonts w:ascii="Georgia" w:hAnsi="Georgia"/>
          <w:sz w:val="24"/>
          <w:szCs w:val="24"/>
        </w:rPr>
      </w:pPr>
    </w:p>
    <w:p w:rsidR="003A4468" w:rsidRDefault="003A4468" w:rsidP="00615BBC">
      <w:pPr>
        <w:widowControl w:val="0"/>
        <w:adjustRightInd w:val="0"/>
        <w:spacing w:after="0" w:line="360" w:lineRule="auto"/>
        <w:ind w:firstLine="720"/>
        <w:jc w:val="both"/>
        <w:rPr>
          <w:rFonts w:ascii="Georgia" w:hAnsi="Georgia"/>
          <w:sz w:val="24"/>
          <w:szCs w:val="24"/>
        </w:rPr>
      </w:pPr>
    </w:p>
    <w:p w:rsidR="003A4468" w:rsidRDefault="003A4468" w:rsidP="00615BBC">
      <w:pPr>
        <w:widowControl w:val="0"/>
        <w:adjustRightInd w:val="0"/>
        <w:spacing w:after="0" w:line="360" w:lineRule="auto"/>
        <w:ind w:firstLine="720"/>
        <w:jc w:val="both"/>
        <w:rPr>
          <w:rFonts w:ascii="Georgia" w:hAnsi="Georgia"/>
          <w:sz w:val="24"/>
          <w:szCs w:val="24"/>
        </w:rPr>
      </w:pPr>
    </w:p>
    <w:p w:rsidR="003A4468" w:rsidRDefault="003A4468" w:rsidP="00615BBC">
      <w:pPr>
        <w:widowControl w:val="0"/>
        <w:adjustRightInd w:val="0"/>
        <w:spacing w:after="0" w:line="360" w:lineRule="auto"/>
        <w:ind w:firstLine="720"/>
        <w:jc w:val="both"/>
        <w:rPr>
          <w:rFonts w:ascii="Georgia" w:hAnsi="Georgia"/>
          <w:sz w:val="24"/>
          <w:szCs w:val="24"/>
        </w:rPr>
      </w:pPr>
    </w:p>
    <w:p w:rsidR="003A4468" w:rsidRDefault="003A4468" w:rsidP="00615BBC">
      <w:pPr>
        <w:widowControl w:val="0"/>
        <w:adjustRightInd w:val="0"/>
        <w:spacing w:after="0" w:line="360" w:lineRule="auto"/>
        <w:ind w:firstLine="720"/>
        <w:jc w:val="both"/>
        <w:rPr>
          <w:rFonts w:ascii="Georgia" w:hAnsi="Georgia"/>
          <w:sz w:val="24"/>
          <w:szCs w:val="24"/>
        </w:rPr>
      </w:pPr>
    </w:p>
    <w:p w:rsidR="003A4468" w:rsidRPr="00207CF2" w:rsidRDefault="003A4468" w:rsidP="00615BBC">
      <w:pPr>
        <w:widowControl w:val="0"/>
        <w:adjustRightInd w:val="0"/>
        <w:spacing w:after="0" w:line="360" w:lineRule="auto"/>
        <w:ind w:firstLine="720"/>
        <w:jc w:val="both"/>
        <w:rPr>
          <w:rFonts w:ascii="Georgia" w:hAnsi="Georgia"/>
          <w:sz w:val="24"/>
          <w:szCs w:val="24"/>
        </w:rPr>
      </w:pPr>
      <w:bookmarkStart w:id="0" w:name="_GoBack"/>
      <w:bookmarkEnd w:id="0"/>
    </w:p>
    <w:sectPr w:rsidR="003A4468" w:rsidRPr="00207CF2" w:rsidSect="00615BBC">
      <w:footerReference w:type="default" r:id="rId9"/>
      <w:pgSz w:w="11907" w:h="16839" w:code="9"/>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E04" w:rsidRDefault="00183E04" w:rsidP="00615BBC">
      <w:pPr>
        <w:spacing w:after="0" w:line="240" w:lineRule="auto"/>
      </w:pPr>
      <w:r>
        <w:separator/>
      </w:r>
    </w:p>
  </w:endnote>
  <w:endnote w:type="continuationSeparator" w:id="0">
    <w:p w:rsidR="00183E04" w:rsidRDefault="00183E04" w:rsidP="00615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185624"/>
      <w:docPartObj>
        <w:docPartGallery w:val="Page Numbers (Bottom of Page)"/>
        <w:docPartUnique/>
      </w:docPartObj>
    </w:sdtPr>
    <w:sdtEndPr/>
    <w:sdtContent>
      <w:sdt>
        <w:sdtPr>
          <w:id w:val="860082579"/>
          <w:docPartObj>
            <w:docPartGallery w:val="Page Numbers (Top of Page)"/>
            <w:docPartUnique/>
          </w:docPartObj>
        </w:sdtPr>
        <w:sdtEndPr/>
        <w:sdtContent>
          <w:p w:rsidR="00615BBC" w:rsidRDefault="00615B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275B1">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75B1">
              <w:rPr>
                <w:b/>
                <w:bCs/>
                <w:noProof/>
              </w:rPr>
              <w:t>5</w:t>
            </w:r>
            <w:r>
              <w:rPr>
                <w:b/>
                <w:bCs/>
                <w:sz w:val="24"/>
                <w:szCs w:val="24"/>
              </w:rPr>
              <w:fldChar w:fldCharType="end"/>
            </w:r>
          </w:p>
        </w:sdtContent>
      </w:sdt>
    </w:sdtContent>
  </w:sdt>
  <w:p w:rsidR="00615BBC" w:rsidRDefault="00615B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E04" w:rsidRDefault="00183E04" w:rsidP="00615BBC">
      <w:pPr>
        <w:spacing w:after="0" w:line="240" w:lineRule="auto"/>
      </w:pPr>
      <w:r>
        <w:separator/>
      </w:r>
    </w:p>
  </w:footnote>
  <w:footnote w:type="continuationSeparator" w:id="0">
    <w:p w:rsidR="00183E04" w:rsidRDefault="00183E04" w:rsidP="00615B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752"/>
    <w:multiLevelType w:val="multilevel"/>
    <w:tmpl w:val="78C8FB02"/>
    <w:lvl w:ilvl="0">
      <w:start w:val="1"/>
      <w:numFmt w:val="decimal"/>
      <w:lvlText w:val="%1."/>
      <w:lvlJc w:val="left"/>
      <w:pPr>
        <w:ind w:left="720" w:hanging="360"/>
      </w:pPr>
      <w:rPr>
        <w:rFonts w:hint="default"/>
        <w:b w:val="0"/>
        <w:u w:val="none"/>
      </w:rPr>
    </w:lvl>
    <w:lvl w:ilvl="1">
      <w:start w:val="1"/>
      <w:numFmt w:val="decimal"/>
      <w:isLgl/>
      <w:lvlText w:val="%1.%2"/>
      <w:lvlJc w:val="left"/>
      <w:pPr>
        <w:ind w:left="1080" w:hanging="720"/>
      </w:pPr>
      <w:rPr>
        <w:rFonts w:hint="default"/>
        <w:b w:val="0"/>
        <w:i/>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9B346CA"/>
    <w:multiLevelType w:val="hybridMultilevel"/>
    <w:tmpl w:val="99805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B1B63B1"/>
    <w:multiLevelType w:val="hybridMultilevel"/>
    <w:tmpl w:val="592E9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FB1D25"/>
    <w:multiLevelType w:val="hybridMultilevel"/>
    <w:tmpl w:val="C338AEC0"/>
    <w:lvl w:ilvl="0" w:tplc="9996B088">
      <w:start w:val="1"/>
      <w:numFmt w:val="lowerLetter"/>
      <w:lvlText w:val="%1)"/>
      <w:lvlJc w:val="left"/>
      <w:pPr>
        <w:ind w:left="1350" w:hanging="360"/>
      </w:pPr>
      <w:rPr>
        <w:rFonts w:ascii="Georgia" w:hAnsi="Georgia" w:hint="default"/>
        <w:color w:val="auto"/>
        <w:sz w:val="24"/>
        <w:szCs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47891941"/>
    <w:multiLevelType w:val="hybridMultilevel"/>
    <w:tmpl w:val="C338AEC0"/>
    <w:lvl w:ilvl="0" w:tplc="9996B088">
      <w:start w:val="1"/>
      <w:numFmt w:val="lowerLetter"/>
      <w:lvlText w:val="%1)"/>
      <w:lvlJc w:val="left"/>
      <w:pPr>
        <w:ind w:left="1350" w:hanging="360"/>
      </w:pPr>
      <w:rPr>
        <w:rFonts w:ascii="Georgia" w:hAnsi="Georgia" w:hint="default"/>
        <w:color w:val="auto"/>
        <w:sz w:val="24"/>
        <w:szCs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516B3207"/>
    <w:multiLevelType w:val="multilevel"/>
    <w:tmpl w:val="EE8AA5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1032E9"/>
    <w:multiLevelType w:val="hybridMultilevel"/>
    <w:tmpl w:val="616AAC70"/>
    <w:lvl w:ilvl="0" w:tplc="CC3CD42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3BC628A"/>
    <w:multiLevelType w:val="hybridMultilevel"/>
    <w:tmpl w:val="0BBEDA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C362452"/>
    <w:multiLevelType w:val="hybridMultilevel"/>
    <w:tmpl w:val="37042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E8457BC"/>
    <w:multiLevelType w:val="multilevel"/>
    <w:tmpl w:val="F284700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4"/>
  </w:num>
  <w:num w:numId="6">
    <w:abstractNumId w:val="8"/>
  </w:num>
  <w:num w:numId="7">
    <w:abstractNumId w:val="9"/>
    <w:lvlOverride w:ilvl="0"/>
    <w:lvlOverride w:ilvl="1">
      <w:startOverride w:val="1"/>
    </w:lvlOverride>
    <w:lvlOverride w:ilvl="2"/>
    <w:lvlOverride w:ilvl="3"/>
    <w:lvlOverride w:ilvl="4"/>
    <w:lvlOverride w:ilvl="5"/>
    <w:lvlOverride w:ilvl="6"/>
    <w:lvlOverride w:ilvl="7"/>
    <w:lvlOverride w:ilvl="8"/>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ED"/>
    <w:rsid w:val="00052787"/>
    <w:rsid w:val="000B1DB7"/>
    <w:rsid w:val="0014298E"/>
    <w:rsid w:val="00152875"/>
    <w:rsid w:val="00166E8E"/>
    <w:rsid w:val="00183E04"/>
    <w:rsid w:val="00207CF2"/>
    <w:rsid w:val="003A4468"/>
    <w:rsid w:val="003A47CA"/>
    <w:rsid w:val="003D101F"/>
    <w:rsid w:val="003E3A16"/>
    <w:rsid w:val="004275B1"/>
    <w:rsid w:val="004679DC"/>
    <w:rsid w:val="004D2235"/>
    <w:rsid w:val="004E64C7"/>
    <w:rsid w:val="0050015B"/>
    <w:rsid w:val="0051520D"/>
    <w:rsid w:val="005571FF"/>
    <w:rsid w:val="0056173D"/>
    <w:rsid w:val="005947E7"/>
    <w:rsid w:val="005C26E6"/>
    <w:rsid w:val="005D04AD"/>
    <w:rsid w:val="005D2CDE"/>
    <w:rsid w:val="005D4413"/>
    <w:rsid w:val="005F060E"/>
    <w:rsid w:val="00602E26"/>
    <w:rsid w:val="00615BBC"/>
    <w:rsid w:val="006F73D3"/>
    <w:rsid w:val="00712117"/>
    <w:rsid w:val="0072120F"/>
    <w:rsid w:val="00772CD4"/>
    <w:rsid w:val="007F36A2"/>
    <w:rsid w:val="008714B4"/>
    <w:rsid w:val="00895BE8"/>
    <w:rsid w:val="0095422D"/>
    <w:rsid w:val="00966E25"/>
    <w:rsid w:val="00986D62"/>
    <w:rsid w:val="009B25A8"/>
    <w:rsid w:val="00A36C04"/>
    <w:rsid w:val="00AA2112"/>
    <w:rsid w:val="00AD729E"/>
    <w:rsid w:val="00B2589A"/>
    <w:rsid w:val="00B50A6D"/>
    <w:rsid w:val="00BC3F49"/>
    <w:rsid w:val="00BF73C2"/>
    <w:rsid w:val="00C54768"/>
    <w:rsid w:val="00C9087D"/>
    <w:rsid w:val="00C90A46"/>
    <w:rsid w:val="00C91BEA"/>
    <w:rsid w:val="00D235ED"/>
    <w:rsid w:val="00D35772"/>
    <w:rsid w:val="00D8105C"/>
    <w:rsid w:val="00E2155A"/>
    <w:rsid w:val="00E660CD"/>
    <w:rsid w:val="00EF2E28"/>
    <w:rsid w:val="00F15980"/>
    <w:rsid w:val="00F243BE"/>
    <w:rsid w:val="00F26152"/>
    <w:rsid w:val="00F4707D"/>
    <w:rsid w:val="00F717FD"/>
    <w:rsid w:val="00F7532B"/>
    <w:rsid w:val="00F84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20D"/>
    <w:pPr>
      <w:ind w:left="720"/>
      <w:contextualSpacing/>
    </w:pPr>
  </w:style>
  <w:style w:type="paragraph" w:customStyle="1" w:styleId="bodytext">
    <w:name w:val="bodytext"/>
    <w:basedOn w:val="Normal"/>
    <w:rsid w:val="00C90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26152"/>
  </w:style>
  <w:style w:type="paragraph" w:styleId="Header">
    <w:name w:val="header"/>
    <w:basedOn w:val="Normal"/>
    <w:link w:val="HeaderChar"/>
    <w:uiPriority w:val="99"/>
    <w:unhideWhenUsed/>
    <w:rsid w:val="00615B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BBC"/>
  </w:style>
  <w:style w:type="paragraph" w:styleId="Footer">
    <w:name w:val="footer"/>
    <w:basedOn w:val="Normal"/>
    <w:link w:val="FooterChar"/>
    <w:uiPriority w:val="99"/>
    <w:unhideWhenUsed/>
    <w:rsid w:val="00615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BBC"/>
  </w:style>
  <w:style w:type="paragraph" w:styleId="BalloonText">
    <w:name w:val="Balloon Text"/>
    <w:basedOn w:val="Normal"/>
    <w:link w:val="BalloonTextChar"/>
    <w:uiPriority w:val="99"/>
    <w:semiHidden/>
    <w:unhideWhenUsed/>
    <w:rsid w:val="003A4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20D"/>
    <w:pPr>
      <w:ind w:left="720"/>
      <w:contextualSpacing/>
    </w:pPr>
  </w:style>
  <w:style w:type="paragraph" w:customStyle="1" w:styleId="bodytext">
    <w:name w:val="bodytext"/>
    <w:basedOn w:val="Normal"/>
    <w:rsid w:val="00C90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26152"/>
  </w:style>
  <w:style w:type="paragraph" w:styleId="Header">
    <w:name w:val="header"/>
    <w:basedOn w:val="Normal"/>
    <w:link w:val="HeaderChar"/>
    <w:uiPriority w:val="99"/>
    <w:unhideWhenUsed/>
    <w:rsid w:val="00615B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BBC"/>
  </w:style>
  <w:style w:type="paragraph" w:styleId="Footer">
    <w:name w:val="footer"/>
    <w:basedOn w:val="Normal"/>
    <w:link w:val="FooterChar"/>
    <w:uiPriority w:val="99"/>
    <w:unhideWhenUsed/>
    <w:rsid w:val="00615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BBC"/>
  </w:style>
  <w:style w:type="paragraph" w:styleId="BalloonText">
    <w:name w:val="Balloon Text"/>
    <w:basedOn w:val="Normal"/>
    <w:link w:val="BalloonTextChar"/>
    <w:uiPriority w:val="99"/>
    <w:semiHidden/>
    <w:unhideWhenUsed/>
    <w:rsid w:val="003A4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937133">
      <w:bodyDiv w:val="1"/>
      <w:marLeft w:val="0"/>
      <w:marRight w:val="0"/>
      <w:marTop w:val="0"/>
      <w:marBottom w:val="0"/>
      <w:divBdr>
        <w:top w:val="none" w:sz="0" w:space="0" w:color="auto"/>
        <w:left w:val="none" w:sz="0" w:space="0" w:color="auto"/>
        <w:bottom w:val="none" w:sz="0" w:space="0" w:color="auto"/>
        <w:right w:val="none" w:sz="0" w:space="0" w:color="auto"/>
      </w:divBdr>
    </w:div>
    <w:div w:id="1336155133">
      <w:bodyDiv w:val="1"/>
      <w:marLeft w:val="0"/>
      <w:marRight w:val="0"/>
      <w:marTop w:val="0"/>
      <w:marBottom w:val="0"/>
      <w:divBdr>
        <w:top w:val="none" w:sz="0" w:space="0" w:color="auto"/>
        <w:left w:val="none" w:sz="0" w:space="0" w:color="auto"/>
        <w:bottom w:val="none" w:sz="0" w:space="0" w:color="auto"/>
        <w:right w:val="none" w:sz="0" w:space="0" w:color="auto"/>
      </w:divBdr>
    </w:div>
    <w:div w:id="1717268084">
      <w:bodyDiv w:val="1"/>
      <w:marLeft w:val="0"/>
      <w:marRight w:val="0"/>
      <w:marTop w:val="0"/>
      <w:marBottom w:val="0"/>
      <w:divBdr>
        <w:top w:val="none" w:sz="0" w:space="0" w:color="auto"/>
        <w:left w:val="none" w:sz="0" w:space="0" w:color="auto"/>
        <w:bottom w:val="none" w:sz="0" w:space="0" w:color="auto"/>
        <w:right w:val="none" w:sz="0" w:space="0" w:color="auto"/>
      </w:divBdr>
    </w:div>
    <w:div w:id="213320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F15C7-80CF-4175-9B66-B5CD0BA1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5</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2014-06-09T12:17:00Z</dcterms:created>
  <dcterms:modified xsi:type="dcterms:W3CDTF">2014-06-15T15:02:00Z</dcterms:modified>
</cp:coreProperties>
</file>