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themeColor="accent5" w:themeTint="33"/>
  <w:body>
    <w:p w:rsidR="00E45FE8" w:rsidRPr="007F1DD2" w:rsidRDefault="005A0B9A" w:rsidP="00294E90">
      <w:pPr>
        <w:jc w:val="center"/>
        <w:rPr>
          <w:b/>
          <w:noProof/>
          <w:sz w:val="32"/>
        </w:rPr>
      </w:pPr>
      <w:r w:rsidRPr="007F1DD2">
        <w:rPr>
          <w:b/>
          <w:noProof/>
          <w:sz w:val="32"/>
        </w:rPr>
        <w:t>SERVICE TAX ON RENTING</w:t>
      </w:r>
    </w:p>
    <w:p w:rsidR="00294E90" w:rsidRDefault="00294E90" w:rsidP="00294E90">
      <w:pPr>
        <w:jc w:val="both"/>
        <w:rPr>
          <w:noProof/>
        </w:rPr>
      </w:pPr>
    </w:p>
    <w:p w:rsidR="00F3489B" w:rsidRDefault="00F3489B" w:rsidP="00294E90">
      <w:pPr>
        <w:jc w:val="both"/>
        <w:rPr>
          <w:noProof/>
        </w:rPr>
      </w:pPr>
      <w:r w:rsidRPr="00F3489B">
        <w:rPr>
          <w:b/>
          <w:noProof/>
          <w:u w:val="single"/>
        </w:rPr>
        <w:t>Section 65B(44)</w:t>
      </w:r>
      <w:r>
        <w:rPr>
          <w:noProof/>
        </w:rPr>
        <w:t xml:space="preserve"> of the Finance Act 1994, Service means any activity carried out by a person for another for consideration and </w:t>
      </w:r>
      <w:r w:rsidRPr="00F3489B">
        <w:rPr>
          <w:b/>
          <w:i/>
          <w:noProof/>
          <w:u w:val="single"/>
        </w:rPr>
        <w:t>incl</w:t>
      </w:r>
      <w:r w:rsidR="009C7956">
        <w:rPr>
          <w:b/>
          <w:i/>
          <w:noProof/>
          <w:u w:val="single"/>
        </w:rPr>
        <w:t>u</w:t>
      </w:r>
      <w:r w:rsidRPr="00F3489B">
        <w:rPr>
          <w:b/>
          <w:i/>
          <w:noProof/>
          <w:u w:val="single"/>
        </w:rPr>
        <w:t>des a declared service</w:t>
      </w:r>
      <w:r>
        <w:rPr>
          <w:noProof/>
        </w:rPr>
        <w:t xml:space="preserve"> but shall not include:</w:t>
      </w:r>
    </w:p>
    <w:p w:rsidR="00F3489B" w:rsidRDefault="00F3489B" w:rsidP="00294E90">
      <w:pPr>
        <w:jc w:val="both"/>
        <w:rPr>
          <w:noProof/>
        </w:rPr>
      </w:pPr>
      <w:r>
        <w:rPr>
          <w:noProof/>
        </w:rPr>
        <w:t xml:space="preserve">By virtue of </w:t>
      </w:r>
      <w:r w:rsidRPr="00F3489B">
        <w:rPr>
          <w:b/>
          <w:noProof/>
          <w:u w:val="single"/>
        </w:rPr>
        <w:t>Section 66E</w:t>
      </w:r>
      <w:r>
        <w:rPr>
          <w:noProof/>
        </w:rPr>
        <w:t xml:space="preserve"> of the Finance Act, 1994, </w:t>
      </w:r>
      <w:r w:rsidRPr="00F3489B">
        <w:rPr>
          <w:b/>
          <w:i/>
          <w:noProof/>
        </w:rPr>
        <w:t>Declared service</w:t>
      </w:r>
      <w:r>
        <w:rPr>
          <w:noProof/>
        </w:rPr>
        <w:t xml:space="preserve"> include the “Renting of Immovable property”</w:t>
      </w:r>
    </w:p>
    <w:p w:rsidR="00F3489B" w:rsidRDefault="00F3489B" w:rsidP="00F3489B">
      <w:pPr>
        <w:jc w:val="both"/>
        <w:rPr>
          <w:noProof/>
        </w:rPr>
      </w:pPr>
      <w:r>
        <w:rPr>
          <w:noProof/>
        </w:rPr>
        <w:t xml:space="preserve">Under </w:t>
      </w:r>
      <w:r w:rsidRPr="00F3489B">
        <w:rPr>
          <w:b/>
          <w:noProof/>
          <w:u w:val="single"/>
        </w:rPr>
        <w:t>Section 66 D</w:t>
      </w:r>
      <w:r>
        <w:rPr>
          <w:noProof/>
        </w:rPr>
        <w:t xml:space="preserve"> of the Act, S.No. (m) of  Negative list</w:t>
      </w:r>
      <w:r w:rsidR="00D23F95">
        <w:rPr>
          <w:noProof/>
        </w:rPr>
        <w:t xml:space="preserve"> </w:t>
      </w:r>
      <w:r w:rsidR="00D23F95" w:rsidRPr="00D23F95">
        <w:rPr>
          <w:i/>
          <w:noProof/>
        </w:rPr>
        <w:t>(Non taxable service)</w:t>
      </w:r>
      <w:r>
        <w:rPr>
          <w:noProof/>
        </w:rPr>
        <w:t xml:space="preserve"> are as under:-</w:t>
      </w:r>
    </w:p>
    <w:p w:rsidR="00F3489B" w:rsidRDefault="00F3489B" w:rsidP="00F3489B">
      <w:pPr>
        <w:jc w:val="both"/>
        <w:rPr>
          <w:b/>
          <w:noProof/>
          <w:u w:val="single"/>
        </w:rPr>
      </w:pPr>
      <w:r w:rsidRPr="00A259FA">
        <w:rPr>
          <w:b/>
          <w:noProof/>
          <w:u w:val="single"/>
        </w:rPr>
        <w:t xml:space="preserve">Service by way of </w:t>
      </w:r>
      <w:r>
        <w:rPr>
          <w:b/>
          <w:noProof/>
          <w:u w:val="single"/>
        </w:rPr>
        <w:t>r</w:t>
      </w:r>
      <w:r w:rsidRPr="00A259FA">
        <w:rPr>
          <w:b/>
          <w:noProof/>
          <w:u w:val="single"/>
        </w:rPr>
        <w:t>enting of residentai</w:t>
      </w:r>
      <w:r>
        <w:rPr>
          <w:b/>
          <w:noProof/>
          <w:u w:val="single"/>
        </w:rPr>
        <w:t>l dwelling for use as residence</w:t>
      </w:r>
    </w:p>
    <w:p w:rsidR="00F3489B" w:rsidRPr="009976F7" w:rsidRDefault="00F3489B" w:rsidP="00F3489B">
      <w:pPr>
        <w:jc w:val="both"/>
        <w:rPr>
          <w:i/>
          <w:noProof/>
        </w:rPr>
      </w:pPr>
      <w:r>
        <w:rPr>
          <w:noProof/>
        </w:rPr>
        <w:t xml:space="preserve">Service by way of renting of residential dwelling would fall within the ambit of negative list </w:t>
      </w:r>
      <w:r w:rsidRPr="009976F7">
        <w:rPr>
          <w:i/>
          <w:noProof/>
        </w:rPr>
        <w:t>only it the residence dwelling is used for the purpose of residence.</w:t>
      </w:r>
    </w:p>
    <w:p w:rsidR="00F3489B" w:rsidRDefault="00F3489B" w:rsidP="00F3489B">
      <w:pPr>
        <w:jc w:val="both"/>
        <w:rPr>
          <w:noProof/>
        </w:rPr>
      </w:pPr>
      <w:r>
        <w:rPr>
          <w:noProof/>
        </w:rPr>
        <w:t>Residential dwelling does not include hotel,motel, inn, guest house, camp-site, lodge, house boat, or like places meant for temporary stay. As per normal trade parlance is any residential accomodation.</w:t>
      </w:r>
    </w:p>
    <w:p w:rsidR="00F3489B" w:rsidRDefault="00F3489B" w:rsidP="00F3489B">
      <w:pPr>
        <w:jc w:val="both"/>
        <w:rPr>
          <w:noProof/>
        </w:rPr>
      </w:pPr>
      <w:r>
        <w:rPr>
          <w:noProof/>
        </w:rPr>
        <w:t>It is also an important point to discuss here that if residential dwelling is used in the course or furtherance of business or commerce, then the benefit of this clause can not be availed.</w:t>
      </w:r>
    </w:p>
    <w:p w:rsidR="00F3489B" w:rsidRPr="003E044F" w:rsidRDefault="00D23F95" w:rsidP="00F3489B">
      <w:pPr>
        <w:jc w:val="both"/>
        <w:rPr>
          <w:noProof/>
          <w:u w:val="single"/>
        </w:rPr>
      </w:pPr>
      <w:r w:rsidRPr="003E044F">
        <w:rPr>
          <w:noProof/>
          <w:u w:val="single"/>
        </w:rPr>
        <w:t>From the above it is clear</w:t>
      </w:r>
      <w:r w:rsidR="00F3489B" w:rsidRPr="003E044F">
        <w:rPr>
          <w:noProof/>
          <w:u w:val="single"/>
        </w:rPr>
        <w:t xml:space="preserve"> if immovable property is given on rent for the purpose other than residential is taxable.</w:t>
      </w:r>
    </w:p>
    <w:p w:rsidR="005A0B9A" w:rsidRPr="00294E90" w:rsidRDefault="005A0B9A" w:rsidP="00294E90">
      <w:pPr>
        <w:jc w:val="both"/>
        <w:rPr>
          <w:b/>
          <w:noProof/>
          <w:u w:val="single"/>
        </w:rPr>
      </w:pPr>
      <w:r w:rsidRPr="00294E90">
        <w:rPr>
          <w:b/>
          <w:noProof/>
          <w:u w:val="single"/>
        </w:rPr>
        <w:t>Exemption under notification No. 25/2012-S.T 20.06.2012</w:t>
      </w:r>
    </w:p>
    <w:p w:rsidR="005A0B9A" w:rsidRDefault="005A0B9A" w:rsidP="00294E90">
      <w:pPr>
        <w:jc w:val="both"/>
        <w:rPr>
          <w:noProof/>
        </w:rPr>
      </w:pPr>
      <w:r w:rsidRPr="00294E90">
        <w:rPr>
          <w:b/>
          <w:i/>
          <w:noProof/>
          <w:u w:val="single"/>
        </w:rPr>
        <w:t>Sr. 18</w:t>
      </w:r>
      <w:r>
        <w:rPr>
          <w:noProof/>
        </w:rPr>
        <w:tab/>
        <w:t>Service by way of renting of a hotel,inn, guest h</w:t>
      </w:r>
      <w:r w:rsidR="003E044F">
        <w:rPr>
          <w:noProof/>
        </w:rPr>
        <w:t>o</w:t>
      </w:r>
      <w:r>
        <w:rPr>
          <w:noProof/>
        </w:rPr>
        <w:t>use, club, camp</w:t>
      </w:r>
      <w:r w:rsidR="003E044F">
        <w:rPr>
          <w:noProof/>
        </w:rPr>
        <w:t>-</w:t>
      </w:r>
      <w:r>
        <w:rPr>
          <w:noProof/>
        </w:rPr>
        <w:t>site or other commercial places meant for residential or lodging purposes, having declared tariff of a room below rupees one thousand per day or equivalent.</w:t>
      </w:r>
    </w:p>
    <w:p w:rsidR="005A0B9A" w:rsidRDefault="005A0B9A" w:rsidP="00294E90">
      <w:pPr>
        <w:jc w:val="both"/>
        <w:rPr>
          <w:noProof/>
        </w:rPr>
      </w:pPr>
      <w:r>
        <w:rPr>
          <w:noProof/>
        </w:rPr>
        <w:t>Conditions are to be satisfied to avail the exmption:-</w:t>
      </w:r>
    </w:p>
    <w:p w:rsidR="005A0B9A" w:rsidRDefault="005A0B9A" w:rsidP="00294E90">
      <w:pPr>
        <w:pStyle w:val="ListParagraph"/>
        <w:numPr>
          <w:ilvl w:val="0"/>
          <w:numId w:val="1"/>
        </w:numPr>
        <w:jc w:val="both"/>
        <w:rPr>
          <w:noProof/>
        </w:rPr>
      </w:pPr>
      <w:r>
        <w:rPr>
          <w:noProof/>
        </w:rPr>
        <w:t>Service are provided by way of renting of a hotel, inn, guest house, club, campsite or other commercial place;</w:t>
      </w:r>
    </w:p>
    <w:p w:rsidR="005A0B9A" w:rsidRDefault="000D7F15" w:rsidP="00294E90">
      <w:pPr>
        <w:pStyle w:val="ListParagraph"/>
        <w:numPr>
          <w:ilvl w:val="0"/>
          <w:numId w:val="1"/>
        </w:numPr>
        <w:jc w:val="both"/>
        <w:rPr>
          <w:noProof/>
        </w:rPr>
      </w:pPr>
      <w:r>
        <w:rPr>
          <w:noProof/>
        </w:rPr>
        <w:t>Such renting shall be meant for residential or lodging purposes; and</w:t>
      </w:r>
    </w:p>
    <w:p w:rsidR="000D7F15" w:rsidRDefault="000D7F15" w:rsidP="00294E90">
      <w:pPr>
        <w:pStyle w:val="ListParagraph"/>
        <w:numPr>
          <w:ilvl w:val="0"/>
          <w:numId w:val="1"/>
        </w:numPr>
        <w:jc w:val="both"/>
        <w:rPr>
          <w:noProof/>
        </w:rPr>
      </w:pPr>
      <w:r>
        <w:rPr>
          <w:noProof/>
        </w:rPr>
        <w:t>Declared tariff or a room shall be below rupee one thousand per day or equivalent.</w:t>
      </w:r>
    </w:p>
    <w:p w:rsidR="000D7F15" w:rsidRDefault="000D7F15" w:rsidP="00294E90">
      <w:pPr>
        <w:jc w:val="both"/>
        <w:rPr>
          <w:noProof/>
        </w:rPr>
      </w:pPr>
      <w:r>
        <w:rPr>
          <w:noProof/>
        </w:rPr>
        <w:t>If declared tariff exceeds Rs.1000/- per day, then as per Sr. No. 6 of Notification No.26/2012, Service tax is required to be pai</w:t>
      </w:r>
      <w:r w:rsidR="00A259FA">
        <w:rPr>
          <w:noProof/>
        </w:rPr>
        <w:t>d</w:t>
      </w:r>
      <w:r>
        <w:rPr>
          <w:noProof/>
        </w:rPr>
        <w:t xml:space="preserve"> on 60% of the value subjected to the condi</w:t>
      </w:r>
      <w:r w:rsidR="00A259FA">
        <w:rPr>
          <w:noProof/>
        </w:rPr>
        <w:t>tion that CENVAT Credit on inpu</w:t>
      </w:r>
      <w:r>
        <w:rPr>
          <w:noProof/>
        </w:rPr>
        <w:t>ts and capital goods used for providing the taxable service has not been taken under the CCR 2004.</w:t>
      </w:r>
    </w:p>
    <w:p w:rsidR="00A259FA" w:rsidRDefault="002D5620" w:rsidP="00294E90">
      <w:pPr>
        <w:jc w:val="both"/>
        <w:rPr>
          <w:b/>
          <w:noProof/>
          <w:u w:val="single"/>
        </w:rPr>
      </w:pPr>
      <w:r w:rsidRPr="002D5620">
        <w:rPr>
          <w:b/>
          <w:noProof/>
          <w:u w:val="single"/>
        </w:rPr>
        <w:t>Liablility under Reverse Charge</w:t>
      </w:r>
    </w:p>
    <w:p w:rsidR="00E14061" w:rsidRDefault="002D5620" w:rsidP="00294E90">
      <w:pPr>
        <w:jc w:val="both"/>
        <w:rPr>
          <w:noProof/>
        </w:rPr>
      </w:pPr>
      <w:r>
        <w:rPr>
          <w:noProof/>
        </w:rPr>
        <w:t>Wherever the service provider is located outside the taxable territory but the servce is being provided in taxable territory, the tax shall be payable by service receiver.</w:t>
      </w:r>
    </w:p>
    <w:p w:rsidR="00E45FE8" w:rsidRDefault="00E45FE8" w:rsidP="00E14061">
      <w:pPr>
        <w:jc w:val="center"/>
        <w:rPr>
          <w:b/>
          <w:noProof/>
          <w:u w:val="single"/>
        </w:rPr>
      </w:pPr>
      <w:r w:rsidRPr="0056237E">
        <w:rPr>
          <w:b/>
          <w:noProof/>
          <w:u w:val="single"/>
        </w:rPr>
        <w:lastRenderedPageBreak/>
        <w:t>CENVAT Credit on Service tax paid for Renting of hotels,inns, guest house, clubs, campsits or other commercial places meant for residential or lodging purpose.</w:t>
      </w:r>
    </w:p>
    <w:p w:rsidR="00F666A2" w:rsidRPr="00F666A2" w:rsidRDefault="00F666A2" w:rsidP="00F666A2">
      <w:pPr>
        <w:pStyle w:val="ListParagraph"/>
        <w:numPr>
          <w:ilvl w:val="0"/>
          <w:numId w:val="3"/>
        </w:numPr>
        <w:rPr>
          <w:b/>
          <w:noProof/>
          <w:u w:val="single"/>
        </w:rPr>
      </w:pPr>
      <w:r w:rsidRPr="00F666A2">
        <w:rPr>
          <w:noProof/>
        </w:rPr>
        <w:t>If Such Service is used for Personal Use</w:t>
      </w:r>
      <w:r w:rsidRPr="00F666A2">
        <w:rPr>
          <w:noProof/>
        </w:rPr>
        <w:tab/>
      </w:r>
      <w:r>
        <w:rPr>
          <w:noProof/>
        </w:rPr>
        <w:tab/>
        <w:t>CCR is not allowed</w:t>
      </w:r>
    </w:p>
    <w:p w:rsidR="00F666A2" w:rsidRPr="00F666A2" w:rsidRDefault="00F666A2" w:rsidP="00F666A2">
      <w:pPr>
        <w:pStyle w:val="ListParagraph"/>
        <w:numPr>
          <w:ilvl w:val="0"/>
          <w:numId w:val="3"/>
        </w:numPr>
        <w:rPr>
          <w:b/>
          <w:noProof/>
          <w:u w:val="single"/>
        </w:rPr>
      </w:pPr>
      <w:r>
        <w:rPr>
          <w:noProof/>
        </w:rPr>
        <w:t xml:space="preserve"> If Such Service is used for Employee Benefit</w:t>
      </w:r>
      <w:r>
        <w:rPr>
          <w:noProof/>
        </w:rPr>
        <w:tab/>
        <w:t>CCR is not Allowed</w:t>
      </w:r>
    </w:p>
    <w:p w:rsidR="00F666A2" w:rsidRPr="00F666A2" w:rsidRDefault="00F666A2" w:rsidP="00F666A2">
      <w:pPr>
        <w:pStyle w:val="ListParagraph"/>
        <w:numPr>
          <w:ilvl w:val="0"/>
          <w:numId w:val="3"/>
        </w:numPr>
        <w:rPr>
          <w:b/>
          <w:noProof/>
          <w:u w:val="single"/>
        </w:rPr>
      </w:pPr>
      <w:r>
        <w:rPr>
          <w:noProof/>
        </w:rPr>
        <w:t>If Such service is used for providing taxable</w:t>
      </w:r>
    </w:p>
    <w:p w:rsidR="00F666A2" w:rsidRPr="00F666A2" w:rsidRDefault="00F666A2" w:rsidP="00F666A2">
      <w:pPr>
        <w:pStyle w:val="ListParagraph"/>
        <w:rPr>
          <w:b/>
          <w:noProof/>
          <w:u w:val="single"/>
        </w:rPr>
      </w:pPr>
      <w:r>
        <w:rPr>
          <w:noProof/>
        </w:rPr>
        <w:t>Service</w:t>
      </w:r>
      <w:r>
        <w:rPr>
          <w:noProof/>
        </w:rPr>
        <w:tab/>
      </w:r>
      <w:r>
        <w:rPr>
          <w:noProof/>
        </w:rPr>
        <w:tab/>
      </w:r>
      <w:r>
        <w:rPr>
          <w:noProof/>
        </w:rPr>
        <w:tab/>
      </w:r>
      <w:r>
        <w:rPr>
          <w:noProof/>
        </w:rPr>
        <w:tab/>
      </w:r>
      <w:r>
        <w:rPr>
          <w:noProof/>
        </w:rPr>
        <w:tab/>
      </w:r>
      <w:r>
        <w:rPr>
          <w:noProof/>
        </w:rPr>
        <w:tab/>
        <w:t>CCR is allowed</w:t>
      </w:r>
    </w:p>
    <w:p w:rsidR="008119BF" w:rsidRPr="0056237E" w:rsidRDefault="008119BF" w:rsidP="00294E90">
      <w:pPr>
        <w:jc w:val="both"/>
        <w:rPr>
          <w:b/>
          <w:noProof/>
          <w:u w:val="single"/>
        </w:rPr>
      </w:pPr>
    </w:p>
    <w:p w:rsidR="00E45FE8" w:rsidRDefault="00E45FE8" w:rsidP="00294E90">
      <w:pPr>
        <w:jc w:val="both"/>
      </w:pPr>
      <w:bookmarkStart w:id="0" w:name="_GoBack"/>
      <w:bookmarkEnd w:id="0"/>
    </w:p>
    <w:sectPr w:rsidR="00E45FE8" w:rsidSect="007F1DD2">
      <w:pgSz w:w="12240" w:h="15840"/>
      <w:pgMar w:top="1440" w:right="1440" w:bottom="1440" w:left="1440" w:header="720" w:footer="720" w:gutter="0"/>
      <w:pgBorders w:offsetFrom="page">
        <w:top w:val="double" w:sz="4" w:space="24" w:color="002060"/>
        <w:left w:val="double" w:sz="4" w:space="24" w:color="002060"/>
        <w:bottom w:val="double" w:sz="4" w:space="24" w:color="002060"/>
        <w:right w:val="double" w:sz="4" w:space="24" w:color="00206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620" w:rsidRDefault="002D5620" w:rsidP="002D5620">
      <w:pPr>
        <w:spacing w:after="0" w:line="240" w:lineRule="auto"/>
      </w:pPr>
      <w:r>
        <w:separator/>
      </w:r>
    </w:p>
  </w:endnote>
  <w:endnote w:type="continuationSeparator" w:id="0">
    <w:p w:rsidR="002D5620" w:rsidRDefault="002D5620" w:rsidP="002D5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620" w:rsidRDefault="002D5620" w:rsidP="002D5620">
      <w:pPr>
        <w:spacing w:after="0" w:line="240" w:lineRule="auto"/>
      </w:pPr>
      <w:r>
        <w:separator/>
      </w:r>
    </w:p>
  </w:footnote>
  <w:footnote w:type="continuationSeparator" w:id="0">
    <w:p w:rsidR="002D5620" w:rsidRDefault="002D5620" w:rsidP="002D56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B05CB"/>
    <w:multiLevelType w:val="hybridMultilevel"/>
    <w:tmpl w:val="D3085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46D2127"/>
    <w:multiLevelType w:val="hybridMultilevel"/>
    <w:tmpl w:val="FA0C4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9966000"/>
    <w:multiLevelType w:val="hybridMultilevel"/>
    <w:tmpl w:val="5E847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E0E"/>
    <w:rsid w:val="000D7F15"/>
    <w:rsid w:val="00294E90"/>
    <w:rsid w:val="002D5620"/>
    <w:rsid w:val="00317956"/>
    <w:rsid w:val="003E044F"/>
    <w:rsid w:val="00437BAB"/>
    <w:rsid w:val="0056237E"/>
    <w:rsid w:val="005A0B9A"/>
    <w:rsid w:val="007E29F0"/>
    <w:rsid w:val="007F1DD2"/>
    <w:rsid w:val="008119BF"/>
    <w:rsid w:val="00931E0E"/>
    <w:rsid w:val="009976F7"/>
    <w:rsid w:val="009C7956"/>
    <w:rsid w:val="00A259FA"/>
    <w:rsid w:val="00AE65EA"/>
    <w:rsid w:val="00BE1C06"/>
    <w:rsid w:val="00D23F95"/>
    <w:rsid w:val="00DC5FF8"/>
    <w:rsid w:val="00DE3C07"/>
    <w:rsid w:val="00E14061"/>
    <w:rsid w:val="00E45FE8"/>
    <w:rsid w:val="00F122EA"/>
    <w:rsid w:val="00F3489B"/>
    <w:rsid w:val="00F4327C"/>
    <w:rsid w:val="00F66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4]"/>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1C0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5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FE8"/>
    <w:rPr>
      <w:rFonts w:ascii="Tahoma" w:hAnsi="Tahoma" w:cs="Tahoma"/>
      <w:sz w:val="16"/>
      <w:szCs w:val="16"/>
    </w:rPr>
  </w:style>
  <w:style w:type="paragraph" w:styleId="ListParagraph">
    <w:name w:val="List Paragraph"/>
    <w:basedOn w:val="Normal"/>
    <w:uiPriority w:val="34"/>
    <w:qFormat/>
    <w:rsid w:val="005A0B9A"/>
    <w:pPr>
      <w:ind w:left="720"/>
      <w:contextualSpacing/>
    </w:pPr>
  </w:style>
  <w:style w:type="paragraph" w:styleId="Header">
    <w:name w:val="header"/>
    <w:basedOn w:val="Normal"/>
    <w:link w:val="HeaderChar"/>
    <w:uiPriority w:val="99"/>
    <w:unhideWhenUsed/>
    <w:rsid w:val="002D56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5620"/>
  </w:style>
  <w:style w:type="paragraph" w:styleId="Footer">
    <w:name w:val="footer"/>
    <w:basedOn w:val="Normal"/>
    <w:link w:val="FooterChar"/>
    <w:uiPriority w:val="99"/>
    <w:unhideWhenUsed/>
    <w:rsid w:val="002D56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56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1C0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5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FE8"/>
    <w:rPr>
      <w:rFonts w:ascii="Tahoma" w:hAnsi="Tahoma" w:cs="Tahoma"/>
      <w:sz w:val="16"/>
      <w:szCs w:val="16"/>
    </w:rPr>
  </w:style>
  <w:style w:type="paragraph" w:styleId="ListParagraph">
    <w:name w:val="List Paragraph"/>
    <w:basedOn w:val="Normal"/>
    <w:uiPriority w:val="34"/>
    <w:qFormat/>
    <w:rsid w:val="005A0B9A"/>
    <w:pPr>
      <w:ind w:left="720"/>
      <w:contextualSpacing/>
    </w:pPr>
  </w:style>
  <w:style w:type="paragraph" w:styleId="Header">
    <w:name w:val="header"/>
    <w:basedOn w:val="Normal"/>
    <w:link w:val="HeaderChar"/>
    <w:uiPriority w:val="99"/>
    <w:unhideWhenUsed/>
    <w:rsid w:val="002D56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5620"/>
  </w:style>
  <w:style w:type="paragraph" w:styleId="Footer">
    <w:name w:val="footer"/>
    <w:basedOn w:val="Normal"/>
    <w:link w:val="FooterChar"/>
    <w:uiPriority w:val="99"/>
    <w:unhideWhenUsed/>
    <w:rsid w:val="002D56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5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875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2</Pages>
  <Words>391</Words>
  <Characters>2234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Rajput</dc:creator>
  <cp:keywords/>
  <dc:description/>
  <cp:lastModifiedBy>Sandeep Rajput</cp:lastModifiedBy>
  <cp:revision>20</cp:revision>
  <dcterms:created xsi:type="dcterms:W3CDTF">2014-01-02T10:09:00Z</dcterms:created>
  <dcterms:modified xsi:type="dcterms:W3CDTF">2014-01-18T12:44:00Z</dcterms:modified>
</cp:coreProperties>
</file>