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177" w:rsidRDefault="00C11177" w:rsidP="00C11177">
      <w:pPr>
        <w:rPr>
          <w:sz w:val="24"/>
          <w:szCs w:val="24"/>
        </w:rPr>
      </w:pPr>
    </w:p>
    <w:p w:rsidR="00C11177" w:rsidRDefault="00C11177" w:rsidP="00C11177">
      <w:pPr>
        <w:pStyle w:val="ListParagraph"/>
        <w:rPr>
          <w:sz w:val="24"/>
          <w:szCs w:val="24"/>
        </w:rPr>
      </w:pPr>
    </w:p>
    <w:p w:rsidR="00C11177" w:rsidRPr="00C11177" w:rsidRDefault="00C11177" w:rsidP="00C11177">
      <w:pPr>
        <w:pStyle w:val="ListParagraph"/>
        <w:numPr>
          <w:ilvl w:val="0"/>
          <w:numId w:val="1"/>
        </w:numPr>
        <w:rPr>
          <w:b/>
          <w:sz w:val="24"/>
          <w:szCs w:val="24"/>
        </w:rPr>
      </w:pPr>
      <w:r w:rsidRPr="00C11177">
        <w:rPr>
          <w:b/>
          <w:sz w:val="24"/>
          <w:szCs w:val="24"/>
        </w:rPr>
        <w:t>The Central board of Excise and customs (the CBEC) Vide Circular No. 168/03/2013 dated 15/04/2013 has clarification on the following issue.</w:t>
      </w:r>
    </w:p>
    <w:p w:rsidR="00C11177" w:rsidRDefault="00C11177" w:rsidP="00C11177">
      <w:pPr>
        <w:pStyle w:val="ListParagraph"/>
        <w:numPr>
          <w:ilvl w:val="0"/>
          <w:numId w:val="1"/>
        </w:numPr>
        <w:rPr>
          <w:sz w:val="24"/>
          <w:szCs w:val="24"/>
        </w:rPr>
      </w:pPr>
      <w:r w:rsidRPr="00C11177">
        <w:rPr>
          <w:b/>
          <w:color w:val="FF0000"/>
          <w:sz w:val="28"/>
          <w:szCs w:val="28"/>
        </w:rPr>
        <w:t>Issue:</w:t>
      </w:r>
      <w:r w:rsidRPr="00C11177">
        <w:rPr>
          <w:color w:val="FF0000"/>
          <w:sz w:val="24"/>
          <w:szCs w:val="24"/>
        </w:rPr>
        <w:t xml:space="preserve"> </w:t>
      </w:r>
      <w:r>
        <w:rPr>
          <w:sz w:val="24"/>
          <w:szCs w:val="24"/>
        </w:rPr>
        <w:t>Whether service tax is leviable on the activity of Preparation of Place for organizing event or function by way of erection of pandal &amp; shamiana?</w:t>
      </w:r>
    </w:p>
    <w:p w:rsidR="00C11177" w:rsidRDefault="00C11177" w:rsidP="00C11177">
      <w:pPr>
        <w:pStyle w:val="ListParagraph"/>
        <w:numPr>
          <w:ilvl w:val="0"/>
          <w:numId w:val="1"/>
        </w:numPr>
        <w:rPr>
          <w:b/>
          <w:color w:val="000000" w:themeColor="text1"/>
          <w:sz w:val="28"/>
          <w:szCs w:val="28"/>
        </w:rPr>
      </w:pPr>
      <w:r w:rsidRPr="00C11177">
        <w:rPr>
          <w:b/>
          <w:color w:val="000000" w:themeColor="text1"/>
          <w:sz w:val="28"/>
          <w:szCs w:val="28"/>
        </w:rPr>
        <w:t>Clarification Points:</w:t>
      </w:r>
    </w:p>
    <w:p w:rsidR="00C11177" w:rsidRPr="00C11177" w:rsidRDefault="00D63573" w:rsidP="00C11177">
      <w:pPr>
        <w:pStyle w:val="ListParagraph"/>
        <w:rPr>
          <w:color w:val="000000" w:themeColor="text1"/>
          <w:sz w:val="28"/>
          <w:szCs w:val="28"/>
        </w:rPr>
      </w:pPr>
      <w:r>
        <w:rPr>
          <w:color w:val="000000" w:themeColor="text1"/>
          <w:sz w:val="24"/>
          <w:szCs w:val="24"/>
        </w:rPr>
        <w:t>(I)</w:t>
      </w:r>
      <w:r w:rsidR="00C11177" w:rsidRPr="00C11177">
        <w:rPr>
          <w:color w:val="000000" w:themeColor="text1"/>
          <w:sz w:val="24"/>
          <w:szCs w:val="24"/>
        </w:rPr>
        <w:t>A</w:t>
      </w:r>
      <w:r w:rsidR="00C11177">
        <w:rPr>
          <w:color w:val="000000" w:themeColor="text1"/>
          <w:sz w:val="24"/>
          <w:szCs w:val="24"/>
        </w:rPr>
        <w:t>ctivity by way of erection of pandal or shamiana is a declared service, under section</w:t>
      </w:r>
    </w:p>
    <w:p w:rsidR="00C11177" w:rsidRDefault="00D63573" w:rsidP="00C11177">
      <w:pPr>
        <w:pStyle w:val="ListParagraph"/>
        <w:rPr>
          <w:color w:val="000000" w:themeColor="text1"/>
          <w:sz w:val="24"/>
          <w:szCs w:val="24"/>
        </w:rPr>
      </w:pPr>
      <w:r>
        <w:rPr>
          <w:color w:val="000000" w:themeColor="text1"/>
          <w:sz w:val="24"/>
          <w:szCs w:val="24"/>
        </w:rPr>
        <w:t xml:space="preserve">    </w:t>
      </w:r>
      <w:r w:rsidR="00C11177">
        <w:rPr>
          <w:color w:val="000000" w:themeColor="text1"/>
          <w:sz w:val="24"/>
          <w:szCs w:val="24"/>
        </w:rPr>
        <w:t xml:space="preserve">66E </w:t>
      </w:r>
      <w:r>
        <w:rPr>
          <w:color w:val="000000" w:themeColor="text1"/>
          <w:sz w:val="24"/>
          <w:szCs w:val="24"/>
        </w:rPr>
        <w:t xml:space="preserve"> </w:t>
      </w:r>
      <w:r w:rsidR="00C11177">
        <w:rPr>
          <w:color w:val="000000" w:themeColor="text1"/>
          <w:sz w:val="24"/>
          <w:szCs w:val="24"/>
        </w:rPr>
        <w:t>8(F).</w:t>
      </w:r>
    </w:p>
    <w:p w:rsidR="00D63573" w:rsidRDefault="00D63573" w:rsidP="00C11177">
      <w:pPr>
        <w:pStyle w:val="ListParagraph"/>
        <w:rPr>
          <w:color w:val="000000" w:themeColor="text1"/>
          <w:sz w:val="24"/>
          <w:szCs w:val="24"/>
        </w:rPr>
      </w:pPr>
      <w:r>
        <w:rPr>
          <w:color w:val="000000" w:themeColor="text1"/>
          <w:sz w:val="24"/>
          <w:szCs w:val="24"/>
        </w:rPr>
        <w:t>(II)The process of erection of pandal or shamiana is a reasonably specialized job and is   carried out by the supplier with the help of his own labour.</w:t>
      </w:r>
    </w:p>
    <w:p w:rsidR="007B41F6" w:rsidRDefault="007B41F6" w:rsidP="00C11177">
      <w:pPr>
        <w:pStyle w:val="ListParagraph"/>
        <w:rPr>
          <w:color w:val="000000" w:themeColor="text1"/>
          <w:sz w:val="24"/>
          <w:szCs w:val="24"/>
        </w:rPr>
      </w:pPr>
      <w:r>
        <w:rPr>
          <w:color w:val="000000" w:themeColor="text1"/>
          <w:sz w:val="24"/>
          <w:szCs w:val="24"/>
        </w:rPr>
        <w:t>(III)The erection of pandal or shamiana the service is generally coupled with other   services Like</w:t>
      </w:r>
      <w:r w:rsidR="00031B99">
        <w:rPr>
          <w:color w:val="000000" w:themeColor="text1"/>
          <w:sz w:val="24"/>
          <w:szCs w:val="24"/>
        </w:rPr>
        <w:t xml:space="preserve"> supply of Crokery, furniture, sound system</w:t>
      </w:r>
      <w:r>
        <w:rPr>
          <w:color w:val="000000" w:themeColor="text1"/>
          <w:sz w:val="24"/>
          <w:szCs w:val="24"/>
        </w:rPr>
        <w:t>,</w:t>
      </w:r>
      <w:r w:rsidR="00031B99">
        <w:rPr>
          <w:color w:val="000000" w:themeColor="text1"/>
          <w:sz w:val="24"/>
          <w:szCs w:val="24"/>
        </w:rPr>
        <w:t xml:space="preserve"> </w:t>
      </w:r>
      <w:r>
        <w:rPr>
          <w:color w:val="000000" w:themeColor="text1"/>
          <w:sz w:val="24"/>
          <w:szCs w:val="24"/>
        </w:rPr>
        <w:t>lighting arrangements.</w:t>
      </w:r>
    </w:p>
    <w:p w:rsidR="00D63573" w:rsidRDefault="00031B99" w:rsidP="00C11177">
      <w:pPr>
        <w:pStyle w:val="ListParagraph"/>
        <w:rPr>
          <w:color w:val="000000" w:themeColor="text1"/>
          <w:sz w:val="24"/>
          <w:szCs w:val="24"/>
        </w:rPr>
      </w:pPr>
      <w:r>
        <w:rPr>
          <w:color w:val="000000" w:themeColor="text1"/>
          <w:sz w:val="24"/>
          <w:szCs w:val="24"/>
        </w:rPr>
        <w:t>(IV)In case of BSNL Vs. UOI [2006] 3 STT 245 Apex court held that to constitute the transaction for the transfer of the right to yse the goods, the transaction must have the following attributes:-</w:t>
      </w:r>
    </w:p>
    <w:p w:rsidR="00031B99" w:rsidRPr="00901A85" w:rsidRDefault="00901A85" w:rsidP="00901A85">
      <w:pPr>
        <w:pStyle w:val="ListParagraph"/>
        <w:numPr>
          <w:ilvl w:val="0"/>
          <w:numId w:val="2"/>
        </w:numPr>
        <w:spacing w:after="0" w:line="240" w:lineRule="auto"/>
        <w:ind w:right="1123"/>
        <w:jc w:val="both"/>
        <w:rPr>
          <w:rFonts w:ascii="Arial" w:eastAsia="Times New Roman" w:hAnsi="Arial" w:cs="Arial"/>
          <w:color w:val="000000"/>
          <w:sz w:val="20"/>
          <w:szCs w:val="20"/>
        </w:rPr>
      </w:pPr>
      <w:r>
        <w:rPr>
          <w:rFonts w:ascii="Arial" w:eastAsia="Times New Roman" w:hAnsi="Arial" w:cs="Arial"/>
          <w:color w:val="000000"/>
          <w:sz w:val="20"/>
          <w:szCs w:val="20"/>
        </w:rPr>
        <w:t xml:space="preserve">There </w:t>
      </w:r>
      <w:r w:rsidRPr="00901A85">
        <w:rPr>
          <w:rFonts w:ascii="Arial" w:eastAsia="Times New Roman" w:hAnsi="Arial" w:cs="Arial"/>
          <w:color w:val="000000"/>
          <w:sz w:val="20"/>
          <w:szCs w:val="20"/>
        </w:rPr>
        <w:t>must be goods for delivery.</w:t>
      </w:r>
    </w:p>
    <w:p w:rsidR="00901A85" w:rsidRDefault="00901A85" w:rsidP="00901A85">
      <w:pPr>
        <w:pStyle w:val="ListParagraph"/>
        <w:numPr>
          <w:ilvl w:val="0"/>
          <w:numId w:val="2"/>
        </w:numPr>
        <w:spacing w:after="0" w:line="240" w:lineRule="auto"/>
        <w:ind w:right="1123"/>
        <w:jc w:val="both"/>
        <w:rPr>
          <w:rFonts w:ascii="Calibri" w:eastAsia="Times New Roman" w:hAnsi="Calibri" w:cs="Calibri"/>
          <w:color w:val="000000"/>
        </w:rPr>
      </w:pPr>
      <w:r>
        <w:rPr>
          <w:rFonts w:ascii="Calibri" w:eastAsia="Times New Roman" w:hAnsi="Calibri" w:cs="Calibri"/>
          <w:color w:val="000000"/>
        </w:rPr>
        <w:t xml:space="preserve">There must be a consensus </w:t>
      </w:r>
      <w:r w:rsidRPr="00901A85">
        <w:rPr>
          <w:rFonts w:ascii="Calibri" w:eastAsia="Times New Roman" w:hAnsi="Calibri" w:cs="Calibri"/>
          <w:i/>
          <w:color w:val="000000"/>
        </w:rPr>
        <w:t>ad idem</w:t>
      </w:r>
      <w:r>
        <w:rPr>
          <w:rFonts w:ascii="Calibri" w:eastAsia="Times New Roman" w:hAnsi="Calibri" w:cs="Calibri"/>
          <w:color w:val="000000"/>
        </w:rPr>
        <w:t xml:space="preserve"> as to the identity of goods.</w:t>
      </w:r>
    </w:p>
    <w:p w:rsidR="00901A85" w:rsidRDefault="00901A85" w:rsidP="00901A85">
      <w:pPr>
        <w:pStyle w:val="ListParagraph"/>
        <w:numPr>
          <w:ilvl w:val="0"/>
          <w:numId w:val="2"/>
        </w:numPr>
        <w:spacing w:after="0" w:line="240" w:lineRule="auto"/>
        <w:ind w:right="1123"/>
        <w:jc w:val="both"/>
        <w:rPr>
          <w:rFonts w:ascii="Calibri" w:eastAsia="Times New Roman" w:hAnsi="Calibri" w:cs="Calibri"/>
          <w:color w:val="000000"/>
        </w:rPr>
      </w:pPr>
      <w:r>
        <w:rPr>
          <w:rFonts w:ascii="Calibri" w:eastAsia="Times New Roman" w:hAnsi="Calibri" w:cs="Calibri"/>
          <w:color w:val="000000"/>
        </w:rPr>
        <w:t>The transferee should have a legal right to use the goods.</w:t>
      </w:r>
    </w:p>
    <w:p w:rsidR="00901A85" w:rsidRDefault="00901A85" w:rsidP="00901A85">
      <w:pPr>
        <w:pStyle w:val="ListParagraph"/>
        <w:numPr>
          <w:ilvl w:val="0"/>
          <w:numId w:val="2"/>
        </w:numPr>
        <w:spacing w:after="0" w:line="240" w:lineRule="auto"/>
        <w:ind w:right="1123"/>
        <w:jc w:val="both"/>
        <w:rPr>
          <w:rFonts w:ascii="Calibri" w:eastAsia="Times New Roman" w:hAnsi="Calibri" w:cs="Calibri"/>
          <w:color w:val="000000"/>
        </w:rPr>
      </w:pPr>
      <w:r>
        <w:rPr>
          <w:rFonts w:ascii="Calibri" w:eastAsia="Times New Roman" w:hAnsi="Calibri" w:cs="Calibri"/>
          <w:color w:val="000000"/>
        </w:rPr>
        <w:t>For the period during which the transferee has such legal right, it has to be the exclusion of the transferor: this is the necessary concomitant or the Plain language of the statute, viz., a “transfer of the right to use” and not merely a license to use the goods.</w:t>
      </w:r>
    </w:p>
    <w:p w:rsidR="00901A85" w:rsidRDefault="001B57CF" w:rsidP="00901A85">
      <w:pPr>
        <w:pStyle w:val="ListParagraph"/>
        <w:numPr>
          <w:ilvl w:val="0"/>
          <w:numId w:val="2"/>
        </w:numPr>
        <w:spacing w:after="0" w:line="240" w:lineRule="auto"/>
        <w:ind w:right="1123"/>
        <w:jc w:val="both"/>
        <w:rPr>
          <w:rFonts w:ascii="Calibri" w:eastAsia="Times New Roman" w:hAnsi="Calibri" w:cs="Calibri"/>
          <w:color w:val="000000"/>
        </w:rPr>
      </w:pPr>
      <w:r>
        <w:rPr>
          <w:rFonts w:ascii="Calibri" w:eastAsia="Times New Roman" w:hAnsi="Calibri" w:cs="Calibri"/>
          <w:color w:val="000000"/>
        </w:rPr>
        <w:t xml:space="preserve">For a transaction to be regarded as “transfer of right to use goods”, the transfer has to be coupled with Possession. Andhra Pradesh High Court in the case of Rashtriya  Ispat Nigam Ltd. Vs. CTO [1990 77 STC 182] held  that since the effective control and possession was with supplier, there is no transfer of right to use. This decision of the Andhra Pradesh high court was upheld by the Supreme Court subsequently [2002] 126 STC 0114. In the matter of Harbans lal Vs. state of Haryana –[1993] 088 stc 0357 [Punjab and Haryana high court], a view was taken that if pandal is given to customers for </w:t>
      </w:r>
      <w:r w:rsidR="00DF50FD">
        <w:rPr>
          <w:rFonts w:ascii="Calibri" w:eastAsia="Times New Roman" w:hAnsi="Calibri" w:cs="Calibri"/>
          <w:color w:val="000000"/>
        </w:rPr>
        <w:t>use only after having been erected , then it is not transfer of right to use goods.</w:t>
      </w:r>
    </w:p>
    <w:p w:rsidR="00455A58" w:rsidRDefault="00455A58" w:rsidP="00901A85">
      <w:pPr>
        <w:pStyle w:val="ListParagraph"/>
        <w:numPr>
          <w:ilvl w:val="0"/>
          <w:numId w:val="2"/>
        </w:numPr>
        <w:spacing w:after="0" w:line="240" w:lineRule="auto"/>
        <w:ind w:right="1123"/>
        <w:jc w:val="both"/>
        <w:rPr>
          <w:rFonts w:eastAsia="Times New Roman" w:cstheme="minorHAnsi"/>
          <w:color w:val="000000"/>
        </w:rPr>
      </w:pPr>
      <w:r w:rsidRPr="00455A58">
        <w:rPr>
          <w:rFonts w:eastAsia="Times New Roman" w:cstheme="minorHAnsi"/>
          <w:color w:val="000000"/>
        </w:rPr>
        <w:t> Applying the ratio of above judgments and the test formulated by Hon’ble Supreme Court, the activity of providing </w:t>
      </w:r>
      <w:r w:rsidRPr="00455A58">
        <w:rPr>
          <w:rFonts w:eastAsia="Times New Roman" w:cstheme="minorHAnsi"/>
          <w:i/>
          <w:iCs/>
          <w:color w:val="000000"/>
        </w:rPr>
        <w:t>pandal</w:t>
      </w:r>
      <w:r w:rsidRPr="00455A58">
        <w:rPr>
          <w:rFonts w:eastAsia="Times New Roman" w:cstheme="minorHAnsi"/>
          <w:color w:val="000000"/>
        </w:rPr>
        <w:t> and </w:t>
      </w:r>
      <w:r w:rsidRPr="00455A58">
        <w:rPr>
          <w:rFonts w:eastAsia="Times New Roman" w:cstheme="minorHAnsi"/>
          <w:i/>
          <w:iCs/>
          <w:color w:val="000000"/>
        </w:rPr>
        <w:t>shamiana</w:t>
      </w:r>
      <w:r w:rsidRPr="00455A58">
        <w:rPr>
          <w:rFonts w:eastAsia="Times New Roman" w:cstheme="minorHAnsi"/>
          <w:color w:val="000000"/>
        </w:rPr>
        <w:t xml:space="preserve"> along with erection thereof and other incidental activities do not amount to transfer of right to use goods. It is a service of preparation of a place to </w:t>
      </w:r>
      <w:r>
        <w:rPr>
          <w:rFonts w:eastAsia="Times New Roman" w:cstheme="minorHAnsi"/>
          <w:color w:val="000000"/>
        </w:rPr>
        <w:t xml:space="preserve">hold a function or </w:t>
      </w:r>
      <w:r w:rsidRPr="00455A58">
        <w:rPr>
          <w:rFonts w:eastAsia="Times New Roman" w:cstheme="minorHAnsi"/>
          <w:color w:val="000000"/>
        </w:rPr>
        <w:t>event. Effective possession and control over the </w:t>
      </w:r>
      <w:r w:rsidRPr="00455A58">
        <w:rPr>
          <w:rFonts w:eastAsia="Times New Roman" w:cstheme="minorHAnsi"/>
          <w:i/>
          <w:iCs/>
          <w:color w:val="000000"/>
        </w:rPr>
        <w:t>pandal</w:t>
      </w:r>
      <w:r w:rsidRPr="00455A58">
        <w:rPr>
          <w:rFonts w:eastAsia="Times New Roman" w:cstheme="minorHAnsi"/>
          <w:color w:val="000000"/>
        </w:rPr>
        <w:t> or </w:t>
      </w:r>
      <w:r w:rsidRPr="00455A58">
        <w:rPr>
          <w:rFonts w:eastAsia="Times New Roman" w:cstheme="minorHAnsi"/>
          <w:i/>
          <w:iCs/>
          <w:color w:val="000000"/>
        </w:rPr>
        <w:t>shamiana</w:t>
      </w:r>
      <w:r w:rsidRPr="00455A58">
        <w:rPr>
          <w:rFonts w:eastAsia="Times New Roman" w:cstheme="minorHAnsi"/>
          <w:color w:val="000000"/>
        </w:rPr>
        <w:t> remains with the service provider, even after the erection is complete and the specially made–up space for temporary use handed over to the customer</w:t>
      </w:r>
      <w:r w:rsidR="002956EC">
        <w:rPr>
          <w:rFonts w:eastAsia="Times New Roman" w:cstheme="minorHAnsi"/>
          <w:color w:val="000000"/>
        </w:rPr>
        <w:t>.</w:t>
      </w:r>
    </w:p>
    <w:p w:rsidR="002956EC" w:rsidRDefault="002956EC" w:rsidP="002956EC">
      <w:pPr>
        <w:spacing w:after="0" w:line="240" w:lineRule="auto"/>
        <w:ind w:right="1123"/>
        <w:jc w:val="both"/>
        <w:rPr>
          <w:rFonts w:eastAsia="Times New Roman" w:cstheme="minorHAnsi"/>
          <w:color w:val="000000"/>
        </w:rPr>
      </w:pPr>
    </w:p>
    <w:p w:rsidR="002956EC" w:rsidRDefault="002956EC" w:rsidP="002956EC">
      <w:pPr>
        <w:spacing w:after="0" w:line="240" w:lineRule="auto"/>
        <w:ind w:right="1123"/>
        <w:jc w:val="both"/>
        <w:rPr>
          <w:rFonts w:eastAsia="Times New Roman" w:cstheme="minorHAnsi"/>
          <w:color w:val="000000"/>
        </w:rPr>
      </w:pPr>
    </w:p>
    <w:p w:rsidR="002956EC" w:rsidRDefault="002956EC" w:rsidP="002956EC">
      <w:pPr>
        <w:spacing w:after="0" w:line="240" w:lineRule="auto"/>
        <w:ind w:right="1123"/>
        <w:jc w:val="both"/>
        <w:rPr>
          <w:rFonts w:eastAsia="Times New Roman" w:cstheme="minorHAnsi"/>
          <w:color w:val="000000"/>
        </w:rPr>
      </w:pPr>
    </w:p>
    <w:p w:rsidR="002956EC" w:rsidRPr="002956EC" w:rsidRDefault="002956EC" w:rsidP="002956EC">
      <w:pPr>
        <w:spacing w:after="0" w:line="240" w:lineRule="auto"/>
        <w:ind w:right="1123"/>
        <w:jc w:val="both"/>
        <w:rPr>
          <w:rFonts w:eastAsia="Times New Roman" w:cstheme="minorHAnsi"/>
          <w:color w:val="000000"/>
        </w:rPr>
      </w:pPr>
    </w:p>
    <w:p w:rsidR="00455A58" w:rsidRPr="00455A58" w:rsidRDefault="00455A58" w:rsidP="00455A58">
      <w:pPr>
        <w:pStyle w:val="ListParagraph"/>
        <w:numPr>
          <w:ilvl w:val="0"/>
          <w:numId w:val="2"/>
        </w:numPr>
        <w:spacing w:after="0" w:line="240" w:lineRule="auto"/>
        <w:ind w:right="1123"/>
        <w:jc w:val="both"/>
        <w:rPr>
          <w:rFonts w:ascii="Calibri" w:eastAsia="Times New Roman" w:hAnsi="Calibri" w:cs="Calibri"/>
          <w:color w:val="000000"/>
        </w:rPr>
      </w:pPr>
      <w:r w:rsidRPr="00455A58">
        <w:rPr>
          <w:rFonts w:ascii="Arial" w:eastAsia="Times New Roman" w:hAnsi="Arial" w:cs="Arial"/>
          <w:color w:val="000000"/>
          <w:sz w:val="20"/>
          <w:szCs w:val="20"/>
        </w:rPr>
        <w:t> </w:t>
      </w:r>
      <w:r w:rsidRPr="00455A58">
        <w:rPr>
          <w:rFonts w:ascii="Arial" w:eastAsia="Times New Roman" w:hAnsi="Arial" w:cs="Arial"/>
          <w:color w:val="FF0000"/>
          <w:sz w:val="28"/>
          <w:szCs w:val="28"/>
        </w:rPr>
        <w:t>RESULT</w:t>
      </w:r>
      <w:r w:rsidRPr="00455A58">
        <w:rPr>
          <w:rFonts w:ascii="Arial" w:eastAsia="Times New Roman" w:hAnsi="Arial" w:cs="Arial"/>
          <w:color w:val="000000"/>
          <w:sz w:val="28"/>
          <w:szCs w:val="28"/>
        </w:rPr>
        <w:t> :</w:t>
      </w:r>
      <w:r>
        <w:rPr>
          <w:rFonts w:ascii="Arial" w:eastAsia="Times New Roman" w:hAnsi="Arial" w:cs="Arial"/>
          <w:color w:val="000000"/>
          <w:sz w:val="20"/>
          <w:szCs w:val="20"/>
        </w:rPr>
        <w:t xml:space="preserve"> </w:t>
      </w:r>
      <w:r w:rsidRPr="00455A58">
        <w:rPr>
          <w:rFonts w:ascii="Arial" w:eastAsia="Times New Roman" w:hAnsi="Arial" w:cs="Arial"/>
          <w:color w:val="000000"/>
          <w:sz w:val="20"/>
          <w:szCs w:val="20"/>
        </w:rPr>
        <w:t>Accordingly services provided by way of erection of pandal or shamiana would attract the levy of service tax.</w:t>
      </w:r>
    </w:p>
    <w:p w:rsidR="00455A58" w:rsidRPr="00455A58" w:rsidRDefault="00455A58" w:rsidP="00455A58">
      <w:pPr>
        <w:pStyle w:val="ListParagraph"/>
        <w:spacing w:after="0" w:line="240" w:lineRule="auto"/>
        <w:ind w:left="1500" w:right="1123"/>
        <w:jc w:val="both"/>
        <w:rPr>
          <w:rFonts w:eastAsia="Times New Roman" w:cstheme="minorHAnsi"/>
          <w:color w:val="000000"/>
        </w:rPr>
      </w:pPr>
    </w:p>
    <w:p w:rsidR="001B57CF" w:rsidRPr="00455A58" w:rsidRDefault="001B57CF" w:rsidP="001B57CF">
      <w:pPr>
        <w:spacing w:after="0" w:line="240" w:lineRule="auto"/>
        <w:ind w:left="720" w:right="1123"/>
        <w:jc w:val="both"/>
        <w:rPr>
          <w:rFonts w:eastAsia="Times New Roman" w:cstheme="minorHAnsi"/>
          <w:color w:val="000000"/>
        </w:rPr>
      </w:pPr>
      <w:r w:rsidRPr="00455A58">
        <w:rPr>
          <w:rFonts w:eastAsia="Times New Roman" w:cstheme="minorHAnsi"/>
          <w:color w:val="000000"/>
          <w:sz w:val="20"/>
          <w:szCs w:val="20"/>
        </w:rPr>
        <w:t>.</w:t>
      </w:r>
    </w:p>
    <w:p w:rsidR="001B57CF" w:rsidRPr="0050145D" w:rsidRDefault="001B57CF" w:rsidP="001B57CF">
      <w:pPr>
        <w:spacing w:after="0" w:line="240" w:lineRule="auto"/>
        <w:ind w:left="720" w:right="1123"/>
        <w:jc w:val="both"/>
        <w:rPr>
          <w:rFonts w:ascii="Calibri" w:eastAsia="Times New Roman" w:hAnsi="Calibri" w:cs="Calibri"/>
          <w:color w:val="000000"/>
        </w:rPr>
      </w:pPr>
      <w:r w:rsidRPr="0050145D">
        <w:rPr>
          <w:rFonts w:ascii="Arial" w:eastAsia="Times New Roman" w:hAnsi="Arial" w:cs="Arial"/>
          <w:color w:val="000000"/>
          <w:sz w:val="20"/>
          <w:szCs w:val="20"/>
        </w:rPr>
        <w:t> </w:t>
      </w:r>
    </w:p>
    <w:p w:rsidR="00C11177" w:rsidRPr="00C11177" w:rsidRDefault="00C11177" w:rsidP="00C11177">
      <w:pPr>
        <w:pStyle w:val="ListParagraph"/>
        <w:rPr>
          <w:b/>
          <w:color w:val="FF0000"/>
          <w:sz w:val="28"/>
          <w:szCs w:val="28"/>
        </w:rPr>
      </w:pPr>
    </w:p>
    <w:p w:rsidR="00C11177" w:rsidRPr="00C11177" w:rsidRDefault="002956EC" w:rsidP="00C11177">
      <w:pPr>
        <w:ind w:left="360"/>
        <w:rPr>
          <w:sz w:val="24"/>
          <w:szCs w:val="24"/>
        </w:rPr>
      </w:pPr>
      <w:r>
        <w:rPr>
          <w:sz w:val="24"/>
          <w:szCs w:val="24"/>
        </w:rPr>
        <w:t xml:space="preserve">                      </w:t>
      </w:r>
      <w:bookmarkStart w:id="0" w:name="_GoBack"/>
      <w:bookmarkEnd w:id="0"/>
      <w:r>
        <w:rPr>
          <w:sz w:val="24"/>
          <w:szCs w:val="24"/>
        </w:rPr>
        <w:t xml:space="preserve"> For any query related to service tax mail me @aroraitax@gmail.com</w:t>
      </w:r>
    </w:p>
    <w:sectPr w:rsidR="00C11177" w:rsidRPr="00C1117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8F0" w:rsidRDefault="004D28F0" w:rsidP="000D56CE">
      <w:pPr>
        <w:spacing w:after="0" w:line="240" w:lineRule="auto"/>
      </w:pPr>
      <w:r>
        <w:separator/>
      </w:r>
    </w:p>
  </w:endnote>
  <w:endnote w:type="continuationSeparator" w:id="0">
    <w:p w:rsidR="004D28F0" w:rsidRDefault="004D28F0" w:rsidP="000D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8F0" w:rsidRDefault="004D28F0" w:rsidP="000D56CE">
      <w:pPr>
        <w:spacing w:after="0" w:line="240" w:lineRule="auto"/>
      </w:pPr>
      <w:r>
        <w:separator/>
      </w:r>
    </w:p>
  </w:footnote>
  <w:footnote w:type="continuationSeparator" w:id="0">
    <w:p w:rsidR="004D28F0" w:rsidRDefault="004D28F0" w:rsidP="000D56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CE" w:rsidRDefault="000D56CE">
    <w:pPr>
      <w:pStyle w:val="Header"/>
      <w:rPr>
        <w:sz w:val="32"/>
        <w:szCs w:val="32"/>
      </w:rPr>
    </w:pPr>
    <w:r w:rsidRPr="000D56CE">
      <w:rPr>
        <w:sz w:val="32"/>
        <w:szCs w:val="32"/>
      </w:rPr>
      <w:t>CA NITIN KUMAR ARORA</w:t>
    </w:r>
  </w:p>
  <w:p w:rsidR="000D56CE" w:rsidRPr="000D56CE" w:rsidRDefault="000D56CE">
    <w:pPr>
      <w:pStyle w:val="Header"/>
      <w:rPr>
        <w:sz w:val="32"/>
        <w:szCs w:val="32"/>
      </w:rPr>
    </w:pPr>
    <w:r>
      <w:rPr>
        <w:sz w:val="32"/>
        <w:szCs w:val="32"/>
      </w:rPr>
      <w:t>Email:</w:t>
    </w:r>
    <w:r w:rsidR="002956EC">
      <w:rPr>
        <w:sz w:val="32"/>
        <w:szCs w:val="32"/>
      </w:rPr>
      <w:t>aroraitax@gmail.com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30813"/>
    <w:multiLevelType w:val="hybridMultilevel"/>
    <w:tmpl w:val="5BC051F4"/>
    <w:lvl w:ilvl="0" w:tplc="EA569E3E">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4A881592"/>
    <w:multiLevelType w:val="hybridMultilevel"/>
    <w:tmpl w:val="5C00F16C"/>
    <w:lvl w:ilvl="0" w:tplc="4C746B0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DEB"/>
    <w:rsid w:val="000246C2"/>
    <w:rsid w:val="00031B99"/>
    <w:rsid w:val="00046EF5"/>
    <w:rsid w:val="000B3DEB"/>
    <w:rsid w:val="000D56CE"/>
    <w:rsid w:val="001B57CF"/>
    <w:rsid w:val="002956EC"/>
    <w:rsid w:val="003C681F"/>
    <w:rsid w:val="00402136"/>
    <w:rsid w:val="00443F5B"/>
    <w:rsid w:val="00455A58"/>
    <w:rsid w:val="004D28F0"/>
    <w:rsid w:val="007B41F6"/>
    <w:rsid w:val="00901A85"/>
    <w:rsid w:val="00C11177"/>
    <w:rsid w:val="00D63573"/>
    <w:rsid w:val="00DF5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177"/>
    <w:pPr>
      <w:ind w:left="720"/>
      <w:contextualSpacing/>
    </w:pPr>
  </w:style>
  <w:style w:type="paragraph" w:styleId="Header">
    <w:name w:val="header"/>
    <w:basedOn w:val="Normal"/>
    <w:link w:val="HeaderChar"/>
    <w:uiPriority w:val="99"/>
    <w:unhideWhenUsed/>
    <w:rsid w:val="000D5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6CE"/>
  </w:style>
  <w:style w:type="paragraph" w:styleId="Footer">
    <w:name w:val="footer"/>
    <w:basedOn w:val="Normal"/>
    <w:link w:val="FooterChar"/>
    <w:uiPriority w:val="99"/>
    <w:unhideWhenUsed/>
    <w:rsid w:val="000D5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6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177"/>
    <w:pPr>
      <w:ind w:left="720"/>
      <w:contextualSpacing/>
    </w:pPr>
  </w:style>
  <w:style w:type="paragraph" w:styleId="Header">
    <w:name w:val="header"/>
    <w:basedOn w:val="Normal"/>
    <w:link w:val="HeaderChar"/>
    <w:uiPriority w:val="99"/>
    <w:unhideWhenUsed/>
    <w:rsid w:val="000D5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6CE"/>
  </w:style>
  <w:style w:type="paragraph" w:styleId="Footer">
    <w:name w:val="footer"/>
    <w:basedOn w:val="Normal"/>
    <w:link w:val="FooterChar"/>
    <w:uiPriority w:val="99"/>
    <w:unhideWhenUsed/>
    <w:rsid w:val="000D5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gourav</dc:creator>
  <cp:keywords/>
  <dc:description/>
  <cp:lastModifiedBy>gourav</cp:lastModifiedBy>
  <cp:revision>8</cp:revision>
  <dcterms:created xsi:type="dcterms:W3CDTF">2013-04-21T07:25:00Z</dcterms:created>
  <dcterms:modified xsi:type="dcterms:W3CDTF">2013-04-21T08:41:00Z</dcterms:modified>
</cp:coreProperties>
</file>