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9E" w:rsidRPr="0023609E" w:rsidRDefault="0023609E" w:rsidP="0023609E">
      <w:pPr>
        <w:spacing w:after="0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Returns a service tax assessee has to file: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 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ST-3 Return</w:t>
      </w: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 xml:space="preserve"> – 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t>For all the registered assessee, including Input Service Distributors</w:t>
      </w: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.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 </w:t>
      </w:r>
    </w:p>
    <w:p w:rsidR="0023609E" w:rsidRPr="0023609E" w:rsidRDefault="0023609E" w:rsidP="0023609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Procedure for e-filing:</w:t>
      </w:r>
    </w:p>
    <w:p w:rsidR="0023609E" w:rsidRPr="0023609E" w:rsidRDefault="0023609E" w:rsidP="00236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File of an application to the jurisdictional Asst</w:t>
      </w:r>
      <w:proofErr w:type="gramStart"/>
      <w:r w:rsidRPr="0023609E">
        <w:rPr>
          <w:rFonts w:ascii="Tahoma" w:eastAsia="Times New Roman" w:hAnsi="Tahoma" w:cs="Tahoma"/>
          <w:color w:val="666666"/>
          <w:sz w:val="15"/>
          <w:szCs w:val="15"/>
        </w:rPr>
        <w:t>./</w:t>
      </w:r>
      <w:proofErr w:type="gramEnd"/>
      <w:r w:rsidRPr="0023609E">
        <w:rPr>
          <w:rFonts w:ascii="Tahoma" w:eastAsia="Times New Roman" w:hAnsi="Tahoma" w:cs="Tahoma"/>
          <w:color w:val="666666"/>
          <w:sz w:val="15"/>
          <w:szCs w:val="15"/>
        </w:rPr>
        <w:t>Deputy Commissioner of Service Tax, specifying –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- 15-digit PAN based registration number (STP Code)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- Valid e-mail address - so that the Department can send them their User ID and password to help them file their Return.</w:t>
      </w:r>
    </w:p>
    <w:p w:rsidR="0023609E" w:rsidRPr="0023609E" w:rsidRDefault="0023609E" w:rsidP="00236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Log on to the Service Tax e-filing home page by typing the address http://servicetaxefiling.nic.in in the address bar of the browser.</w:t>
      </w:r>
    </w:p>
    <w:p w:rsidR="0023609E" w:rsidRPr="0023609E" w:rsidRDefault="0023609E" w:rsidP="00236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Upon entering the Service Tax code, user ID and password, you will be permitted to access the e-filing facility.</w:t>
      </w:r>
    </w:p>
    <w:p w:rsidR="0023609E" w:rsidRPr="0023609E" w:rsidRDefault="0023609E" w:rsidP="002360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Follow the instructions given therein for filing the Returns electronically. </w:t>
      </w:r>
    </w:p>
    <w:p w:rsidR="0023609E" w:rsidRPr="0023609E" w:rsidRDefault="0023609E" w:rsidP="0023609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Due dates to file return</w:t>
      </w:r>
      <w:proofErr w:type="gramStart"/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:</w:t>
      </w:r>
      <w:proofErr w:type="gramEnd"/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 xml:space="preserve">ST-3 Return is required to be filed twice in a financial year – </w:t>
      </w: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half yearly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t>.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Return for half year ending 30th September and 31st March are required to be filed by 25th October and 25th April, respectively.</w:t>
      </w:r>
    </w:p>
    <w:p w:rsidR="0023609E" w:rsidRPr="0023609E" w:rsidRDefault="0023609E" w:rsidP="0023609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If a person fails to furnish the ST-3 Return within the due date </w:t>
      </w: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 xml:space="preserve">[25th October and 25th April every year] 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t>he shall be liable to penalty which may extend to an amount not exceeding one thousand rupees (Section 77 of the Act)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</w: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 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Mandatory Penalty for Late filing of ST-3 Return under Rule 7C of Service Tax Rules, 1994</w:t>
      </w:r>
    </w:p>
    <w:tbl>
      <w:tblPr>
        <w:tblW w:w="0" w:type="auto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780"/>
        <w:gridCol w:w="2985"/>
        <w:gridCol w:w="4260"/>
      </w:tblGrid>
      <w:tr w:rsidR="0023609E" w:rsidRPr="0023609E" w:rsidTr="0023609E">
        <w:trPr>
          <w:tblCellSpacing w:w="0" w:type="dxa"/>
        </w:trPr>
        <w:tc>
          <w:tcPr>
            <w:tcW w:w="78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b/>
                <w:bCs/>
                <w:color w:val="666666"/>
                <w:sz w:val="15"/>
              </w:rPr>
              <w:t>Sl. No.</w:t>
            </w:r>
          </w:p>
        </w:tc>
        <w:tc>
          <w:tcPr>
            <w:tcW w:w="29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b/>
                <w:bCs/>
                <w:color w:val="666666"/>
                <w:sz w:val="15"/>
              </w:rPr>
              <w:t>Period of Delay from the prescribed date</w:t>
            </w:r>
          </w:p>
        </w:tc>
        <w:tc>
          <w:tcPr>
            <w:tcW w:w="4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b/>
                <w:bCs/>
                <w:color w:val="666666"/>
                <w:sz w:val="15"/>
              </w:rPr>
              <w:t>Penalty</w:t>
            </w:r>
          </w:p>
        </w:tc>
      </w:tr>
      <w:tr w:rsidR="0023609E" w:rsidRPr="0023609E" w:rsidTr="0023609E">
        <w:trPr>
          <w:tblCellSpacing w:w="0" w:type="dxa"/>
        </w:trPr>
        <w:tc>
          <w:tcPr>
            <w:tcW w:w="78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1</w:t>
            </w:r>
          </w:p>
        </w:tc>
        <w:tc>
          <w:tcPr>
            <w:tcW w:w="29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15 days</w:t>
            </w:r>
          </w:p>
        </w:tc>
        <w:tc>
          <w:tcPr>
            <w:tcW w:w="4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Rs.500/-</w:t>
            </w:r>
          </w:p>
        </w:tc>
      </w:tr>
      <w:tr w:rsidR="0023609E" w:rsidRPr="0023609E" w:rsidTr="0023609E">
        <w:trPr>
          <w:tblCellSpacing w:w="0" w:type="dxa"/>
        </w:trPr>
        <w:tc>
          <w:tcPr>
            <w:tcW w:w="78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2</w:t>
            </w:r>
          </w:p>
        </w:tc>
        <w:tc>
          <w:tcPr>
            <w:tcW w:w="29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Beyond 15 days but not later than 30 days</w:t>
            </w:r>
          </w:p>
        </w:tc>
        <w:tc>
          <w:tcPr>
            <w:tcW w:w="4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Rs.1000/-</w:t>
            </w:r>
          </w:p>
        </w:tc>
      </w:tr>
      <w:tr w:rsidR="0023609E" w:rsidRPr="0023609E" w:rsidTr="0023609E">
        <w:trPr>
          <w:tblCellSpacing w:w="0" w:type="dxa"/>
        </w:trPr>
        <w:tc>
          <w:tcPr>
            <w:tcW w:w="78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3</w:t>
            </w:r>
          </w:p>
        </w:tc>
        <w:tc>
          <w:tcPr>
            <w:tcW w:w="298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Beyond 30 days</w:t>
            </w:r>
          </w:p>
        </w:tc>
        <w:tc>
          <w:tcPr>
            <w:tcW w:w="4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23609E" w:rsidRPr="0023609E" w:rsidRDefault="0023609E" w:rsidP="0023609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666666"/>
                <w:sz w:val="15"/>
                <w:szCs w:val="15"/>
              </w:rPr>
            </w:pPr>
            <w:r w:rsidRPr="0023609E">
              <w:rPr>
                <w:rFonts w:ascii="Tahoma" w:eastAsia="Times New Roman" w:hAnsi="Tahoma" w:cs="Tahoma"/>
                <w:color w:val="666666"/>
                <w:sz w:val="15"/>
                <w:szCs w:val="15"/>
              </w:rPr>
              <w:t>Rs.1000/- plus Rs. 100/- for every day from the thirty first day till the date of furnishing the said return</w:t>
            </w:r>
            <w:r w:rsidRPr="0023609E">
              <w:rPr>
                <w:rFonts w:ascii="Tahoma" w:eastAsia="Times New Roman" w:hAnsi="Tahoma" w:cs="Tahoma"/>
                <w:b/>
                <w:bCs/>
                <w:color w:val="666666"/>
                <w:sz w:val="15"/>
                <w:u w:val="single"/>
              </w:rPr>
              <w:t xml:space="preserve"> </w:t>
            </w:r>
          </w:p>
        </w:tc>
      </w:tr>
    </w:tbl>
    <w:p w:rsidR="0023609E" w:rsidRPr="0023609E" w:rsidRDefault="0023609E" w:rsidP="0023609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Statutes governing the taxation relating to Service Tax</w:t>
      </w:r>
      <w:proofErr w:type="gramStart"/>
      <w:r w:rsidRPr="0023609E">
        <w:rPr>
          <w:rFonts w:ascii="Tahoma" w:eastAsia="Times New Roman" w:hAnsi="Tahoma" w:cs="Tahoma"/>
          <w:b/>
          <w:bCs/>
          <w:color w:val="666666"/>
          <w:sz w:val="15"/>
        </w:rPr>
        <w:t>:</w:t>
      </w:r>
      <w:proofErr w:type="gramEnd"/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The Statutes governing the levy of Service Tax are as follows: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The Finance Act, 1994 - Chapter V - Section 64 to 96 I. (referred to as ‘Act’ in this book) </w:t>
      </w:r>
      <w:proofErr w:type="gramStart"/>
      <w:r w:rsidRPr="0023609E">
        <w:rPr>
          <w:rFonts w:ascii="Tahoma" w:eastAsia="Times New Roman" w:hAnsi="Tahoma" w:cs="Tahoma"/>
          <w:color w:val="666666"/>
          <w:sz w:val="15"/>
          <w:szCs w:val="15"/>
        </w:rPr>
        <w:t>This</w:t>
      </w:r>
      <w:proofErr w:type="gramEnd"/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 chapter extends to the whole of India except the State of Jammu and Kashmir.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The Finance Act, 2004 Chapter VI - for levy of Education </w:t>
      </w:r>
      <w:proofErr w:type="spellStart"/>
      <w:r w:rsidRPr="0023609E">
        <w:rPr>
          <w:rFonts w:ascii="Tahoma" w:eastAsia="Times New Roman" w:hAnsi="Tahoma" w:cs="Tahoma"/>
          <w:color w:val="666666"/>
          <w:sz w:val="15"/>
          <w:szCs w:val="15"/>
        </w:rPr>
        <w:t>Cess</w:t>
      </w:r>
      <w:proofErr w:type="spellEnd"/>
      <w:r w:rsidRPr="0023609E">
        <w:rPr>
          <w:rFonts w:ascii="Tahoma" w:eastAsia="Times New Roman" w:hAnsi="Tahoma" w:cs="Tahoma"/>
          <w:color w:val="666666"/>
          <w:sz w:val="15"/>
          <w:szCs w:val="15"/>
        </w:rPr>
        <w:t xml:space="preserve"> @ 2% on the Service Tax.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The Service Tax Rules, 1994. (Referred to as ‘Rules’ or STR, 1994 in this book)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The CENVAT Credit Rules, 2004.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The Export of Service Rules, 2005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The Service Tax (Registration of Special categories of persons) Rules, 2005.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The Taxation of Services (Provided from Outside India and Received in India) Rules, 2006 (with effect from 19th April, 2006) – Notification No. 11/2006-ST dated 19.4.2006.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The Service Tax (Determination of Value) Rules, 2006 (with effect from 19th April 2006) – Notification No. 12/2006-ST dated 19.4.2006.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Works Contract (Composition Scheme for Payment of Service Tax) Rules, 2007-</w:t>
      </w:r>
      <w:r w:rsidRPr="0023609E">
        <w:rPr>
          <w:rFonts w:ascii="Tahoma" w:eastAsia="Times New Roman" w:hAnsi="Tahoma" w:cs="Tahoma"/>
          <w:color w:val="666666"/>
          <w:sz w:val="15"/>
          <w:szCs w:val="15"/>
        </w:rPr>
        <w:br/>
        <w:t>Notification No. 32/2007-Service Tax dated 22nd May, 2007.</w:t>
      </w:r>
    </w:p>
    <w:p w:rsidR="0023609E" w:rsidRPr="0023609E" w:rsidRDefault="0023609E" w:rsidP="002360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5"/>
          <w:szCs w:val="15"/>
        </w:rPr>
      </w:pPr>
      <w:r w:rsidRPr="0023609E">
        <w:rPr>
          <w:rFonts w:ascii="Tahoma" w:eastAsia="Times New Roman" w:hAnsi="Tahoma" w:cs="Tahoma"/>
          <w:color w:val="666666"/>
          <w:sz w:val="15"/>
          <w:szCs w:val="15"/>
        </w:rPr>
        <w:t>In addition to the above, certain provisions of the Central Excise Act, 1944 are also made applicable for Service Tax matters (Section 83 of the Finance Act, 1994).</w:t>
      </w:r>
    </w:p>
    <w:p w:rsidR="00525434" w:rsidRDefault="00525434"/>
    <w:sectPr w:rsidR="00525434" w:rsidSect="00525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A34D2"/>
    <w:multiLevelType w:val="multilevel"/>
    <w:tmpl w:val="FA72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A5FB8"/>
    <w:multiLevelType w:val="multilevel"/>
    <w:tmpl w:val="E5EC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609E"/>
    <w:rsid w:val="0023609E"/>
    <w:rsid w:val="0052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3609E"/>
    <w:rPr>
      <w:b/>
      <w:bCs/>
    </w:rPr>
  </w:style>
  <w:style w:type="paragraph" w:styleId="NormalWeb">
    <w:name w:val="Normal (Web)"/>
    <w:basedOn w:val="Normal"/>
    <w:uiPriority w:val="99"/>
    <w:unhideWhenUsed/>
    <w:rsid w:val="00236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567">
          <w:marLeft w:val="0"/>
          <w:marRight w:val="0"/>
          <w:marTop w:val="0"/>
          <w:marBottom w:val="0"/>
          <w:divBdr>
            <w:top w:val="single" w:sz="6" w:space="0" w:color="678FC2"/>
            <w:left w:val="single" w:sz="6" w:space="0" w:color="678FC2"/>
            <w:bottom w:val="single" w:sz="6" w:space="0" w:color="678FC2"/>
            <w:right w:val="single" w:sz="6" w:space="0" w:color="678FC2"/>
          </w:divBdr>
          <w:divsChild>
            <w:div w:id="14126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Prakash S</dc:creator>
  <cp:lastModifiedBy>Prakash S</cp:lastModifiedBy>
  <cp:revision>1</cp:revision>
  <dcterms:created xsi:type="dcterms:W3CDTF">2013-01-16T01:23:00Z</dcterms:created>
  <dcterms:modified xsi:type="dcterms:W3CDTF">2013-01-16T01:23:00Z</dcterms:modified>
</cp:coreProperties>
</file>