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2D9" w:rsidRPr="005842D9" w:rsidRDefault="005842D9" w:rsidP="00FA418A">
      <w:pPr>
        <w:shd w:val="clear" w:color="auto" w:fill="FFFFFF"/>
        <w:spacing w:before="100" w:beforeAutospacing="1" w:after="100" w:afterAutospacing="1" w:line="240" w:lineRule="auto"/>
        <w:jc w:val="both"/>
        <w:rPr>
          <w:rFonts w:eastAsia="Times New Roman" w:cstheme="minorHAnsi"/>
          <w:color w:val="000000"/>
          <w:sz w:val="24"/>
          <w:szCs w:val="24"/>
        </w:rPr>
      </w:pPr>
      <w:r w:rsidRPr="005842D9">
        <w:rPr>
          <w:rFonts w:eastAsia="Times New Roman" w:cstheme="minorHAnsi"/>
          <w:color w:val="000000"/>
          <w:sz w:val="24"/>
          <w:szCs w:val="24"/>
        </w:rPr>
        <w:t>The indirect taxation of information technology software has been a longstanding matter of debate and dispute. In particular, the challenge of double taxation has been endemic. This article highlights the recent developments in this regard which could equally pose challenges as also present opportunities to mitigate the impact of the tax.</w:t>
      </w:r>
    </w:p>
    <w:tbl>
      <w:tblPr>
        <w:tblW w:w="5000" w:type="pct"/>
        <w:tblCellSpacing w:w="0" w:type="dxa"/>
        <w:tblCellMar>
          <w:left w:w="0" w:type="dxa"/>
          <w:right w:w="0" w:type="dxa"/>
        </w:tblCellMar>
        <w:tblLook w:val="04A0" w:firstRow="1" w:lastRow="0" w:firstColumn="1" w:lastColumn="0" w:noHBand="0" w:noVBand="1"/>
      </w:tblPr>
      <w:tblGrid>
        <w:gridCol w:w="9360"/>
      </w:tblGrid>
      <w:tr w:rsidR="005842D9" w:rsidRPr="005842D9" w:rsidTr="005842D9">
        <w:trPr>
          <w:trHeight w:val="75"/>
          <w:tblCellSpacing w:w="0" w:type="dxa"/>
        </w:trPr>
        <w:tc>
          <w:tcPr>
            <w:tcW w:w="0" w:type="auto"/>
            <w:vAlign w:val="center"/>
            <w:hideMark/>
          </w:tcPr>
          <w:p w:rsidR="005842D9" w:rsidRPr="005842D9" w:rsidRDefault="005842D9" w:rsidP="00FA418A">
            <w:pPr>
              <w:spacing w:after="0" w:line="240" w:lineRule="auto"/>
              <w:jc w:val="both"/>
              <w:rPr>
                <w:rFonts w:eastAsia="Times New Roman" w:cstheme="minorHAnsi"/>
                <w:sz w:val="24"/>
                <w:szCs w:val="24"/>
              </w:rPr>
            </w:pPr>
          </w:p>
        </w:tc>
      </w:tr>
    </w:tbl>
    <w:p w:rsidR="005842D9" w:rsidRPr="005842D9" w:rsidRDefault="005842D9" w:rsidP="00FA418A">
      <w:pPr>
        <w:spacing w:after="0" w:line="240" w:lineRule="auto"/>
        <w:jc w:val="both"/>
        <w:rPr>
          <w:rFonts w:eastAsia="Times New Roman" w:cstheme="minorHAnsi"/>
          <w:sz w:val="24"/>
          <w:szCs w:val="24"/>
        </w:rPr>
      </w:pPr>
      <w:r w:rsidRPr="005842D9">
        <w:rPr>
          <w:rFonts w:eastAsia="Times New Roman" w:cstheme="minorHAnsi"/>
          <w:color w:val="000000"/>
          <w:sz w:val="24"/>
          <w:szCs w:val="24"/>
          <w:shd w:val="clear" w:color="auto" w:fill="FFFFFF"/>
        </w:rPr>
        <w:t>In order to better understand these developments, it is worthwhile to briefly recapitulate the manner in which such information technology software is presently taxed. On the fundamental issue of the proper classification of such software as either ‘goods’ or ‘services’, the Hon’ble</w:t>
      </w:r>
      <w:r w:rsidRPr="00FA418A">
        <w:rPr>
          <w:rFonts w:eastAsia="Times New Roman" w:cstheme="minorHAnsi"/>
          <w:color w:val="000000"/>
          <w:sz w:val="24"/>
          <w:szCs w:val="24"/>
          <w:shd w:val="clear" w:color="auto" w:fill="FFFFFF"/>
        </w:rPr>
        <w:t> </w:t>
      </w:r>
      <w:hyperlink r:id="rId5" w:tgtFrame="_blank" w:history="1">
        <w:r w:rsidRPr="00FA418A">
          <w:rPr>
            <w:rFonts w:eastAsia="Times New Roman" w:cstheme="minorHAnsi"/>
            <w:color w:val="0000FF"/>
            <w:sz w:val="24"/>
            <w:szCs w:val="24"/>
            <w:u w:val="single"/>
            <w:shd w:val="clear" w:color="auto" w:fill="FFFFFF"/>
          </w:rPr>
          <w:t>Supreme Court</w:t>
        </w:r>
      </w:hyperlink>
      <w:r w:rsidRPr="005842D9">
        <w:rPr>
          <w:rFonts w:eastAsia="Times New Roman" w:cstheme="minorHAnsi"/>
          <w:color w:val="000000"/>
          <w:sz w:val="24"/>
          <w:szCs w:val="24"/>
          <w:shd w:val="clear" w:color="auto" w:fill="FFFFFF"/>
        </w:rPr>
        <w:t xml:space="preserve">, in its landmark decision in Tata Consultancy Services vs state of Andhra Pradesh [(2004) 178 ELT 22 (SC)], had observed that ‘goods’ could be a tangible property or an intangible one. For anything to become ‘goods’, it had to posses the following attributes (a) it should have utility; (b) it should be capable of being bought and sold; and (c) it should be capable of being transmitted, transferred, delivered, stored and possessed. Therefore, if the software, whether or not </w:t>
      </w:r>
      <w:r w:rsidR="006C4FD5" w:rsidRPr="005842D9">
        <w:rPr>
          <w:rFonts w:eastAsia="Times New Roman" w:cstheme="minorHAnsi"/>
          <w:color w:val="000000"/>
          <w:sz w:val="24"/>
          <w:szCs w:val="24"/>
          <w:shd w:val="clear" w:color="auto" w:fill="FFFFFF"/>
        </w:rPr>
        <w:t>customized</w:t>
      </w:r>
      <w:r w:rsidRPr="005842D9">
        <w:rPr>
          <w:rFonts w:eastAsia="Times New Roman" w:cstheme="minorHAnsi"/>
          <w:color w:val="000000"/>
          <w:sz w:val="24"/>
          <w:szCs w:val="24"/>
          <w:shd w:val="clear" w:color="auto" w:fill="FFFFFF"/>
        </w:rPr>
        <w:t xml:space="preserve">, was capable of abstraction, consumption, use, transmission, transfer or delivery, it would be treated as goods. Once the software is classified as goods, it is liable to the goods taxes </w:t>
      </w:r>
      <w:r w:rsidR="006C4FD5" w:rsidRPr="005842D9">
        <w:rPr>
          <w:rFonts w:eastAsia="Times New Roman" w:cstheme="minorHAnsi"/>
          <w:color w:val="000000"/>
          <w:sz w:val="24"/>
          <w:szCs w:val="24"/>
          <w:shd w:val="clear" w:color="auto" w:fill="FFFFFF"/>
        </w:rPr>
        <w:t>of</w:t>
      </w:r>
      <w:r w:rsidR="006C4FD5">
        <w:t xml:space="preserve"> customs</w:t>
      </w:r>
      <w:r w:rsidRPr="005842D9">
        <w:rPr>
          <w:rFonts w:eastAsia="Times New Roman" w:cstheme="minorHAnsi"/>
          <w:color w:val="000000"/>
          <w:sz w:val="24"/>
          <w:szCs w:val="24"/>
          <w:shd w:val="clear" w:color="auto" w:fill="FFFFFF"/>
        </w:rPr>
        <w:t>,</w:t>
      </w:r>
      <w:r w:rsidRPr="00FA418A">
        <w:rPr>
          <w:rFonts w:eastAsia="Times New Roman" w:cstheme="minorHAnsi"/>
          <w:color w:val="000000"/>
          <w:sz w:val="24"/>
          <w:szCs w:val="24"/>
          <w:shd w:val="clear" w:color="auto" w:fill="FFFFFF"/>
        </w:rPr>
        <w:t> </w:t>
      </w:r>
      <w:hyperlink r:id="rId6" w:tgtFrame="_blank" w:history="1">
        <w:r w:rsidRPr="00FA418A">
          <w:rPr>
            <w:rFonts w:eastAsia="Times New Roman" w:cstheme="minorHAnsi"/>
            <w:color w:val="0000FF"/>
            <w:sz w:val="24"/>
            <w:szCs w:val="24"/>
            <w:u w:val="single"/>
            <w:shd w:val="clear" w:color="auto" w:fill="FFFFFF"/>
          </w:rPr>
          <w:t>excise duty</w:t>
        </w:r>
      </w:hyperlink>
      <w:r w:rsidRPr="00FA418A">
        <w:rPr>
          <w:rFonts w:eastAsia="Times New Roman" w:cstheme="minorHAnsi"/>
          <w:color w:val="000000"/>
          <w:sz w:val="24"/>
          <w:szCs w:val="24"/>
          <w:shd w:val="clear" w:color="auto" w:fill="FFFFFF"/>
        </w:rPr>
        <w:t> </w:t>
      </w:r>
      <w:r w:rsidRPr="005842D9">
        <w:rPr>
          <w:rFonts w:eastAsia="Times New Roman" w:cstheme="minorHAnsi"/>
          <w:color w:val="000000"/>
          <w:sz w:val="24"/>
          <w:szCs w:val="24"/>
          <w:shd w:val="clear" w:color="auto" w:fill="FFFFFF"/>
        </w:rPr>
        <w:t>and the</w:t>
      </w:r>
      <w:r w:rsidRPr="00FA418A">
        <w:rPr>
          <w:rFonts w:eastAsia="Times New Roman" w:cstheme="minorHAnsi"/>
          <w:color w:val="000000"/>
          <w:sz w:val="24"/>
          <w:szCs w:val="24"/>
          <w:shd w:val="clear" w:color="auto" w:fill="FFFFFF"/>
        </w:rPr>
        <w:t> </w:t>
      </w:r>
      <w:hyperlink r:id="rId7" w:tgtFrame="_blank" w:history="1">
        <w:r w:rsidRPr="00FA418A">
          <w:rPr>
            <w:rFonts w:eastAsia="Times New Roman" w:cstheme="minorHAnsi"/>
            <w:color w:val="0000FF"/>
            <w:sz w:val="24"/>
            <w:szCs w:val="24"/>
            <w:u w:val="single"/>
            <w:shd w:val="clear" w:color="auto" w:fill="FFFFFF"/>
          </w:rPr>
          <w:t>VAT</w:t>
        </w:r>
      </w:hyperlink>
      <w:r w:rsidRPr="005842D9">
        <w:rPr>
          <w:rFonts w:eastAsia="Times New Roman" w:cstheme="minorHAnsi"/>
          <w:color w:val="000000"/>
          <w:sz w:val="24"/>
          <w:szCs w:val="24"/>
          <w:shd w:val="clear" w:color="auto" w:fill="FFFFFF"/>
        </w:rPr>
        <w:t>.</w:t>
      </w:r>
    </w:p>
    <w:p w:rsidR="005842D9" w:rsidRPr="005842D9" w:rsidRDefault="005842D9" w:rsidP="00FA418A">
      <w:pPr>
        <w:shd w:val="clear" w:color="auto" w:fill="FFFFFF"/>
        <w:spacing w:before="100" w:beforeAutospacing="1" w:after="100" w:afterAutospacing="1" w:line="240" w:lineRule="auto"/>
        <w:jc w:val="both"/>
        <w:rPr>
          <w:rFonts w:eastAsia="Times New Roman" w:cstheme="minorHAnsi"/>
          <w:color w:val="000000"/>
          <w:sz w:val="24"/>
          <w:szCs w:val="24"/>
        </w:rPr>
      </w:pPr>
      <w:r w:rsidRPr="005842D9">
        <w:rPr>
          <w:rFonts w:eastAsia="Times New Roman" w:cstheme="minorHAnsi"/>
          <w:color w:val="000000"/>
          <w:sz w:val="24"/>
          <w:szCs w:val="24"/>
        </w:rPr>
        <w:t xml:space="preserve">Under the federal customs and excise law, information technology software and the related paper </w:t>
      </w:r>
      <w:r w:rsidR="006C4FD5" w:rsidRPr="005842D9">
        <w:rPr>
          <w:rFonts w:eastAsia="Times New Roman" w:cstheme="minorHAnsi"/>
          <w:color w:val="000000"/>
          <w:sz w:val="24"/>
          <w:szCs w:val="24"/>
        </w:rPr>
        <w:t>license</w:t>
      </w:r>
      <w:r w:rsidRPr="005842D9">
        <w:rPr>
          <w:rFonts w:eastAsia="Times New Roman" w:cstheme="minorHAnsi"/>
          <w:color w:val="000000"/>
          <w:sz w:val="24"/>
          <w:szCs w:val="24"/>
        </w:rPr>
        <w:t xml:space="preserve"> are typically exempt from customs and excise duties</w:t>
      </w:r>
      <w:r w:rsidR="006C4FD5">
        <w:rPr>
          <w:rFonts w:eastAsia="Times New Roman" w:cstheme="minorHAnsi"/>
          <w:color w:val="000000"/>
          <w:sz w:val="24"/>
          <w:szCs w:val="24"/>
        </w:rPr>
        <w:t>, other than packaged/canned so</w:t>
      </w:r>
      <w:r w:rsidRPr="005842D9">
        <w:rPr>
          <w:rFonts w:eastAsia="Times New Roman" w:cstheme="minorHAnsi"/>
          <w:color w:val="000000"/>
          <w:sz w:val="24"/>
          <w:szCs w:val="24"/>
        </w:rPr>
        <w:t>ftware in shrink wrapped packages, which are charged to the countervailing duty/excise duty, as the case may be. Such software is also chargeable to the state VAT. However, VAT is also levied on the licensing of IT software, as “transfer of right to use goods”, falling under the deemed sales transactions specified under Article 366(29A) of the Constitution of India.</w:t>
      </w:r>
    </w:p>
    <w:p w:rsidR="005842D9" w:rsidRPr="005842D9" w:rsidRDefault="005842D9" w:rsidP="00FA418A">
      <w:pPr>
        <w:shd w:val="clear" w:color="auto" w:fill="FFFFFF"/>
        <w:spacing w:before="100" w:beforeAutospacing="1" w:after="100" w:afterAutospacing="1" w:line="240" w:lineRule="auto"/>
        <w:jc w:val="both"/>
        <w:rPr>
          <w:rFonts w:eastAsia="Times New Roman" w:cstheme="minorHAnsi"/>
          <w:color w:val="000000"/>
          <w:sz w:val="24"/>
          <w:szCs w:val="24"/>
        </w:rPr>
      </w:pPr>
      <w:r w:rsidRPr="005842D9">
        <w:rPr>
          <w:rFonts w:eastAsia="Times New Roman" w:cstheme="minorHAnsi"/>
          <w:color w:val="000000"/>
          <w:sz w:val="24"/>
          <w:szCs w:val="24"/>
        </w:rPr>
        <w:t xml:space="preserve">In contrast to the above, the service tax provisions evidently extend only to ‘services’ and not to ‘goods’. Accordingly, the licensing of information technology software was first subjected to service tax with the introduction of the taxable category of “Information Technology Software Services” effective May 16, 2008. The relevant definition specifically includes within its ambit the activities of (a) providing the right to use information technology software for </w:t>
      </w:r>
      <w:r w:rsidRPr="005842D9">
        <w:rPr>
          <w:rFonts w:eastAsia="Times New Roman" w:cstheme="minorHAnsi"/>
          <w:b/>
          <w:color w:val="000000"/>
          <w:sz w:val="24"/>
          <w:szCs w:val="24"/>
        </w:rPr>
        <w:t>commercial exploitation</w:t>
      </w:r>
      <w:r w:rsidRPr="005842D9">
        <w:rPr>
          <w:rFonts w:eastAsia="Times New Roman" w:cstheme="minorHAnsi"/>
          <w:color w:val="000000"/>
          <w:sz w:val="24"/>
          <w:szCs w:val="24"/>
        </w:rPr>
        <w:t>, and; (b) providing the right to use information technology software supplied electronically. It can thus be seen that while the licensing of such IT software is liable to service tax, equally the transfer of the right to use such software is also liable to VAT, if the software satisfies all the attributes of ‘goods’, as noted in the</w:t>
      </w:r>
      <w:r w:rsidRPr="00FA418A">
        <w:rPr>
          <w:rFonts w:eastAsia="Times New Roman" w:cstheme="minorHAnsi"/>
          <w:color w:val="000000"/>
          <w:sz w:val="24"/>
          <w:szCs w:val="24"/>
        </w:rPr>
        <w:t> </w:t>
      </w:r>
      <w:hyperlink r:id="rId8" w:tgtFrame="_blank" w:history="1">
        <w:r w:rsidRPr="00FA418A">
          <w:rPr>
            <w:rFonts w:eastAsia="Times New Roman" w:cstheme="minorHAnsi"/>
            <w:color w:val="0000FF"/>
            <w:sz w:val="24"/>
            <w:szCs w:val="24"/>
            <w:u w:val="single"/>
          </w:rPr>
          <w:t>TCS</w:t>
        </w:r>
      </w:hyperlink>
      <w:r w:rsidRPr="00FA418A">
        <w:rPr>
          <w:rFonts w:eastAsia="Times New Roman" w:cstheme="minorHAnsi"/>
          <w:color w:val="000000"/>
          <w:sz w:val="24"/>
          <w:szCs w:val="24"/>
        </w:rPr>
        <w:t> </w:t>
      </w:r>
      <w:r w:rsidRPr="005842D9">
        <w:rPr>
          <w:rFonts w:eastAsia="Times New Roman" w:cstheme="minorHAnsi"/>
          <w:color w:val="000000"/>
          <w:sz w:val="24"/>
          <w:szCs w:val="24"/>
        </w:rPr>
        <w:t>case (supra). It is this dual levy of service tax and VAT on the same transaction that has been the bane of the software industry.</w:t>
      </w:r>
    </w:p>
    <w:p w:rsidR="005842D9" w:rsidRPr="005842D9" w:rsidRDefault="005842D9" w:rsidP="00FA418A">
      <w:pPr>
        <w:shd w:val="clear" w:color="auto" w:fill="FFFFFF"/>
        <w:spacing w:before="100" w:beforeAutospacing="1" w:after="100" w:afterAutospacing="1" w:line="240" w:lineRule="auto"/>
        <w:jc w:val="both"/>
        <w:rPr>
          <w:rFonts w:eastAsia="Times New Roman" w:cstheme="minorHAnsi"/>
          <w:color w:val="000000"/>
          <w:sz w:val="24"/>
          <w:szCs w:val="24"/>
        </w:rPr>
      </w:pPr>
      <w:r w:rsidRPr="005842D9">
        <w:rPr>
          <w:rFonts w:eastAsia="Times New Roman" w:cstheme="minorHAnsi"/>
          <w:color w:val="000000"/>
          <w:sz w:val="24"/>
          <w:szCs w:val="24"/>
        </w:rPr>
        <w:t xml:space="preserve">Budget 2012-13 possibly provides an opportunity to resolve this longstanding problem through the proposed taxation of services based on a negative list. As a part of this new approach, the central government has also proposed the introduction of a list of ‘declared services’, which shall be taxed as services regardless of the controversies surrounding their inherent character and their taxability as either ‘goods’ or services. Two important entries in this list of declared services are i) development, design, programming, customization, adaptation, upgradation, enhancement, implementation of information technology software and ii) </w:t>
      </w:r>
      <w:r w:rsidRPr="005842D9">
        <w:rPr>
          <w:rFonts w:eastAsia="Times New Roman" w:cstheme="minorHAnsi"/>
          <w:b/>
          <w:color w:val="000000"/>
          <w:sz w:val="24"/>
          <w:szCs w:val="24"/>
        </w:rPr>
        <w:t xml:space="preserve">transfer of goods by </w:t>
      </w:r>
      <w:r w:rsidRPr="005842D9">
        <w:rPr>
          <w:rFonts w:eastAsia="Times New Roman" w:cstheme="minorHAnsi"/>
          <w:b/>
          <w:color w:val="000000"/>
          <w:sz w:val="24"/>
          <w:szCs w:val="24"/>
        </w:rPr>
        <w:lastRenderedPageBreak/>
        <w:t>way of hiring, leasing, licensing or any such manner without the transfer of the right to use such goods.</w:t>
      </w:r>
    </w:p>
    <w:p w:rsidR="005842D9" w:rsidRPr="005842D9" w:rsidRDefault="005842D9" w:rsidP="00FA418A">
      <w:pPr>
        <w:shd w:val="clear" w:color="auto" w:fill="FFFFFF"/>
        <w:spacing w:before="100" w:beforeAutospacing="1" w:after="100" w:afterAutospacing="1" w:line="240" w:lineRule="auto"/>
        <w:jc w:val="both"/>
        <w:rPr>
          <w:rFonts w:eastAsia="Times New Roman" w:cstheme="minorHAnsi"/>
          <w:color w:val="000000"/>
          <w:sz w:val="24"/>
          <w:szCs w:val="24"/>
        </w:rPr>
      </w:pPr>
      <w:r w:rsidRPr="005842D9">
        <w:rPr>
          <w:rFonts w:eastAsia="Times New Roman" w:cstheme="minorHAnsi"/>
          <w:color w:val="000000"/>
          <w:sz w:val="24"/>
          <w:szCs w:val="24"/>
        </w:rPr>
        <w:t xml:space="preserve">While the first entry clearly covers activities that would fall in the category of software services, which are surely not chargeable to VAT, the second entry would inter alia cover the activities of licensing of packaged software, which is where the challenge of double taxation lies. It is worth noting that the entry includes activities of licensing only where there is “no transfer of the right to use goods”. The draft guidance paper on the matter clarifies that </w:t>
      </w:r>
      <w:r w:rsidRPr="005842D9">
        <w:rPr>
          <w:rFonts w:eastAsia="Times New Roman" w:cstheme="minorHAnsi"/>
          <w:b/>
          <w:color w:val="000000"/>
          <w:sz w:val="24"/>
          <w:szCs w:val="24"/>
        </w:rPr>
        <w:t xml:space="preserve">every transfer of goods on lease, </w:t>
      </w:r>
      <w:r w:rsidR="006C4FD5" w:rsidRPr="005842D9">
        <w:rPr>
          <w:rFonts w:eastAsia="Times New Roman" w:cstheme="minorHAnsi"/>
          <w:b/>
          <w:color w:val="000000"/>
          <w:sz w:val="24"/>
          <w:szCs w:val="24"/>
        </w:rPr>
        <w:t>license</w:t>
      </w:r>
      <w:r w:rsidRPr="005842D9">
        <w:rPr>
          <w:rFonts w:eastAsia="Times New Roman" w:cstheme="minorHAnsi"/>
          <w:b/>
          <w:color w:val="000000"/>
          <w:sz w:val="24"/>
          <w:szCs w:val="24"/>
        </w:rPr>
        <w:t xml:space="preserve"> or hiring does not result in a transfer of the right to use goods and that a transfer of goods without the transfer of possession and effective control over such goods would not be a sale but a service.</w:t>
      </w:r>
    </w:p>
    <w:p w:rsidR="005842D9" w:rsidRPr="005842D9" w:rsidRDefault="005842D9" w:rsidP="00FA418A">
      <w:pPr>
        <w:shd w:val="clear" w:color="auto" w:fill="FFFFFF"/>
        <w:spacing w:before="100" w:beforeAutospacing="1" w:after="100" w:afterAutospacing="1" w:line="240" w:lineRule="auto"/>
        <w:jc w:val="both"/>
        <w:rPr>
          <w:rFonts w:eastAsia="Times New Roman" w:cstheme="minorHAnsi"/>
          <w:color w:val="000000"/>
          <w:sz w:val="24"/>
          <w:szCs w:val="24"/>
        </w:rPr>
      </w:pPr>
      <w:r w:rsidRPr="005842D9">
        <w:rPr>
          <w:rFonts w:eastAsia="Times New Roman" w:cstheme="minorHAnsi"/>
          <w:color w:val="000000"/>
          <w:sz w:val="24"/>
          <w:szCs w:val="24"/>
        </w:rPr>
        <w:t xml:space="preserve">The guidance paper, while explaining the scope of the taxability of the ‘transfer of right to use pre-packaged or canned software’, has also clarified that </w:t>
      </w:r>
      <w:r w:rsidRPr="005842D9">
        <w:rPr>
          <w:rFonts w:eastAsia="Times New Roman" w:cstheme="minorHAnsi"/>
          <w:b/>
          <w:color w:val="000000"/>
          <w:sz w:val="24"/>
          <w:szCs w:val="24"/>
        </w:rPr>
        <w:t xml:space="preserve">in order to determine whether providing a </w:t>
      </w:r>
      <w:r w:rsidR="006C4FD5" w:rsidRPr="005842D9">
        <w:rPr>
          <w:rFonts w:eastAsia="Times New Roman" w:cstheme="minorHAnsi"/>
          <w:b/>
          <w:color w:val="000000"/>
          <w:sz w:val="24"/>
          <w:szCs w:val="24"/>
        </w:rPr>
        <w:t>license</w:t>
      </w:r>
      <w:r w:rsidRPr="005842D9">
        <w:rPr>
          <w:rFonts w:eastAsia="Times New Roman" w:cstheme="minorHAnsi"/>
          <w:b/>
          <w:color w:val="000000"/>
          <w:sz w:val="24"/>
          <w:szCs w:val="24"/>
        </w:rPr>
        <w:t xml:space="preserve"> to use software is a ‘service’ or ‘sale of goods’, the test to be applied is whether the grant of such a </w:t>
      </w:r>
      <w:r w:rsidR="006C4FD5" w:rsidRPr="005842D9">
        <w:rPr>
          <w:rFonts w:eastAsia="Times New Roman" w:cstheme="minorHAnsi"/>
          <w:b/>
          <w:color w:val="000000"/>
          <w:sz w:val="24"/>
          <w:szCs w:val="24"/>
        </w:rPr>
        <w:t>license</w:t>
      </w:r>
      <w:r w:rsidRPr="005842D9">
        <w:rPr>
          <w:rFonts w:eastAsia="Times New Roman" w:cstheme="minorHAnsi"/>
          <w:b/>
          <w:color w:val="000000"/>
          <w:sz w:val="24"/>
          <w:szCs w:val="24"/>
        </w:rPr>
        <w:t xml:space="preserve"> </w:t>
      </w:r>
      <w:r w:rsidR="006C4FD5" w:rsidRPr="005842D9">
        <w:rPr>
          <w:rFonts w:eastAsia="Times New Roman" w:cstheme="minorHAnsi"/>
          <w:b/>
          <w:color w:val="000000"/>
          <w:sz w:val="24"/>
          <w:szCs w:val="24"/>
        </w:rPr>
        <w:t>tantamount</w:t>
      </w:r>
      <w:r w:rsidRPr="005842D9">
        <w:rPr>
          <w:rFonts w:eastAsia="Times New Roman" w:cstheme="minorHAnsi"/>
          <w:b/>
          <w:color w:val="000000"/>
          <w:sz w:val="24"/>
          <w:szCs w:val="24"/>
        </w:rPr>
        <w:t xml:space="preserve"> to a ‘transfer of the right to use such goods'.</w:t>
      </w:r>
    </w:p>
    <w:p w:rsidR="005842D9" w:rsidRPr="005842D9" w:rsidRDefault="005842D9" w:rsidP="00FA418A">
      <w:pPr>
        <w:shd w:val="clear" w:color="auto" w:fill="FFFFFF"/>
        <w:spacing w:before="100" w:beforeAutospacing="1" w:after="100" w:afterAutospacing="1" w:line="240" w:lineRule="auto"/>
        <w:jc w:val="both"/>
        <w:rPr>
          <w:rFonts w:eastAsia="Times New Roman" w:cstheme="minorHAnsi"/>
          <w:b/>
          <w:color w:val="000000"/>
          <w:sz w:val="24"/>
          <w:szCs w:val="24"/>
        </w:rPr>
      </w:pPr>
      <w:r w:rsidRPr="005842D9">
        <w:rPr>
          <w:rFonts w:eastAsia="Times New Roman" w:cstheme="minorHAnsi"/>
          <w:color w:val="000000"/>
          <w:sz w:val="24"/>
          <w:szCs w:val="24"/>
        </w:rPr>
        <w:t xml:space="preserve">It thereafter refers to the essential characteristics of a transfer of the right to use, as laid down by the Supreme Court in the case of Bharat Sanchar Nigam Limited </w:t>
      </w:r>
      <w:r w:rsidR="006C4FD5" w:rsidRPr="005842D9">
        <w:rPr>
          <w:rFonts w:eastAsia="Times New Roman" w:cstheme="minorHAnsi"/>
          <w:color w:val="000000"/>
          <w:sz w:val="24"/>
          <w:szCs w:val="24"/>
        </w:rPr>
        <w:t>vs.</w:t>
      </w:r>
      <w:r w:rsidRPr="005842D9">
        <w:rPr>
          <w:rFonts w:eastAsia="Times New Roman" w:cstheme="minorHAnsi"/>
          <w:color w:val="000000"/>
          <w:sz w:val="24"/>
          <w:szCs w:val="24"/>
        </w:rPr>
        <w:t xml:space="preserve"> Union of India [2006(2) STR 161(SC)], namely that it should be a) </w:t>
      </w:r>
      <w:r w:rsidRPr="005842D9">
        <w:rPr>
          <w:rFonts w:eastAsia="Times New Roman" w:cstheme="minorHAnsi"/>
          <w:b/>
          <w:color w:val="000000"/>
          <w:sz w:val="24"/>
          <w:szCs w:val="24"/>
        </w:rPr>
        <w:t>a transfer of the right to use to the exclusion of the transferor during the period of the transfer and b) having transferred the right the owner cannot again transfer the same right to others.</w:t>
      </w:r>
      <w:r w:rsidRPr="005842D9">
        <w:rPr>
          <w:rFonts w:eastAsia="Times New Roman" w:cstheme="minorHAnsi"/>
          <w:color w:val="000000"/>
          <w:sz w:val="24"/>
          <w:szCs w:val="24"/>
        </w:rPr>
        <w:t xml:space="preserve"> </w:t>
      </w:r>
      <w:r w:rsidRPr="005842D9">
        <w:rPr>
          <w:rFonts w:eastAsia="Times New Roman" w:cstheme="minorHAnsi"/>
          <w:b/>
          <w:color w:val="000000"/>
          <w:sz w:val="24"/>
          <w:szCs w:val="24"/>
        </w:rPr>
        <w:t>If a transaction meets these two essential conditions, it will only be chargeable to the VAT and not the service tax.</w:t>
      </w:r>
    </w:p>
    <w:p w:rsidR="005842D9" w:rsidRPr="005842D9" w:rsidRDefault="005842D9" w:rsidP="00FA418A">
      <w:pPr>
        <w:shd w:val="clear" w:color="auto" w:fill="FFFFFF"/>
        <w:spacing w:before="100" w:beforeAutospacing="1" w:after="100" w:afterAutospacing="1" w:line="240" w:lineRule="auto"/>
        <w:jc w:val="both"/>
        <w:rPr>
          <w:rFonts w:eastAsia="Times New Roman" w:cstheme="minorHAnsi"/>
          <w:color w:val="000000"/>
          <w:sz w:val="24"/>
          <w:szCs w:val="24"/>
        </w:rPr>
      </w:pPr>
      <w:r w:rsidRPr="005842D9">
        <w:rPr>
          <w:rFonts w:eastAsia="Times New Roman" w:cstheme="minorHAnsi"/>
          <w:b/>
          <w:color w:val="000000"/>
          <w:sz w:val="24"/>
          <w:szCs w:val="24"/>
        </w:rPr>
        <w:t>Consequently, once these changes are brought into force, the levy of the service tax or the VAT on information technology software will be determined by whether there is a transfer of the right to use such technology software or whether there is a mere permission granted for the use of such software, without any transfer of control and possession thereof.</w:t>
      </w:r>
      <w:r w:rsidRPr="005842D9">
        <w:rPr>
          <w:rFonts w:eastAsia="Times New Roman" w:cstheme="minorHAnsi"/>
          <w:color w:val="000000"/>
          <w:sz w:val="24"/>
          <w:szCs w:val="24"/>
        </w:rPr>
        <w:t xml:space="preserve"> This test is not an easy one to meet and the circumstances and the facts of each transaction will influence the determination of the software as either goods or services. Therein lies both the challenge, of continuing double taxation, and the opportunity, of a possible resolution of the problem due to determination of the one correct tax that is payable.</w:t>
      </w:r>
    </w:p>
    <w:p w:rsidR="00D31B20" w:rsidRDefault="005842D9" w:rsidP="00FA418A">
      <w:pPr>
        <w:shd w:val="clear" w:color="auto" w:fill="FFFFFF"/>
        <w:spacing w:before="100" w:beforeAutospacing="1" w:after="100" w:afterAutospacing="1" w:line="240" w:lineRule="auto"/>
        <w:jc w:val="both"/>
        <w:rPr>
          <w:rFonts w:eastAsia="Times New Roman" w:cstheme="minorHAnsi"/>
          <w:color w:val="000000"/>
          <w:sz w:val="24"/>
          <w:szCs w:val="24"/>
        </w:rPr>
      </w:pPr>
      <w:r w:rsidRPr="005842D9">
        <w:rPr>
          <w:rFonts w:eastAsia="Times New Roman" w:cstheme="minorHAnsi"/>
          <w:color w:val="000000"/>
          <w:sz w:val="24"/>
          <w:szCs w:val="24"/>
        </w:rPr>
        <w:t>Thus, while the inclusion of information technology software as a ‘declared service’ in the negative list basis of service taxation is indeed welcome, there continues a need to satisfactorily resolve the related test of the transfer of the right to use such software, so as to resolve the problem of double taxation once &amp; for all.</w:t>
      </w:r>
    </w:p>
    <w:p w:rsidR="00301C65" w:rsidRDefault="00301C65">
      <w:pPr>
        <w:rPr>
          <w:rFonts w:ascii="Helvetica-Bold" w:hAnsi="Helvetica-Bold" w:cs="Helvetica-Bold"/>
          <w:b/>
          <w:bCs/>
          <w:sz w:val="24"/>
          <w:szCs w:val="24"/>
        </w:rPr>
      </w:pPr>
      <w:r>
        <w:rPr>
          <w:rFonts w:ascii="Helvetica-Bold" w:hAnsi="Helvetica-Bold" w:cs="Helvetica-Bold"/>
          <w:b/>
          <w:bCs/>
          <w:sz w:val="24"/>
          <w:szCs w:val="24"/>
        </w:rPr>
        <w:br w:type="page"/>
      </w:r>
    </w:p>
    <w:p w:rsidR="00D31B20" w:rsidRDefault="00D31B20" w:rsidP="00D31B20">
      <w:pPr>
        <w:autoSpaceDE w:val="0"/>
        <w:autoSpaceDN w:val="0"/>
        <w:adjustRightInd w:val="0"/>
        <w:spacing w:after="0" w:line="240" w:lineRule="auto"/>
        <w:rPr>
          <w:rFonts w:ascii="Helvetica-Bold" w:hAnsi="Helvetica-Bold" w:cs="Helvetica-Bold"/>
          <w:b/>
          <w:bCs/>
          <w:sz w:val="24"/>
          <w:szCs w:val="24"/>
        </w:rPr>
      </w:pPr>
      <w:r>
        <w:rPr>
          <w:rFonts w:ascii="Helvetica-Bold" w:hAnsi="Helvetica-Bold" w:cs="Helvetica-Bold"/>
          <w:b/>
          <w:bCs/>
          <w:sz w:val="24"/>
          <w:szCs w:val="24"/>
        </w:rPr>
        <w:lastRenderedPageBreak/>
        <w:t>6.6.1 What is the meaning and scope of the phrase ‘transfer of right to use such</w:t>
      </w:r>
    </w:p>
    <w:p w:rsidR="00D31B20" w:rsidRDefault="00D31B20" w:rsidP="00D31B20">
      <w:pPr>
        <w:autoSpaceDE w:val="0"/>
        <w:autoSpaceDN w:val="0"/>
        <w:adjustRightInd w:val="0"/>
        <w:spacing w:after="0" w:line="240" w:lineRule="auto"/>
        <w:rPr>
          <w:rFonts w:ascii="Helvetica-Bold" w:hAnsi="Helvetica-Bold" w:cs="Helvetica-Bold"/>
          <w:b/>
          <w:bCs/>
          <w:sz w:val="24"/>
          <w:szCs w:val="24"/>
        </w:rPr>
      </w:pPr>
      <w:r>
        <w:rPr>
          <w:rFonts w:ascii="Helvetica-Bold" w:hAnsi="Helvetica-Bold" w:cs="Helvetica-Bold"/>
          <w:b/>
          <w:bCs/>
          <w:sz w:val="24"/>
          <w:szCs w:val="24"/>
        </w:rPr>
        <w:t>goods’</w:t>
      </w:r>
    </w:p>
    <w:p w:rsidR="00301C65" w:rsidRDefault="00301C65" w:rsidP="00324FC9">
      <w:pPr>
        <w:autoSpaceDE w:val="0"/>
        <w:autoSpaceDN w:val="0"/>
        <w:adjustRightInd w:val="0"/>
        <w:spacing w:after="0" w:line="240" w:lineRule="auto"/>
        <w:jc w:val="both"/>
        <w:rPr>
          <w:rFonts w:eastAsia="Times New Roman" w:cstheme="minorHAnsi"/>
          <w:color w:val="000000"/>
          <w:sz w:val="24"/>
          <w:szCs w:val="24"/>
        </w:rPr>
      </w:pPr>
    </w:p>
    <w:p w:rsidR="00D31B20" w:rsidRPr="00324FC9" w:rsidRDefault="00D31B20" w:rsidP="00324FC9">
      <w:pPr>
        <w:autoSpaceDE w:val="0"/>
        <w:autoSpaceDN w:val="0"/>
        <w:adjustRightInd w:val="0"/>
        <w:spacing w:after="0" w:line="240" w:lineRule="auto"/>
        <w:jc w:val="both"/>
        <w:rPr>
          <w:rFonts w:eastAsia="Times New Roman" w:cstheme="minorHAnsi"/>
          <w:color w:val="000000"/>
          <w:sz w:val="24"/>
          <w:szCs w:val="24"/>
        </w:rPr>
      </w:pPr>
      <w:r w:rsidRPr="00324FC9">
        <w:rPr>
          <w:rFonts w:eastAsia="Times New Roman" w:cstheme="minorHAnsi"/>
          <w:color w:val="000000"/>
          <w:sz w:val="24"/>
          <w:szCs w:val="24"/>
        </w:rPr>
        <w:t>Transfer of right to use goods is a well recognized constitutional and legal concept. Every</w:t>
      </w:r>
      <w:r w:rsidR="00324FC9">
        <w:rPr>
          <w:rFonts w:eastAsia="Times New Roman" w:cstheme="minorHAnsi"/>
          <w:color w:val="000000"/>
          <w:sz w:val="24"/>
          <w:szCs w:val="24"/>
        </w:rPr>
        <w:t xml:space="preserve"> </w:t>
      </w:r>
      <w:r w:rsidRPr="00324FC9">
        <w:rPr>
          <w:rFonts w:eastAsia="Times New Roman" w:cstheme="minorHAnsi"/>
          <w:color w:val="000000"/>
          <w:sz w:val="24"/>
          <w:szCs w:val="24"/>
        </w:rPr>
        <w:t>transfer of goods on lease, license or hiring basis does not result in transfer of right to use</w:t>
      </w:r>
      <w:r w:rsidR="00324FC9">
        <w:rPr>
          <w:rFonts w:eastAsia="Times New Roman" w:cstheme="minorHAnsi"/>
          <w:color w:val="000000"/>
          <w:sz w:val="24"/>
          <w:szCs w:val="24"/>
        </w:rPr>
        <w:t xml:space="preserve"> </w:t>
      </w:r>
      <w:r w:rsidRPr="00324FC9">
        <w:rPr>
          <w:rFonts w:eastAsia="Times New Roman" w:cstheme="minorHAnsi"/>
          <w:color w:val="000000"/>
          <w:sz w:val="24"/>
          <w:szCs w:val="24"/>
        </w:rPr>
        <w:t>goods. ‘Transfer of right of goods’ involves transfer of possession and effective</w:t>
      </w:r>
      <w:r w:rsidR="00324FC9">
        <w:rPr>
          <w:rFonts w:eastAsia="Times New Roman" w:cstheme="minorHAnsi"/>
          <w:color w:val="000000"/>
          <w:sz w:val="24"/>
          <w:szCs w:val="24"/>
        </w:rPr>
        <w:t xml:space="preserve"> </w:t>
      </w:r>
      <w:r w:rsidRPr="00324FC9">
        <w:rPr>
          <w:rFonts w:eastAsia="Times New Roman" w:cstheme="minorHAnsi"/>
          <w:color w:val="000000"/>
          <w:sz w:val="24"/>
          <w:szCs w:val="24"/>
        </w:rPr>
        <w:t>control over such goods in terms of the judgment of the Supreme Court in the case of</w:t>
      </w:r>
      <w:r w:rsidR="00324FC9">
        <w:rPr>
          <w:rFonts w:eastAsia="Times New Roman" w:cstheme="minorHAnsi"/>
          <w:color w:val="000000"/>
          <w:sz w:val="24"/>
          <w:szCs w:val="24"/>
        </w:rPr>
        <w:t xml:space="preserve"> </w:t>
      </w:r>
      <w:r w:rsidRPr="00324FC9">
        <w:rPr>
          <w:rFonts w:eastAsia="Times New Roman" w:cstheme="minorHAnsi"/>
          <w:color w:val="000000"/>
          <w:sz w:val="24"/>
          <w:szCs w:val="24"/>
        </w:rPr>
        <w:t>State of Andhra Pradesh vs RashtriyaIspat Nigam Ltd [Judgment dated 6/2/2002 in Civil</w:t>
      </w:r>
      <w:r w:rsidR="00324FC9">
        <w:rPr>
          <w:rFonts w:eastAsia="Times New Roman" w:cstheme="minorHAnsi"/>
          <w:color w:val="000000"/>
          <w:sz w:val="24"/>
          <w:szCs w:val="24"/>
        </w:rPr>
        <w:t xml:space="preserve"> </w:t>
      </w:r>
      <w:r w:rsidRPr="00324FC9">
        <w:rPr>
          <w:rFonts w:eastAsia="Times New Roman" w:cstheme="minorHAnsi"/>
          <w:color w:val="000000"/>
          <w:sz w:val="24"/>
          <w:szCs w:val="24"/>
        </w:rPr>
        <w:t>Appeal no. 31 of 1991]. Transfer of custody along with permission to use or enjoy such goods,</w:t>
      </w:r>
      <w:r w:rsidR="00324FC9">
        <w:rPr>
          <w:rFonts w:eastAsia="Times New Roman" w:cstheme="minorHAnsi"/>
          <w:color w:val="000000"/>
          <w:sz w:val="24"/>
          <w:szCs w:val="24"/>
        </w:rPr>
        <w:t xml:space="preserve"> </w:t>
      </w:r>
      <w:r w:rsidRPr="00324FC9">
        <w:rPr>
          <w:rFonts w:eastAsia="Times New Roman" w:cstheme="minorHAnsi"/>
          <w:color w:val="000000"/>
          <w:sz w:val="24"/>
          <w:szCs w:val="24"/>
        </w:rPr>
        <w:t>per se, does not lead to transfer of possession and effective control.</w:t>
      </w:r>
      <w:r w:rsidR="00324FC9">
        <w:rPr>
          <w:rFonts w:eastAsia="Times New Roman" w:cstheme="minorHAnsi"/>
          <w:color w:val="000000"/>
          <w:sz w:val="24"/>
          <w:szCs w:val="24"/>
        </w:rPr>
        <w:t xml:space="preserve"> </w:t>
      </w:r>
      <w:r w:rsidRPr="00324FC9">
        <w:rPr>
          <w:rFonts w:eastAsia="Times New Roman" w:cstheme="minorHAnsi"/>
          <w:color w:val="000000"/>
          <w:sz w:val="24"/>
          <w:szCs w:val="24"/>
        </w:rPr>
        <w:t>The test laid down by the Supreme Court in the case of Bharat Sanchar Nigam Limited vs</w:t>
      </w:r>
      <w:r w:rsidR="00324FC9">
        <w:rPr>
          <w:rFonts w:eastAsia="Times New Roman" w:cstheme="minorHAnsi"/>
          <w:color w:val="000000"/>
          <w:sz w:val="24"/>
          <w:szCs w:val="24"/>
        </w:rPr>
        <w:t xml:space="preserve"> </w:t>
      </w:r>
      <w:r w:rsidRPr="00324FC9">
        <w:rPr>
          <w:rFonts w:eastAsia="Times New Roman" w:cstheme="minorHAnsi"/>
          <w:color w:val="000000"/>
          <w:sz w:val="24"/>
          <w:szCs w:val="24"/>
        </w:rPr>
        <w:t>Union of India [2006(2)STR161(SC)] to determine whether a transaction involves transfer of</w:t>
      </w:r>
      <w:r w:rsidR="00324FC9">
        <w:rPr>
          <w:rFonts w:eastAsia="Times New Roman" w:cstheme="minorHAnsi"/>
          <w:color w:val="000000"/>
          <w:sz w:val="24"/>
          <w:szCs w:val="24"/>
        </w:rPr>
        <w:t xml:space="preserve"> </w:t>
      </w:r>
      <w:r w:rsidRPr="00324FC9">
        <w:rPr>
          <w:rFonts w:eastAsia="Times New Roman" w:cstheme="minorHAnsi"/>
          <w:color w:val="000000"/>
          <w:sz w:val="24"/>
          <w:szCs w:val="24"/>
        </w:rPr>
        <w:t>right to use goods, which has been followed by the Supreme Court and various High Courts,</w:t>
      </w:r>
      <w:r w:rsidR="00324FC9">
        <w:rPr>
          <w:rFonts w:eastAsia="Times New Roman" w:cstheme="minorHAnsi"/>
          <w:color w:val="000000"/>
          <w:sz w:val="24"/>
          <w:szCs w:val="24"/>
        </w:rPr>
        <w:t xml:space="preserve"> </w:t>
      </w:r>
      <w:r w:rsidRPr="00324FC9">
        <w:rPr>
          <w:rFonts w:eastAsia="Times New Roman" w:cstheme="minorHAnsi"/>
          <w:color w:val="000000"/>
          <w:sz w:val="24"/>
          <w:szCs w:val="24"/>
        </w:rPr>
        <w:t>is as follows:</w:t>
      </w:r>
    </w:p>
    <w:p w:rsidR="00324FC9" w:rsidRDefault="00324FC9" w:rsidP="00324FC9">
      <w:pPr>
        <w:autoSpaceDE w:val="0"/>
        <w:autoSpaceDN w:val="0"/>
        <w:adjustRightInd w:val="0"/>
        <w:spacing w:after="0" w:line="240" w:lineRule="auto"/>
        <w:jc w:val="both"/>
        <w:rPr>
          <w:rFonts w:eastAsia="Times New Roman" w:cstheme="minorHAnsi"/>
          <w:color w:val="000000"/>
          <w:sz w:val="24"/>
          <w:szCs w:val="24"/>
        </w:rPr>
      </w:pPr>
    </w:p>
    <w:p w:rsidR="00D31B20" w:rsidRDefault="00D31B20" w:rsidP="00324FC9">
      <w:pPr>
        <w:autoSpaceDE w:val="0"/>
        <w:autoSpaceDN w:val="0"/>
        <w:adjustRightInd w:val="0"/>
        <w:spacing w:after="0" w:line="240" w:lineRule="auto"/>
        <w:jc w:val="both"/>
        <w:rPr>
          <w:rFonts w:eastAsia="Times New Roman" w:cstheme="minorHAnsi"/>
          <w:color w:val="000000"/>
          <w:sz w:val="24"/>
          <w:szCs w:val="24"/>
        </w:rPr>
      </w:pPr>
      <w:r w:rsidRPr="00324FC9">
        <w:rPr>
          <w:rFonts w:eastAsia="Times New Roman" w:cstheme="minorHAnsi"/>
          <w:color w:val="000000"/>
          <w:sz w:val="24"/>
          <w:szCs w:val="24"/>
        </w:rPr>
        <w:t>• There must be goods available for delivery;</w:t>
      </w:r>
    </w:p>
    <w:p w:rsidR="00324FC9" w:rsidRPr="00324FC9" w:rsidRDefault="00324FC9" w:rsidP="00324FC9">
      <w:pPr>
        <w:autoSpaceDE w:val="0"/>
        <w:autoSpaceDN w:val="0"/>
        <w:adjustRightInd w:val="0"/>
        <w:spacing w:after="0" w:line="240" w:lineRule="auto"/>
        <w:jc w:val="both"/>
        <w:rPr>
          <w:rFonts w:eastAsia="Times New Roman" w:cstheme="minorHAnsi"/>
          <w:color w:val="000000"/>
          <w:sz w:val="24"/>
          <w:szCs w:val="24"/>
        </w:rPr>
      </w:pPr>
    </w:p>
    <w:p w:rsidR="00D31B20" w:rsidRDefault="00D31B20" w:rsidP="00324FC9">
      <w:pPr>
        <w:autoSpaceDE w:val="0"/>
        <w:autoSpaceDN w:val="0"/>
        <w:adjustRightInd w:val="0"/>
        <w:spacing w:after="0" w:line="240" w:lineRule="auto"/>
        <w:jc w:val="both"/>
        <w:rPr>
          <w:rFonts w:eastAsia="Times New Roman" w:cstheme="minorHAnsi"/>
          <w:color w:val="000000"/>
          <w:sz w:val="24"/>
          <w:szCs w:val="24"/>
        </w:rPr>
      </w:pPr>
      <w:r w:rsidRPr="00324FC9">
        <w:rPr>
          <w:rFonts w:eastAsia="Times New Roman" w:cstheme="minorHAnsi"/>
          <w:color w:val="000000"/>
          <w:sz w:val="24"/>
          <w:szCs w:val="24"/>
        </w:rPr>
        <w:t>• There must be a consensus ad idem as to the identity of the goods;</w:t>
      </w:r>
    </w:p>
    <w:p w:rsidR="00324FC9" w:rsidRPr="00324FC9" w:rsidRDefault="00324FC9" w:rsidP="00324FC9">
      <w:pPr>
        <w:autoSpaceDE w:val="0"/>
        <w:autoSpaceDN w:val="0"/>
        <w:adjustRightInd w:val="0"/>
        <w:spacing w:after="0" w:line="240" w:lineRule="auto"/>
        <w:jc w:val="both"/>
        <w:rPr>
          <w:rFonts w:eastAsia="Times New Roman" w:cstheme="minorHAnsi"/>
          <w:color w:val="000000"/>
          <w:sz w:val="24"/>
          <w:szCs w:val="24"/>
        </w:rPr>
      </w:pPr>
    </w:p>
    <w:p w:rsidR="00D31B20" w:rsidRDefault="00D31B20" w:rsidP="00324FC9">
      <w:pPr>
        <w:autoSpaceDE w:val="0"/>
        <w:autoSpaceDN w:val="0"/>
        <w:adjustRightInd w:val="0"/>
        <w:spacing w:after="0" w:line="240" w:lineRule="auto"/>
        <w:jc w:val="both"/>
        <w:rPr>
          <w:rFonts w:eastAsia="Times New Roman" w:cstheme="minorHAnsi"/>
          <w:color w:val="000000"/>
          <w:sz w:val="24"/>
          <w:szCs w:val="24"/>
        </w:rPr>
      </w:pPr>
      <w:r w:rsidRPr="00324FC9">
        <w:rPr>
          <w:rFonts w:eastAsia="Times New Roman" w:cstheme="minorHAnsi"/>
          <w:color w:val="000000"/>
          <w:sz w:val="24"/>
          <w:szCs w:val="24"/>
        </w:rPr>
        <w:t>• The transferee should have legal right to use the goods – consequently all legal</w:t>
      </w:r>
      <w:r w:rsidR="00324FC9">
        <w:rPr>
          <w:rFonts w:eastAsia="Times New Roman" w:cstheme="minorHAnsi"/>
          <w:color w:val="000000"/>
          <w:sz w:val="24"/>
          <w:szCs w:val="24"/>
        </w:rPr>
        <w:t xml:space="preserve"> </w:t>
      </w:r>
      <w:r w:rsidRPr="00324FC9">
        <w:rPr>
          <w:rFonts w:eastAsia="Times New Roman" w:cstheme="minorHAnsi"/>
          <w:color w:val="000000"/>
          <w:sz w:val="24"/>
          <w:szCs w:val="24"/>
        </w:rPr>
        <w:t>consequences of such use including any permissions or licenses required therefore</w:t>
      </w:r>
      <w:r w:rsidR="00324FC9">
        <w:rPr>
          <w:rFonts w:eastAsia="Times New Roman" w:cstheme="minorHAnsi"/>
          <w:color w:val="000000"/>
          <w:sz w:val="24"/>
          <w:szCs w:val="24"/>
        </w:rPr>
        <w:t xml:space="preserve"> </w:t>
      </w:r>
      <w:r w:rsidRPr="00324FC9">
        <w:rPr>
          <w:rFonts w:eastAsia="Times New Roman" w:cstheme="minorHAnsi"/>
          <w:color w:val="000000"/>
          <w:sz w:val="24"/>
          <w:szCs w:val="24"/>
        </w:rPr>
        <w:t>should be available to the transferee;</w:t>
      </w:r>
    </w:p>
    <w:p w:rsidR="00324FC9" w:rsidRPr="00324FC9" w:rsidRDefault="00324FC9" w:rsidP="00324FC9">
      <w:pPr>
        <w:autoSpaceDE w:val="0"/>
        <w:autoSpaceDN w:val="0"/>
        <w:adjustRightInd w:val="0"/>
        <w:spacing w:after="0" w:line="240" w:lineRule="auto"/>
        <w:jc w:val="both"/>
        <w:rPr>
          <w:rFonts w:eastAsia="Times New Roman" w:cstheme="minorHAnsi"/>
          <w:color w:val="000000"/>
          <w:sz w:val="24"/>
          <w:szCs w:val="24"/>
        </w:rPr>
      </w:pPr>
    </w:p>
    <w:p w:rsidR="00D31B20" w:rsidRDefault="00D31B20" w:rsidP="00324FC9">
      <w:pPr>
        <w:autoSpaceDE w:val="0"/>
        <w:autoSpaceDN w:val="0"/>
        <w:adjustRightInd w:val="0"/>
        <w:spacing w:after="0" w:line="240" w:lineRule="auto"/>
        <w:jc w:val="both"/>
        <w:rPr>
          <w:rFonts w:eastAsia="Times New Roman" w:cstheme="minorHAnsi"/>
          <w:color w:val="000000"/>
          <w:sz w:val="24"/>
          <w:szCs w:val="24"/>
        </w:rPr>
      </w:pPr>
      <w:r w:rsidRPr="00324FC9">
        <w:rPr>
          <w:rFonts w:eastAsia="Times New Roman" w:cstheme="minorHAnsi"/>
          <w:color w:val="000000"/>
          <w:sz w:val="24"/>
          <w:szCs w:val="24"/>
        </w:rPr>
        <w:t>• For the period during which the transferee has such legal right , it has to be the</w:t>
      </w:r>
      <w:r w:rsidR="00324FC9">
        <w:rPr>
          <w:rFonts w:eastAsia="Times New Roman" w:cstheme="minorHAnsi"/>
          <w:color w:val="000000"/>
          <w:sz w:val="24"/>
          <w:szCs w:val="24"/>
        </w:rPr>
        <w:t xml:space="preserve"> </w:t>
      </w:r>
      <w:r w:rsidRPr="00324FC9">
        <w:rPr>
          <w:rFonts w:eastAsia="Times New Roman" w:cstheme="minorHAnsi"/>
          <w:color w:val="000000"/>
          <w:sz w:val="24"/>
          <w:szCs w:val="24"/>
        </w:rPr>
        <w:t>exclusion to the transferor – this is the necessary concomitant of the plain language</w:t>
      </w:r>
      <w:r w:rsidR="00324FC9">
        <w:rPr>
          <w:rFonts w:eastAsia="Times New Roman" w:cstheme="minorHAnsi"/>
          <w:color w:val="000000"/>
          <w:sz w:val="24"/>
          <w:szCs w:val="24"/>
        </w:rPr>
        <w:t xml:space="preserve"> </w:t>
      </w:r>
      <w:r w:rsidRPr="00324FC9">
        <w:rPr>
          <w:rFonts w:eastAsia="Times New Roman" w:cstheme="minorHAnsi"/>
          <w:color w:val="000000"/>
          <w:sz w:val="24"/>
          <w:szCs w:val="24"/>
        </w:rPr>
        <w:t>91</w:t>
      </w:r>
      <w:r w:rsidR="00324FC9">
        <w:rPr>
          <w:rFonts w:eastAsia="Times New Roman" w:cstheme="minorHAnsi"/>
          <w:color w:val="000000"/>
          <w:sz w:val="24"/>
          <w:szCs w:val="24"/>
        </w:rPr>
        <w:t xml:space="preserve"> </w:t>
      </w:r>
      <w:r w:rsidRPr="00324FC9">
        <w:rPr>
          <w:rFonts w:eastAsia="Times New Roman" w:cstheme="minorHAnsi"/>
          <w:color w:val="000000"/>
          <w:sz w:val="24"/>
          <w:szCs w:val="24"/>
        </w:rPr>
        <w:t>of the statute, viz., a ‘transfer of the right to use’ and not merely a license to use the</w:t>
      </w:r>
      <w:r w:rsidR="00324FC9">
        <w:rPr>
          <w:rFonts w:eastAsia="Times New Roman" w:cstheme="minorHAnsi"/>
          <w:color w:val="000000"/>
          <w:sz w:val="24"/>
          <w:szCs w:val="24"/>
        </w:rPr>
        <w:t xml:space="preserve"> </w:t>
      </w:r>
      <w:r w:rsidRPr="00324FC9">
        <w:rPr>
          <w:rFonts w:eastAsia="Times New Roman" w:cstheme="minorHAnsi"/>
          <w:color w:val="000000"/>
          <w:sz w:val="24"/>
          <w:szCs w:val="24"/>
        </w:rPr>
        <w:t>goods;</w:t>
      </w:r>
    </w:p>
    <w:p w:rsidR="00324FC9" w:rsidRPr="00324FC9" w:rsidRDefault="00324FC9" w:rsidP="00324FC9">
      <w:pPr>
        <w:autoSpaceDE w:val="0"/>
        <w:autoSpaceDN w:val="0"/>
        <w:adjustRightInd w:val="0"/>
        <w:spacing w:after="0" w:line="240" w:lineRule="auto"/>
        <w:jc w:val="both"/>
        <w:rPr>
          <w:rFonts w:eastAsia="Times New Roman" w:cstheme="minorHAnsi"/>
          <w:color w:val="000000"/>
          <w:sz w:val="24"/>
          <w:szCs w:val="24"/>
        </w:rPr>
      </w:pPr>
    </w:p>
    <w:p w:rsidR="00D31B20" w:rsidRDefault="00D31B20" w:rsidP="00324FC9">
      <w:pPr>
        <w:autoSpaceDE w:val="0"/>
        <w:autoSpaceDN w:val="0"/>
        <w:adjustRightInd w:val="0"/>
        <w:spacing w:after="0" w:line="240" w:lineRule="auto"/>
        <w:jc w:val="both"/>
        <w:rPr>
          <w:rFonts w:eastAsia="Times New Roman" w:cstheme="minorHAnsi"/>
          <w:color w:val="000000"/>
          <w:sz w:val="24"/>
          <w:szCs w:val="24"/>
        </w:rPr>
      </w:pPr>
      <w:r w:rsidRPr="00324FC9">
        <w:rPr>
          <w:rFonts w:eastAsia="Times New Roman" w:cstheme="minorHAnsi"/>
          <w:color w:val="000000"/>
          <w:sz w:val="24"/>
          <w:szCs w:val="24"/>
        </w:rPr>
        <w:t>• Having transferred, the owner cannot again transfer the same right to others.</w:t>
      </w:r>
    </w:p>
    <w:p w:rsidR="00324FC9" w:rsidRPr="00324FC9" w:rsidRDefault="00324FC9" w:rsidP="00324FC9">
      <w:pPr>
        <w:autoSpaceDE w:val="0"/>
        <w:autoSpaceDN w:val="0"/>
        <w:adjustRightInd w:val="0"/>
        <w:spacing w:after="0" w:line="240" w:lineRule="auto"/>
        <w:jc w:val="both"/>
        <w:rPr>
          <w:rFonts w:eastAsia="Times New Roman" w:cstheme="minorHAnsi"/>
          <w:color w:val="000000"/>
          <w:sz w:val="24"/>
          <w:szCs w:val="24"/>
        </w:rPr>
      </w:pPr>
    </w:p>
    <w:p w:rsidR="00D31B20" w:rsidRPr="00324FC9" w:rsidRDefault="00D31B20" w:rsidP="00324FC9">
      <w:pPr>
        <w:autoSpaceDE w:val="0"/>
        <w:autoSpaceDN w:val="0"/>
        <w:adjustRightInd w:val="0"/>
        <w:spacing w:after="0" w:line="240" w:lineRule="auto"/>
        <w:jc w:val="both"/>
        <w:rPr>
          <w:rFonts w:eastAsia="Times New Roman" w:cstheme="minorHAnsi"/>
          <w:color w:val="000000"/>
          <w:sz w:val="24"/>
          <w:szCs w:val="24"/>
        </w:rPr>
      </w:pPr>
      <w:r w:rsidRPr="00324FC9">
        <w:rPr>
          <w:rFonts w:eastAsia="Times New Roman" w:cstheme="minorHAnsi"/>
          <w:color w:val="000000"/>
          <w:sz w:val="24"/>
          <w:szCs w:val="24"/>
        </w:rPr>
        <w:t>Whether a transaction amounts to transfer of right or not cannot be determined with reference</w:t>
      </w:r>
    </w:p>
    <w:p w:rsidR="005842D9" w:rsidRPr="005842D9" w:rsidRDefault="00D31B20" w:rsidP="00324FC9">
      <w:pPr>
        <w:autoSpaceDE w:val="0"/>
        <w:autoSpaceDN w:val="0"/>
        <w:adjustRightInd w:val="0"/>
        <w:spacing w:after="0" w:line="240" w:lineRule="auto"/>
        <w:jc w:val="both"/>
        <w:rPr>
          <w:rFonts w:eastAsia="Times New Roman" w:cstheme="minorHAnsi"/>
          <w:color w:val="000000"/>
          <w:sz w:val="24"/>
          <w:szCs w:val="24"/>
        </w:rPr>
      </w:pPr>
      <w:r w:rsidRPr="00324FC9">
        <w:rPr>
          <w:rFonts w:eastAsia="Times New Roman" w:cstheme="minorHAnsi"/>
          <w:color w:val="000000"/>
          <w:sz w:val="24"/>
          <w:szCs w:val="24"/>
        </w:rPr>
        <w:t>to a particular word or clause in the agreement. The agreement has to be read as a whole, to</w:t>
      </w:r>
      <w:r w:rsidR="00324FC9">
        <w:rPr>
          <w:rFonts w:eastAsia="Times New Roman" w:cstheme="minorHAnsi"/>
          <w:color w:val="000000"/>
          <w:sz w:val="24"/>
          <w:szCs w:val="24"/>
        </w:rPr>
        <w:t xml:space="preserve"> </w:t>
      </w:r>
      <w:r w:rsidRPr="00324FC9">
        <w:rPr>
          <w:rFonts w:eastAsia="Times New Roman" w:cstheme="minorHAnsi"/>
          <w:color w:val="000000"/>
          <w:sz w:val="24"/>
          <w:szCs w:val="24"/>
        </w:rPr>
        <w:t>determine the nature of the transaction.</w:t>
      </w:r>
      <w:r w:rsidR="00687B63" w:rsidRPr="005842D9">
        <w:rPr>
          <w:rFonts w:eastAsia="Times New Roman" w:cstheme="minorHAnsi"/>
          <w:color w:val="000000"/>
          <w:sz w:val="24"/>
          <w:szCs w:val="24"/>
        </w:rPr>
        <w:t xml:space="preserve"> </w:t>
      </w:r>
    </w:p>
    <w:p w:rsidR="00C36B75" w:rsidRDefault="00C36B75" w:rsidP="00FA418A">
      <w:pPr>
        <w:jc w:val="both"/>
        <w:rPr>
          <w:rFonts w:cstheme="minorHAnsi"/>
          <w:sz w:val="24"/>
          <w:szCs w:val="24"/>
        </w:rPr>
      </w:pPr>
    </w:p>
    <w:p w:rsidR="006C4FD5" w:rsidRDefault="006C4FD5" w:rsidP="00FA418A">
      <w:pPr>
        <w:jc w:val="both"/>
        <w:rPr>
          <w:rFonts w:cstheme="minorHAnsi"/>
          <w:sz w:val="24"/>
          <w:szCs w:val="24"/>
        </w:rPr>
      </w:pPr>
      <w:r>
        <w:rPr>
          <w:rFonts w:cstheme="minorHAnsi"/>
          <w:sz w:val="24"/>
          <w:szCs w:val="24"/>
        </w:rPr>
        <w:t>(Note: Help of articles has been taken while preparing note.)</w:t>
      </w:r>
    </w:p>
    <w:p w:rsidR="00F66BF1" w:rsidRDefault="00F66BF1" w:rsidP="00FA418A">
      <w:pPr>
        <w:jc w:val="both"/>
        <w:rPr>
          <w:rFonts w:cstheme="minorHAnsi"/>
          <w:sz w:val="24"/>
          <w:szCs w:val="24"/>
        </w:rPr>
      </w:pPr>
    </w:p>
    <w:p w:rsidR="006C4FD5" w:rsidRDefault="006C4FD5" w:rsidP="00FA418A">
      <w:pPr>
        <w:jc w:val="both"/>
        <w:rPr>
          <w:rFonts w:cstheme="minorHAnsi"/>
          <w:sz w:val="24"/>
          <w:szCs w:val="24"/>
        </w:rPr>
      </w:pPr>
      <w:r>
        <w:rPr>
          <w:rFonts w:cstheme="minorHAnsi"/>
          <w:sz w:val="24"/>
          <w:szCs w:val="24"/>
        </w:rPr>
        <w:t>Regards,</w:t>
      </w:r>
    </w:p>
    <w:p w:rsidR="006C4FD5" w:rsidRDefault="006C4FD5" w:rsidP="00FA418A">
      <w:pPr>
        <w:jc w:val="both"/>
        <w:rPr>
          <w:rFonts w:cstheme="minorHAnsi"/>
          <w:sz w:val="24"/>
          <w:szCs w:val="24"/>
        </w:rPr>
      </w:pPr>
      <w:r>
        <w:rPr>
          <w:rFonts w:cstheme="minorHAnsi"/>
          <w:sz w:val="24"/>
          <w:szCs w:val="24"/>
        </w:rPr>
        <w:t>CA Abhishek Malpani</w:t>
      </w:r>
    </w:p>
    <w:p w:rsidR="006C4FD5" w:rsidRDefault="00F66BF1" w:rsidP="00FA418A">
      <w:pPr>
        <w:jc w:val="both"/>
        <w:rPr>
          <w:rFonts w:cstheme="minorHAnsi"/>
          <w:sz w:val="24"/>
          <w:szCs w:val="24"/>
        </w:rPr>
      </w:pPr>
      <w:r>
        <w:rPr>
          <w:rFonts w:cstheme="minorHAnsi"/>
          <w:sz w:val="24"/>
          <w:szCs w:val="24"/>
        </w:rPr>
        <w:t>Pune</w:t>
      </w:r>
      <w:bookmarkStart w:id="0" w:name="_GoBack"/>
      <w:bookmarkEnd w:id="0"/>
    </w:p>
    <w:p w:rsidR="006C4FD5" w:rsidRDefault="006C4FD5" w:rsidP="00FA418A">
      <w:pPr>
        <w:jc w:val="both"/>
        <w:rPr>
          <w:rFonts w:cstheme="minorHAnsi"/>
          <w:sz w:val="24"/>
          <w:szCs w:val="24"/>
        </w:rPr>
      </w:pPr>
    </w:p>
    <w:p w:rsidR="006C4FD5" w:rsidRPr="00FA418A" w:rsidRDefault="006C4FD5" w:rsidP="00FA418A">
      <w:pPr>
        <w:jc w:val="both"/>
        <w:rPr>
          <w:rFonts w:cstheme="minorHAnsi"/>
          <w:sz w:val="24"/>
          <w:szCs w:val="24"/>
        </w:rPr>
      </w:pPr>
    </w:p>
    <w:sectPr w:rsidR="006C4FD5" w:rsidRPr="00FA41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7B8"/>
    <w:rsid w:val="000007B8"/>
    <w:rsid w:val="00301C65"/>
    <w:rsid w:val="00324FC9"/>
    <w:rsid w:val="005842D9"/>
    <w:rsid w:val="00687B63"/>
    <w:rsid w:val="006C4FD5"/>
    <w:rsid w:val="00894022"/>
    <w:rsid w:val="00C36B75"/>
    <w:rsid w:val="00D31B20"/>
    <w:rsid w:val="00F66BF1"/>
    <w:rsid w:val="00FA4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842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tabsel">
    <w:name w:val="subtabsel"/>
    <w:basedOn w:val="DefaultParagraphFont"/>
    <w:rsid w:val="005842D9"/>
  </w:style>
  <w:style w:type="character" w:styleId="Hyperlink">
    <w:name w:val="Hyperlink"/>
    <w:basedOn w:val="DefaultParagraphFont"/>
    <w:uiPriority w:val="99"/>
    <w:semiHidden/>
    <w:unhideWhenUsed/>
    <w:rsid w:val="005842D9"/>
    <w:rPr>
      <w:color w:val="0000FF"/>
      <w:u w:val="single"/>
    </w:rPr>
  </w:style>
  <w:style w:type="character" w:customStyle="1" w:styleId="style2">
    <w:name w:val="style2"/>
    <w:basedOn w:val="DefaultParagraphFont"/>
    <w:rsid w:val="005842D9"/>
  </w:style>
  <w:style w:type="character" w:customStyle="1" w:styleId="apple-converted-space">
    <w:name w:val="apple-converted-space"/>
    <w:basedOn w:val="DefaultParagraphFont"/>
    <w:rsid w:val="005842D9"/>
  </w:style>
  <w:style w:type="character" w:styleId="Emphasis">
    <w:name w:val="Emphasis"/>
    <w:basedOn w:val="DefaultParagraphFont"/>
    <w:uiPriority w:val="20"/>
    <w:qFormat/>
    <w:rsid w:val="005842D9"/>
    <w:rPr>
      <w:i/>
      <w:iCs/>
    </w:rPr>
  </w:style>
  <w:style w:type="paragraph" w:styleId="BalloonText">
    <w:name w:val="Balloon Text"/>
    <w:basedOn w:val="Normal"/>
    <w:link w:val="BalloonTextChar"/>
    <w:uiPriority w:val="99"/>
    <w:semiHidden/>
    <w:unhideWhenUsed/>
    <w:rsid w:val="005842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2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842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tabsel">
    <w:name w:val="subtabsel"/>
    <w:basedOn w:val="DefaultParagraphFont"/>
    <w:rsid w:val="005842D9"/>
  </w:style>
  <w:style w:type="character" w:styleId="Hyperlink">
    <w:name w:val="Hyperlink"/>
    <w:basedOn w:val="DefaultParagraphFont"/>
    <w:uiPriority w:val="99"/>
    <w:semiHidden/>
    <w:unhideWhenUsed/>
    <w:rsid w:val="005842D9"/>
    <w:rPr>
      <w:color w:val="0000FF"/>
      <w:u w:val="single"/>
    </w:rPr>
  </w:style>
  <w:style w:type="character" w:customStyle="1" w:styleId="style2">
    <w:name w:val="style2"/>
    <w:basedOn w:val="DefaultParagraphFont"/>
    <w:rsid w:val="005842D9"/>
  </w:style>
  <w:style w:type="character" w:customStyle="1" w:styleId="apple-converted-space">
    <w:name w:val="apple-converted-space"/>
    <w:basedOn w:val="DefaultParagraphFont"/>
    <w:rsid w:val="005842D9"/>
  </w:style>
  <w:style w:type="character" w:styleId="Emphasis">
    <w:name w:val="Emphasis"/>
    <w:basedOn w:val="DefaultParagraphFont"/>
    <w:uiPriority w:val="20"/>
    <w:qFormat/>
    <w:rsid w:val="005842D9"/>
    <w:rPr>
      <w:i/>
      <w:iCs/>
    </w:rPr>
  </w:style>
  <w:style w:type="paragraph" w:styleId="BalloonText">
    <w:name w:val="Balloon Text"/>
    <w:basedOn w:val="Normal"/>
    <w:link w:val="BalloonTextChar"/>
    <w:uiPriority w:val="99"/>
    <w:semiHidden/>
    <w:unhideWhenUsed/>
    <w:rsid w:val="005842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2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504889">
      <w:bodyDiv w:val="1"/>
      <w:marLeft w:val="0"/>
      <w:marRight w:val="0"/>
      <w:marTop w:val="0"/>
      <w:marBottom w:val="0"/>
      <w:divBdr>
        <w:top w:val="none" w:sz="0" w:space="0" w:color="auto"/>
        <w:left w:val="none" w:sz="0" w:space="0" w:color="auto"/>
        <w:bottom w:val="none" w:sz="0" w:space="0" w:color="auto"/>
        <w:right w:val="none" w:sz="0" w:space="0" w:color="auto"/>
      </w:divBdr>
      <w:divsChild>
        <w:div w:id="2026636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siness-standard.com/india/prof_page.php?search=TCS&amp;select=1" TargetMode="External"/><Relationship Id="rId3" Type="http://schemas.openxmlformats.org/officeDocument/2006/relationships/settings" Target="settings.xml"/><Relationship Id="rId7" Type="http://schemas.openxmlformats.org/officeDocument/2006/relationships/hyperlink" Target="http://www.business-standard.com/india/prof_page.php?search=VAT&amp;select=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usiness-standard.com/india/prof_page.php?search=excise+duty&amp;select=1" TargetMode="External"/><Relationship Id="rId5" Type="http://schemas.openxmlformats.org/officeDocument/2006/relationships/hyperlink" Target="http://www.business-standard.com/india/prof_page.php?search=Supreme+Court&amp;select=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1303</Words>
  <Characters>7432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 Malpani</dc:creator>
  <cp:keywords/>
  <dc:description/>
  <cp:lastModifiedBy>Abhishek Malpani</cp:lastModifiedBy>
  <cp:revision>8</cp:revision>
  <dcterms:created xsi:type="dcterms:W3CDTF">2012-12-17T07:01:00Z</dcterms:created>
  <dcterms:modified xsi:type="dcterms:W3CDTF">2012-12-18T06:34:00Z</dcterms:modified>
</cp:coreProperties>
</file>