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E3C" w:rsidRPr="006F2E3C" w:rsidRDefault="008C1EFA" w:rsidP="006F2E3C">
      <w:pPr>
        <w:rPr>
          <w:b/>
        </w:rPr>
      </w:pPr>
      <w:r>
        <w:rPr>
          <w:b/>
          <w:u w:val="single"/>
        </w:rPr>
        <w:t>Learning on R</w:t>
      </w:r>
      <w:r w:rsidR="006F2E3C" w:rsidRPr="006F2E3C">
        <w:rPr>
          <w:b/>
          <w:u w:val="single"/>
        </w:rPr>
        <w:t>everse Charge Mechanism-</w:t>
      </w:r>
      <w:r w:rsidR="006F2E3C" w:rsidRPr="006F2E3C">
        <w:rPr>
          <w:b/>
        </w:rPr>
        <w:t xml:space="preserve">                                           </w:t>
      </w:r>
      <w:r w:rsidR="006F2E3C">
        <w:rPr>
          <w:b/>
        </w:rPr>
        <w:t xml:space="preserve">                               </w:t>
      </w:r>
      <w:r w:rsidR="006F2E3C" w:rsidRPr="008C1EFA">
        <w:rPr>
          <w:b/>
          <w:u w:val="single"/>
        </w:rPr>
        <w:t>Dated: 08/08/2012</w:t>
      </w:r>
    </w:p>
    <w:p w:rsidR="006F2E3C" w:rsidRDefault="006F2E3C" w:rsidP="006F2E3C">
      <w:pPr>
        <w:pStyle w:val="NormalWeb"/>
        <w:jc w:val="both"/>
      </w:pPr>
      <w:r>
        <w:rPr>
          <w:rStyle w:val="Strong"/>
        </w:rPr>
        <w:t>a) How Partial reverse Charge</w:t>
      </w:r>
      <w:r w:rsidR="008C1EFA">
        <w:rPr>
          <w:rStyle w:val="Strong"/>
        </w:rPr>
        <w:t xml:space="preserve"> </w:t>
      </w:r>
      <w:r>
        <w:rPr>
          <w:rStyle w:val="Strong"/>
        </w:rPr>
        <w:t>(PRC) will operate?</w:t>
      </w:r>
    </w:p>
    <w:p w:rsidR="006F2E3C" w:rsidRDefault="006F2E3C" w:rsidP="006F2E3C">
      <w:pPr>
        <w:pStyle w:val="NormalWeb"/>
        <w:jc w:val="both"/>
      </w:pPr>
      <w:r>
        <w:t>1.0       CBEC says as follow:</w:t>
      </w:r>
    </w:p>
    <w:p w:rsidR="006F2E3C" w:rsidRDefault="006F2E3C" w:rsidP="006F2E3C">
      <w:pPr>
        <w:pStyle w:val="NormalWeb"/>
        <w:jc w:val="both"/>
      </w:pPr>
      <w:r>
        <w:rPr>
          <w:rStyle w:val="Emphasis"/>
          <w:rFonts w:eastAsia="Calibri"/>
        </w:rPr>
        <w:t>“The service provider shall issue an invoice complying with Rule 4A of the ST Rules. Thus the invoice shall indicate the name, address and the registration number of the service provider; the name and address of the person receiving taxable service; the description and value of taxable service provided or agreed to be provided; and the service tax payable thereon. As per clause (</w:t>
      </w:r>
      <w:proofErr w:type="gramStart"/>
      <w:r>
        <w:rPr>
          <w:rStyle w:val="Emphasis"/>
          <w:rFonts w:eastAsia="Calibri"/>
        </w:rPr>
        <w:t>iv</w:t>
      </w:r>
      <w:proofErr w:type="gramEnd"/>
      <w:r>
        <w:rPr>
          <w:rStyle w:val="Emphasis"/>
          <w:rFonts w:eastAsia="Calibri"/>
        </w:rPr>
        <w:t>) of sub-rule (1) of the said rule 4A “the service tax payable thereon’ has to be indicated. The ST payable would include service tax payable by the service provider”.</w:t>
      </w:r>
    </w:p>
    <w:p w:rsidR="006F2E3C" w:rsidRDefault="006F2E3C" w:rsidP="006F2E3C">
      <w:pPr>
        <w:pStyle w:val="NormalWeb"/>
        <w:jc w:val="both"/>
      </w:pPr>
      <w:r>
        <w:rPr>
          <w:rStyle w:val="Strong"/>
        </w:rPr>
        <w:t>b)                 SP’s nature with respect to applicability of ST</w:t>
      </w:r>
    </w:p>
    <w:p w:rsidR="006F2E3C" w:rsidRDefault="006F2E3C" w:rsidP="006F2E3C">
      <w:pPr>
        <w:pStyle w:val="NormalWeb"/>
        <w:jc w:val="both"/>
      </w:pPr>
      <w:r>
        <w:t>2.0       Here, SP’s nature with respect to tax liability will be determining factor i.e. whether SP is Small Service Provider (SSP) or not. If it is SSP, there will not be any tax liability for him. A question will arise herein how will the PRC mechanism work? If SP is not required to pay ST, naturally there is no question of SR paying the ST. However, it is not so. According to CBEC, even in such cases, SR will have to pay ST for availing such services. Read the following explanation by CBEC.</w:t>
      </w:r>
    </w:p>
    <w:p w:rsidR="006F2E3C" w:rsidRDefault="006F2E3C" w:rsidP="006F2E3C">
      <w:pPr>
        <w:pStyle w:val="NormalWeb"/>
        <w:jc w:val="both"/>
      </w:pPr>
      <w:r>
        <w:rPr>
          <w:rStyle w:val="Emphasis"/>
          <w:rFonts w:eastAsia="Calibri"/>
        </w:rPr>
        <w:t xml:space="preserve">“The liability of the service provider and service recipient are different and independent of each other. Thus, in case the service provider is availing exemption owing to turnover being less than Rs 10 </w:t>
      </w:r>
      <w:proofErr w:type="spellStart"/>
      <w:r>
        <w:rPr>
          <w:rStyle w:val="Emphasis"/>
          <w:rFonts w:eastAsia="Calibri"/>
        </w:rPr>
        <w:t>lakhs</w:t>
      </w:r>
      <w:proofErr w:type="spellEnd"/>
      <w:r>
        <w:rPr>
          <w:rStyle w:val="Emphasis"/>
          <w:rFonts w:eastAsia="Calibri"/>
        </w:rPr>
        <w:t>, he shall not be obliged to pay any tax. However, the service recipient shall have to pay service tax which he is required to pay under the partial reverse charge mechanism.”</w:t>
      </w:r>
    </w:p>
    <w:p w:rsidR="006F2E3C" w:rsidRDefault="006F2E3C" w:rsidP="006F2E3C">
      <w:pPr>
        <w:pStyle w:val="NormalWeb"/>
        <w:jc w:val="both"/>
        <w:rPr>
          <w:rStyle w:val="Strong"/>
        </w:rPr>
      </w:pPr>
    </w:p>
    <w:p w:rsidR="006F2E3C" w:rsidRDefault="006F2E3C" w:rsidP="006F2E3C">
      <w:pPr>
        <w:pStyle w:val="NormalWeb"/>
        <w:jc w:val="both"/>
        <w:rPr>
          <w:rStyle w:val="Strong"/>
        </w:rPr>
      </w:pPr>
      <w:r>
        <w:rPr>
          <w:rStyle w:val="Strong"/>
        </w:rPr>
        <w:t>c) Payment of Service Tax by Service Recipient</w:t>
      </w:r>
    </w:p>
    <w:p w:rsidR="006F2E3C" w:rsidRDefault="006F2E3C" w:rsidP="006F2E3C">
      <w:pPr>
        <w:pStyle w:val="NormalWeb"/>
        <w:jc w:val="both"/>
        <w:rPr>
          <w:u w:val="single"/>
        </w:rPr>
      </w:pPr>
      <w:r>
        <w:rPr>
          <w:b/>
          <w:bCs/>
          <w:u w:val="single"/>
        </w:rPr>
        <w:t>Point of Taxation (Amendment) Rules, 2012</w:t>
      </w:r>
      <w:r>
        <w:rPr>
          <w:u w:val="single"/>
        </w:rPr>
        <w:t>-( Notification No. 4/2012-ST Dated 17/03/2012)</w:t>
      </w:r>
    </w:p>
    <w:p w:rsidR="006F2E3C" w:rsidRDefault="006F2E3C" w:rsidP="006F2E3C">
      <w:pPr>
        <w:pStyle w:val="NormalWeb"/>
        <w:spacing w:before="0" w:beforeAutospacing="0" w:after="0" w:afterAutospacing="0"/>
        <w:rPr>
          <w:rFonts w:ascii="Arial" w:hAnsi="Arial" w:cs="Arial"/>
          <w:sz w:val="20"/>
          <w:szCs w:val="20"/>
        </w:rPr>
      </w:pPr>
    </w:p>
    <w:p w:rsidR="006F2E3C" w:rsidRDefault="006F2E3C" w:rsidP="006F2E3C">
      <w:pPr>
        <w:pStyle w:val="NormalWeb"/>
        <w:spacing w:before="0" w:beforeAutospacing="0" w:after="0" w:afterAutospacing="0"/>
      </w:pPr>
      <w:r>
        <w:rPr>
          <w:rFonts w:ascii="Arial" w:hAnsi="Arial" w:cs="Arial"/>
          <w:sz w:val="20"/>
          <w:szCs w:val="20"/>
        </w:rPr>
        <w:t>3.0    „Rule 7. Determination of point of taxation in case of specified services or persons</w:t>
      </w:r>
      <w:r w:rsidR="008C1EFA">
        <w:rPr>
          <w:rFonts w:ascii="Arial" w:hAnsi="Arial" w:cs="Arial"/>
          <w:sz w:val="20"/>
          <w:szCs w:val="20"/>
        </w:rPr>
        <w:t>. —</w:t>
      </w:r>
      <w:r>
        <w:rPr>
          <w:rFonts w:ascii="Arial" w:hAnsi="Arial" w:cs="Arial"/>
          <w:sz w:val="20"/>
          <w:szCs w:val="20"/>
        </w:rPr>
        <w:t xml:space="preserve"> Notwithstanding anything contained in these rules, the point of taxation in respect of the persons required to pay tax as recipients of service under the rules made in this regard in respect of services notified under sub-section (2) of section 68 of the Act, shall be the date on which payment is made:</w:t>
      </w:r>
      <w:r>
        <w:t xml:space="preserve"> </w:t>
      </w:r>
    </w:p>
    <w:p w:rsidR="006F2E3C" w:rsidRDefault="006F2E3C" w:rsidP="006F2E3C">
      <w:pPr>
        <w:pStyle w:val="NormalWeb"/>
        <w:spacing w:before="0" w:beforeAutospacing="0" w:after="0" w:afterAutospacing="0"/>
      </w:pPr>
      <w:r>
        <w:t xml:space="preserve">  </w:t>
      </w:r>
    </w:p>
    <w:p w:rsidR="006F2E3C" w:rsidRDefault="006F2E3C" w:rsidP="006F2E3C">
      <w:pPr>
        <w:pStyle w:val="NormalWeb"/>
        <w:spacing w:before="0" w:beforeAutospacing="0" w:after="0" w:afterAutospacing="0"/>
      </w:pPr>
      <w:r>
        <w:rPr>
          <w:rFonts w:ascii="Arial" w:hAnsi="Arial" w:cs="Arial"/>
          <w:sz w:val="20"/>
          <w:szCs w:val="20"/>
        </w:rPr>
        <w:t>Provided that, where the payment is not made within a period of six months of the date of invoice, the point of taxation shall be determined as if this rule does not exist:</w:t>
      </w:r>
      <w:r>
        <w:t xml:space="preserve"> </w:t>
      </w:r>
    </w:p>
    <w:p w:rsidR="006F2E3C" w:rsidRDefault="006F2E3C" w:rsidP="006F2E3C">
      <w:pPr>
        <w:pStyle w:val="NormalWeb"/>
        <w:spacing w:before="0" w:beforeAutospacing="0" w:after="0" w:afterAutospacing="0"/>
      </w:pPr>
      <w:r>
        <w:t xml:space="preserve">  </w:t>
      </w:r>
    </w:p>
    <w:p w:rsidR="006F2E3C" w:rsidRDefault="006F2E3C" w:rsidP="006F2E3C">
      <w:pPr>
        <w:pStyle w:val="NormalWeb"/>
        <w:spacing w:before="0" w:beforeAutospacing="0" w:after="0" w:afterAutospacing="0"/>
      </w:pPr>
      <w:r>
        <w:rPr>
          <w:rFonts w:ascii="Arial" w:hAnsi="Arial" w:cs="Arial"/>
          <w:sz w:val="20"/>
          <w:szCs w:val="20"/>
        </w:rPr>
        <w:t>Provided further that in case of “associated enterprises”, where the person providing the service is located outside India, the point of taxation shall be the date of debit in the books of account of the person receiving the service or date of making the payment whichever is earlier</w:t>
      </w:r>
      <w:proofErr w:type="gramStart"/>
      <w:r>
        <w:rPr>
          <w:rFonts w:ascii="Arial" w:hAnsi="Arial" w:cs="Arial"/>
          <w:sz w:val="20"/>
          <w:szCs w:val="20"/>
        </w:rPr>
        <w:t>..</w:t>
      </w:r>
      <w:proofErr w:type="gramEnd"/>
      <w:r>
        <w:t xml:space="preserve"> </w:t>
      </w:r>
    </w:p>
    <w:p w:rsidR="006F2E3C" w:rsidRDefault="006F2E3C" w:rsidP="006F2E3C">
      <w:pPr>
        <w:pStyle w:val="NormalWeb"/>
        <w:spacing w:before="0" w:beforeAutospacing="0" w:after="0" w:afterAutospacing="0"/>
      </w:pPr>
    </w:p>
    <w:p w:rsidR="006F2E3C" w:rsidRDefault="006F2E3C" w:rsidP="006F2E3C">
      <w:pPr>
        <w:pStyle w:val="NormalWeb"/>
        <w:jc w:val="both"/>
      </w:pPr>
      <w:r>
        <w:rPr>
          <w:rStyle w:val="Emphasis"/>
          <w:rFonts w:eastAsia="Calibri"/>
          <w:b/>
          <w:bCs/>
        </w:rPr>
        <w:lastRenderedPageBreak/>
        <w:t xml:space="preserve">d) What shall be the point of taxation for the service recipient? When will </w:t>
      </w:r>
      <w:proofErr w:type="spellStart"/>
      <w:r>
        <w:rPr>
          <w:rStyle w:val="Emphasis"/>
          <w:rFonts w:eastAsia="Calibri"/>
          <w:b/>
          <w:bCs/>
        </w:rPr>
        <w:t>he</w:t>
      </w:r>
      <w:proofErr w:type="spellEnd"/>
      <w:r>
        <w:rPr>
          <w:rStyle w:val="Emphasis"/>
          <w:rFonts w:eastAsia="Calibri"/>
          <w:b/>
          <w:bCs/>
        </w:rPr>
        <w:t xml:space="preserve"> need to pay the service tax in respect of his liability?</w:t>
      </w:r>
    </w:p>
    <w:p w:rsidR="006F2E3C" w:rsidRDefault="006F2E3C" w:rsidP="006F2E3C">
      <w:pPr>
        <w:pStyle w:val="NormalWeb"/>
        <w:jc w:val="both"/>
      </w:pPr>
      <w:r>
        <w:rPr>
          <w:rStyle w:val="Emphasis"/>
          <w:rFonts w:eastAsia="Calibri"/>
        </w:rPr>
        <w:t>4.0     Both the service provider and service recipient are governed by the Point of Taxation Rules 2011 in respect of the service provided or received by him. Usually it is the invoice or date of receipt of payment which is the point of taxation for the service provider. However for the service recipient, in terms of rule 7 of the said rules, point of taxation is when he pays of the service. Thus in the case where the invoice is issued in say July 2012 and the service recipient pays for the same in August 2012 the point of taxation for the service provider will be the date of issue of invoice in July 2012. The point of taxation for the service recipient shall be the date of payment in August 2012. The service provider would be required to pay tax (to the extent liability is affixed on him) by 5th/6th August, 2012 or 5th/6th October 2012 depending upon the admissibility of benefit under the proviso to Rule 6 of the Service Tax Rules 1994. The service recipient would need to pay tax (to the extent liability is affixed on him) by 5th/6th September 2012.</w:t>
      </w:r>
    </w:p>
    <w:p w:rsidR="006F2E3C" w:rsidRDefault="006F2E3C" w:rsidP="006F2E3C">
      <w:pPr>
        <w:pStyle w:val="NormalWeb"/>
        <w:jc w:val="both"/>
      </w:pPr>
      <w:r>
        <w:rPr>
          <w:rStyle w:val="Strong"/>
        </w:rPr>
        <w:t xml:space="preserve">e) Whether SR can pay ST by </w:t>
      </w:r>
      <w:r w:rsidR="008C1EFA">
        <w:rPr>
          <w:rStyle w:val="Strong"/>
        </w:rPr>
        <w:t>utilizing</w:t>
      </w:r>
      <w:r>
        <w:rPr>
          <w:rStyle w:val="Strong"/>
        </w:rPr>
        <w:t xml:space="preserve"> CENVAT Credit?</w:t>
      </w:r>
    </w:p>
    <w:p w:rsidR="006F2E3C" w:rsidRDefault="006F2E3C" w:rsidP="006F2E3C">
      <w:pPr>
        <w:pStyle w:val="NormalWeb"/>
        <w:spacing w:before="0" w:beforeAutospacing="0" w:after="0" w:afterAutospacing="0"/>
      </w:pPr>
      <w:r>
        <w:t xml:space="preserve">5.0       It may so happen that SR may be having unutilized </w:t>
      </w:r>
      <w:proofErr w:type="spellStart"/>
      <w:r>
        <w:t>CCr</w:t>
      </w:r>
      <w:proofErr w:type="spellEnd"/>
      <w:r>
        <w:t xml:space="preserve">. Whether the balance lying therein can be utilized for the payment to be made under PRC? No. Explanation to Rule 3(4) of CCR provides that </w:t>
      </w:r>
      <w:r>
        <w:rPr>
          <w:rStyle w:val="Emphasis"/>
        </w:rPr>
        <w:t>“CENVAT Credit cannot be used for payment of service tax in respect of services where the person liable to pay tax is the service recipient.”</w:t>
      </w:r>
      <w:r>
        <w:t xml:space="preserve"> Therefore, SR has no option but to make payment of ST and claim the same as </w:t>
      </w:r>
      <w:proofErr w:type="spellStart"/>
      <w:r>
        <w:t>CCr</w:t>
      </w:r>
      <w:proofErr w:type="spellEnd"/>
      <w:r>
        <w:t xml:space="preserve"> thereafter</w:t>
      </w:r>
    </w:p>
    <w:p w:rsidR="006F2E3C" w:rsidRDefault="006F2E3C" w:rsidP="006F2E3C">
      <w:pPr>
        <w:pStyle w:val="NormalWeb"/>
        <w:spacing w:before="0" w:beforeAutospacing="0" w:after="0" w:afterAutospacing="0"/>
      </w:pPr>
      <w:r>
        <w:t xml:space="preserve">  </w:t>
      </w:r>
    </w:p>
    <w:p w:rsidR="006F2E3C" w:rsidRDefault="006F2E3C" w:rsidP="006F2E3C">
      <w:pPr>
        <w:pStyle w:val="NormalWeb"/>
        <w:jc w:val="both"/>
      </w:pPr>
      <w:r>
        <w:rPr>
          <w:rStyle w:val="Strong"/>
        </w:rPr>
        <w:t xml:space="preserve">f) Whether SR can avail exemption limit of Rs. 10 </w:t>
      </w:r>
      <w:proofErr w:type="spellStart"/>
      <w:r>
        <w:rPr>
          <w:rStyle w:val="Strong"/>
        </w:rPr>
        <w:t>lacs</w:t>
      </w:r>
      <w:proofErr w:type="spellEnd"/>
      <w:r>
        <w:rPr>
          <w:rStyle w:val="Strong"/>
        </w:rPr>
        <w:t>?</w:t>
      </w:r>
    </w:p>
    <w:p w:rsidR="006F2E3C" w:rsidRDefault="006F2E3C" w:rsidP="006F2E3C">
      <w:pPr>
        <w:pStyle w:val="NormalWeb"/>
        <w:jc w:val="both"/>
      </w:pPr>
      <w:r>
        <w:t xml:space="preserve">6.0     Proviso to the First </w:t>
      </w:r>
      <w:proofErr w:type="spellStart"/>
      <w:r>
        <w:t>para</w:t>
      </w:r>
      <w:proofErr w:type="spellEnd"/>
      <w:r>
        <w:t xml:space="preserve"> of Notification No. 33 relating to basic exemption limit of Rs. 10 </w:t>
      </w:r>
      <w:proofErr w:type="spellStart"/>
      <w:r>
        <w:t>lacs</w:t>
      </w:r>
      <w:proofErr w:type="spellEnd"/>
      <w:r>
        <w:t xml:space="preserve"> for SSP issued provides as follow:</w:t>
      </w:r>
    </w:p>
    <w:p w:rsidR="006F2E3C" w:rsidRDefault="006F2E3C" w:rsidP="006F2E3C">
      <w:pPr>
        <w:pStyle w:val="NormalWeb"/>
        <w:jc w:val="both"/>
      </w:pPr>
      <w:r>
        <w:t>“</w:t>
      </w:r>
      <w:r>
        <w:rPr>
          <w:rStyle w:val="Emphasis"/>
          <w:rFonts w:eastAsia="Calibri"/>
        </w:rPr>
        <w:t>Provided</w:t>
      </w:r>
      <w:r>
        <w:t xml:space="preserve"> </w:t>
      </w:r>
      <w:r>
        <w:rPr>
          <w:rStyle w:val="Emphasis"/>
          <w:rFonts w:eastAsia="Calibri"/>
          <w:b/>
          <w:bCs/>
          <w:u w:val="single"/>
        </w:rPr>
        <w:t>nothing contained in this notification shall apply to</w:t>
      </w:r>
    </w:p>
    <w:p w:rsidR="006F2E3C" w:rsidRDefault="006F2E3C" w:rsidP="006F2E3C">
      <w:pPr>
        <w:pStyle w:val="NormalWeb"/>
        <w:jc w:val="both"/>
      </w:pPr>
      <w:r>
        <w:rPr>
          <w:rStyle w:val="Emphasis"/>
          <w:rFonts w:eastAsia="Calibri"/>
        </w:rPr>
        <w:t>a.       Such value of taxable services in respect of which service tax shall be paid by such person and in such manner as specified under sub-section (2) of section 68 of the said Finance Act read with Service Tax Rules, 1994”</w:t>
      </w:r>
    </w:p>
    <w:p w:rsidR="006F2E3C" w:rsidRDefault="006F2E3C" w:rsidP="006F2E3C">
      <w:pPr>
        <w:pStyle w:val="NormalWeb"/>
        <w:jc w:val="both"/>
      </w:pPr>
      <w:r>
        <w:t xml:space="preserve">6.1     As can be seen, the SR is not permitted to avail basic exemption limit of Rs. 10 </w:t>
      </w:r>
      <w:proofErr w:type="spellStart"/>
      <w:r>
        <w:t>lacs</w:t>
      </w:r>
      <w:proofErr w:type="spellEnd"/>
      <w:r>
        <w:t>.</w:t>
      </w:r>
    </w:p>
    <w:p w:rsidR="006F2E3C" w:rsidRDefault="006F2E3C" w:rsidP="006F2E3C">
      <w:pPr>
        <w:pStyle w:val="NormalWeb"/>
        <w:jc w:val="both"/>
      </w:pPr>
      <w:r>
        <w:rPr>
          <w:rStyle w:val="Strong"/>
        </w:rPr>
        <w:t>g) What will happen in the cases wherein service has already been provided before 1-7-2012?</w:t>
      </w:r>
    </w:p>
    <w:p w:rsidR="006F2E3C" w:rsidRDefault="006F2E3C" w:rsidP="006F2E3C">
      <w:pPr>
        <w:pStyle w:val="NormalWeb"/>
        <w:jc w:val="both"/>
      </w:pPr>
      <w:r>
        <w:t>7.0       According to GN, in such cases since point of taxation of the service has already been determined and whole liability has been affixed before 1.7.2012, the new provisions will not apply. Merely because payments are being made after 1.7.2012 will not add any additional liability on the service receiver in respect of such services.</w:t>
      </w:r>
    </w:p>
    <w:p w:rsidR="006F2E3C" w:rsidRDefault="006F2E3C" w:rsidP="006F2E3C">
      <w:pPr>
        <w:pStyle w:val="NormalWeb"/>
        <w:jc w:val="both"/>
      </w:pPr>
      <w:r>
        <w:rPr>
          <w:rStyle w:val="Strong"/>
        </w:rPr>
        <w:lastRenderedPageBreak/>
        <w:t>h) Registration by SR</w:t>
      </w:r>
    </w:p>
    <w:p w:rsidR="006F2E3C" w:rsidRDefault="006F2E3C" w:rsidP="006F2E3C">
      <w:pPr>
        <w:pStyle w:val="NormalWeb"/>
        <w:jc w:val="both"/>
      </w:pPr>
      <w:r>
        <w:t>8.0       It may so happen that SR may not be providing any service at all. Therefore, he might not have got himself registered. However, under PRC, the SR will be required to discharge the ST liability. For the said purpose, he will have to get himself registered. In fact, Section 69 categorically requires a person in such cases to get registered. The said section reads as follow:</w:t>
      </w:r>
    </w:p>
    <w:p w:rsidR="006F2E3C" w:rsidRDefault="006F2E3C" w:rsidP="006F2E3C">
      <w:pPr>
        <w:pStyle w:val="NormalWeb"/>
        <w:jc w:val="both"/>
      </w:pPr>
      <w:r>
        <w:rPr>
          <w:rStyle w:val="Emphasis"/>
          <w:rFonts w:eastAsia="Calibri"/>
        </w:rPr>
        <w:t>“Every person liable to pay the service tax ……… shall make an application for registration”</w:t>
      </w:r>
    </w:p>
    <w:p w:rsidR="006F2E3C" w:rsidRDefault="006F2E3C" w:rsidP="006F2E3C">
      <w:pPr>
        <w:pStyle w:val="NormalWeb"/>
        <w:jc w:val="both"/>
        <w:rPr>
          <w:b/>
        </w:rPr>
      </w:pPr>
      <w:r>
        <w:t>8.1       As can be seen, the liability to get registered is for the person who is liable to pay the ST. It does not differentiate between SP and SR. Therefore, Registration is a must.</w:t>
      </w:r>
    </w:p>
    <w:p w:rsidR="006F2E3C" w:rsidRDefault="006F2E3C" w:rsidP="006F2E3C">
      <w:pPr>
        <w:spacing w:before="100" w:beforeAutospacing="1"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refer the Notification relating to reverse charge.</w:t>
      </w:r>
    </w:p>
    <w:p w:rsidR="006F2E3C" w:rsidRDefault="006F2E3C" w:rsidP="006F2E3C">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 BE PUBLISHED IN THE GAZETTE OF INDIA, EXTRAORDINARY, PART II, SECTION 3, SUB-SECTION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Government of India</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Ministry of Finance</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(Department of Revenue)</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Notification No. 30/2012-Service Tax</w:t>
      </w:r>
      <w:r>
        <w:rPr>
          <w:rFonts w:ascii="Times New Roman" w:eastAsia="Times New Roman" w:hAnsi="Times New Roman" w:cs="Times New Roman"/>
          <w:color w:val="000000"/>
          <w:sz w:val="24"/>
          <w:szCs w:val="24"/>
        </w:rPr>
        <w:t> </w:t>
      </w:r>
    </w:p>
    <w:p w:rsidR="006F2E3C" w:rsidRDefault="006F2E3C" w:rsidP="006F2E3C">
      <w:pPr>
        <w:spacing w:line="360" w:lineRule="auto"/>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New Delhi, the 20</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June, 2012</w:t>
      </w:r>
      <w:r>
        <w:rPr>
          <w:rFonts w:ascii="Times New Roman" w:eastAsia="Times New Roman" w:hAnsi="Times New Roman" w:cs="Times New Roman"/>
          <w:b/>
          <w:bCs/>
          <w:color w:val="000000"/>
          <w:sz w:val="24"/>
          <w:szCs w:val="24"/>
        </w:rPr>
        <w:t> </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GSR.…..(E).—In exercise of the powers conferred by sub-section (2) of section 68 of the Finance Act, 1994 (32 of 1994), and in supersession of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notification of the Government of India in the Ministry of Finance (Department of Revenue), No. </w:t>
      </w:r>
      <w:r>
        <w:rPr>
          <w:rFonts w:ascii="Times New Roman" w:eastAsia="Times New Roman" w:hAnsi="Times New Roman" w:cs="Times New Roman"/>
          <w:caps/>
          <w:color w:val="000000"/>
          <w:sz w:val="24"/>
          <w:szCs w:val="24"/>
        </w:rPr>
        <w:t>15/2012-</w:t>
      </w:r>
      <w:r>
        <w:rPr>
          <w:rFonts w:ascii="Times New Roman" w:eastAsia="Times New Roman" w:hAnsi="Times New Roman" w:cs="Times New Roman"/>
          <w:color w:val="000000"/>
          <w:sz w:val="24"/>
          <w:szCs w:val="24"/>
        </w:rPr>
        <w:t>Service Tax</w:t>
      </w:r>
      <w:r>
        <w:rPr>
          <w:rFonts w:ascii="Times New Roman" w:eastAsia="Times New Roman" w:hAnsi="Times New Roman" w:cs="Times New Roman"/>
          <w:caps/>
          <w:color w:val="000000"/>
          <w:sz w:val="24"/>
          <w:szCs w:val="24"/>
        </w:rPr>
        <w:t>, </w:t>
      </w:r>
      <w:r>
        <w:rPr>
          <w:rFonts w:ascii="Times New Roman" w:eastAsia="Times New Roman" w:hAnsi="Times New Roman" w:cs="Times New Roman"/>
          <w:color w:val="000000"/>
          <w:sz w:val="24"/>
          <w:szCs w:val="24"/>
        </w:rPr>
        <w:t>dated the   17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March, 2012, published in the Gazette of India, Extraordinary, Part II, Section 3, Sub-section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vide</w:t>
      </w:r>
      <w:r>
        <w:rPr>
          <w:rFonts w:ascii="Times New Roman" w:eastAsia="Times New Roman" w:hAnsi="Times New Roman" w:cs="Times New Roman"/>
          <w:color w:val="000000"/>
          <w:sz w:val="24"/>
          <w:szCs w:val="24"/>
        </w:rPr>
        <w:t> number G.S.R 213(E), dated the  17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March, 2012, and (ii) notification of the Government of India in the Ministry of Finance (Department of Revenue), No. 36/2004-Service Tax, dated the  31</w:t>
      </w:r>
      <w:r>
        <w:rPr>
          <w:rFonts w:ascii="Times New Roman" w:eastAsia="Times New Roman" w:hAnsi="Times New Roman" w:cs="Times New Roman"/>
          <w:color w:val="000000"/>
          <w:sz w:val="24"/>
          <w:szCs w:val="24"/>
          <w:vertAlign w:val="superscript"/>
        </w:rPr>
        <w:t>st </w:t>
      </w:r>
      <w:r>
        <w:rPr>
          <w:rFonts w:ascii="Times New Roman" w:eastAsia="Times New Roman" w:hAnsi="Times New Roman" w:cs="Times New Roman"/>
          <w:color w:val="000000"/>
          <w:sz w:val="24"/>
          <w:szCs w:val="24"/>
        </w:rPr>
        <w:t> December, 2004, published in the Gazette of India, Extraordinary, Part II, Section 3, Sub-section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w:t>
      </w:r>
      <w:r>
        <w:rPr>
          <w:rFonts w:ascii="Times New Roman" w:eastAsia="Times New Roman" w:hAnsi="Times New Roman" w:cs="Times New Roman"/>
          <w:i/>
          <w:iCs/>
          <w:color w:val="000000"/>
          <w:sz w:val="24"/>
          <w:szCs w:val="24"/>
        </w:rPr>
        <w:t>vide</w:t>
      </w:r>
      <w:r>
        <w:rPr>
          <w:rFonts w:ascii="Times New Roman" w:eastAsia="Times New Roman" w:hAnsi="Times New Roman" w:cs="Times New Roman"/>
          <w:color w:val="000000"/>
          <w:sz w:val="24"/>
          <w:szCs w:val="24"/>
        </w:rPr>
        <w:t> number G.S.R 849 (E), dated the 31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December, 2004,  except as respects things done or omitted to be done before such supersession, the Central Government hereby notifies the following taxable services and the extent of service tax </w:t>
      </w:r>
      <w:r>
        <w:rPr>
          <w:rFonts w:ascii="Times New Roman" w:eastAsia="Times New Roman" w:hAnsi="Times New Roman" w:cs="Times New Roman"/>
          <w:color w:val="000000"/>
          <w:sz w:val="24"/>
          <w:szCs w:val="24"/>
        </w:rPr>
        <w:lastRenderedPageBreak/>
        <w:t>payable thereon by the person liable to pay service tax for the purposes of the said sub-section, namely:—</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 </w:t>
      </w:r>
      <w:proofErr w:type="gramStart"/>
      <w:r>
        <w:rPr>
          <w:rFonts w:ascii="Times New Roman" w:eastAsia="Times New Roman" w:hAnsi="Times New Roman" w:cs="Times New Roman"/>
          <w:b/>
          <w:bCs/>
          <w:color w:val="000000"/>
          <w:sz w:val="24"/>
          <w:szCs w:val="24"/>
        </w:rPr>
        <w:t>The</w:t>
      </w:r>
      <w:proofErr w:type="gramEnd"/>
      <w:r>
        <w:rPr>
          <w:rFonts w:ascii="Times New Roman" w:eastAsia="Times New Roman" w:hAnsi="Times New Roman" w:cs="Times New Roman"/>
          <w:b/>
          <w:bCs/>
          <w:color w:val="000000"/>
          <w:sz w:val="24"/>
          <w:szCs w:val="24"/>
        </w:rPr>
        <w:t> taxable services,—</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w:t>
      </w:r>
      <w:proofErr w:type="spellStart"/>
      <w:proofErr w:type="gramStart"/>
      <w:r>
        <w:rPr>
          <w:rFonts w:ascii="Times New Roman" w:eastAsia="Times New Roman" w:hAnsi="Times New Roman" w:cs="Times New Roman"/>
          <w:color w:val="000000"/>
          <w:sz w:val="24"/>
          <w:szCs w:val="24"/>
        </w:rPr>
        <w:t>i</w:t>
      </w:r>
      <w:proofErr w:type="spellEnd"/>
      <w:proofErr w:type="gramEnd"/>
      <w:r>
        <w:rPr>
          <w:rFonts w:ascii="Times New Roman" w:eastAsia="Times New Roman" w:hAnsi="Times New Roman" w:cs="Times New Roman"/>
          <w:color w:val="000000"/>
          <w:sz w:val="24"/>
          <w:szCs w:val="24"/>
        </w:rPr>
        <w:t>)   provided or agreed to be provided  by an insurance agent to any person carrying on the insurance business;</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w:t>
      </w:r>
      <w:proofErr w:type="gramStart"/>
      <w:r>
        <w:rPr>
          <w:rFonts w:ascii="Times New Roman" w:eastAsia="Times New Roman" w:hAnsi="Times New Roman" w:cs="Times New Roman"/>
          <w:color w:val="000000"/>
          <w:sz w:val="24"/>
          <w:szCs w:val="24"/>
        </w:rPr>
        <w:t>provided</w:t>
      </w:r>
      <w:proofErr w:type="gramEnd"/>
      <w:r>
        <w:rPr>
          <w:rFonts w:ascii="Times New Roman" w:eastAsia="Times New Roman" w:hAnsi="Times New Roman" w:cs="Times New Roman"/>
          <w:color w:val="000000"/>
          <w:sz w:val="24"/>
          <w:szCs w:val="24"/>
        </w:rPr>
        <w:t> or agreed to be provided  by a goods transport agency in respect of  transportation  of goods by road, where the  person liable to pay freight    is,—</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w:t>
      </w:r>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factory registered under or governed by the Factories Act, 1948 (63 of 1948);</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  </w:t>
      </w:r>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society registered under the Societies Registration Act, 1860 (21 of 1860) or under any other law for the time being in force in any part of India;</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  </w:t>
      </w:r>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co-operative society established by or under any law;</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  </w:t>
      </w:r>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xml:space="preserve"> dealer of excisable goods, who is registered under the Central Excise Act, 1944 (1 of 1944) or the rules made </w:t>
      </w:r>
      <w:proofErr w:type="spellStart"/>
      <w:r>
        <w:rPr>
          <w:rFonts w:ascii="Times New Roman" w:eastAsia="Times New Roman" w:hAnsi="Times New Roman" w:cs="Times New Roman"/>
          <w:color w:val="000000"/>
          <w:sz w:val="24"/>
          <w:szCs w:val="24"/>
        </w:rPr>
        <w:t>thereunder</w:t>
      </w:r>
      <w:proofErr w:type="spellEnd"/>
      <w:r>
        <w:rPr>
          <w:rFonts w:ascii="Times New Roman" w:eastAsia="Times New Roman" w:hAnsi="Times New Roman" w:cs="Times New Roman"/>
          <w:color w:val="000000"/>
          <w:sz w:val="24"/>
          <w:szCs w:val="24"/>
        </w:rPr>
        <w:t>;</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  </w:t>
      </w:r>
      <w:proofErr w:type="spellStart"/>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body</w:t>
      </w:r>
      <w:proofErr w:type="spellEnd"/>
      <w:r>
        <w:rPr>
          <w:rFonts w:ascii="Times New Roman" w:eastAsia="Times New Roman" w:hAnsi="Times New Roman" w:cs="Times New Roman"/>
          <w:color w:val="000000"/>
          <w:sz w:val="24"/>
          <w:szCs w:val="24"/>
        </w:rPr>
        <w:t> corporate established, by or under any law; or</w:t>
      </w:r>
    </w:p>
    <w:p w:rsidR="006F2E3C" w:rsidRDefault="006F2E3C" w:rsidP="006F2E3C">
      <w:pPr>
        <w:spacing w:before="80" w:after="8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  </w:t>
      </w:r>
      <w:proofErr w:type="gramStart"/>
      <w:r>
        <w:rPr>
          <w:rFonts w:ascii="Times New Roman" w:eastAsia="Times New Roman" w:hAnsi="Times New Roman" w:cs="Times New Roman"/>
          <w:color w:val="000000"/>
          <w:sz w:val="24"/>
          <w:szCs w:val="24"/>
        </w:rPr>
        <w:t>any</w:t>
      </w:r>
      <w:proofErr w:type="gramEnd"/>
      <w:r>
        <w:rPr>
          <w:rFonts w:ascii="Times New Roman" w:eastAsia="Times New Roman" w:hAnsi="Times New Roman" w:cs="Times New Roman"/>
          <w:color w:val="000000"/>
          <w:sz w:val="24"/>
          <w:szCs w:val="24"/>
        </w:rPr>
        <w:t> partnership firm whether registered or not under any law including association of persons;</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(iii) </w:t>
      </w:r>
      <w:proofErr w:type="gramStart"/>
      <w:r>
        <w:rPr>
          <w:rFonts w:ascii="Times New Roman" w:eastAsia="Times New Roman" w:hAnsi="Times New Roman" w:cs="Times New Roman"/>
          <w:color w:val="000000"/>
          <w:sz w:val="24"/>
          <w:szCs w:val="24"/>
        </w:rPr>
        <w:t>provided</w:t>
      </w:r>
      <w:proofErr w:type="gramEnd"/>
      <w:r>
        <w:rPr>
          <w:rFonts w:ascii="Times New Roman" w:eastAsia="Times New Roman" w:hAnsi="Times New Roman" w:cs="Times New Roman"/>
          <w:color w:val="000000"/>
          <w:sz w:val="24"/>
          <w:szCs w:val="24"/>
        </w:rPr>
        <w:t> or agreed to be provided by way of sponsorship  to anybody corporate or partnership firm located in the taxable territory;</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(iv) </w:t>
      </w:r>
      <w:proofErr w:type="gramStart"/>
      <w:r>
        <w:rPr>
          <w:rFonts w:ascii="Times New Roman" w:eastAsia="Times New Roman" w:hAnsi="Times New Roman" w:cs="Times New Roman"/>
          <w:color w:val="000000"/>
          <w:sz w:val="24"/>
          <w:szCs w:val="24"/>
        </w:rPr>
        <w:t>provided</w:t>
      </w:r>
      <w:proofErr w:type="gramEnd"/>
      <w:r>
        <w:rPr>
          <w:rFonts w:ascii="Times New Roman" w:eastAsia="Times New Roman" w:hAnsi="Times New Roman" w:cs="Times New Roman"/>
          <w:color w:val="000000"/>
          <w:sz w:val="24"/>
          <w:szCs w:val="24"/>
        </w:rPr>
        <w:t xml:space="preserve"> or agreed to be provided by,-</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 </w:t>
      </w:r>
      <w:proofErr w:type="gramStart"/>
      <w:r>
        <w:rPr>
          <w:rFonts w:ascii="Times New Roman" w:eastAsia="Times New Roman" w:hAnsi="Times New Roman" w:cs="Times New Roman"/>
          <w:color w:val="000000"/>
          <w:sz w:val="24"/>
          <w:szCs w:val="24"/>
        </w:rPr>
        <w:t>an</w:t>
      </w:r>
      <w:proofErr w:type="gramEnd"/>
      <w:r>
        <w:rPr>
          <w:rFonts w:ascii="Times New Roman" w:eastAsia="Times New Roman" w:hAnsi="Times New Roman" w:cs="Times New Roman"/>
          <w:color w:val="000000"/>
          <w:sz w:val="24"/>
          <w:szCs w:val="24"/>
        </w:rPr>
        <w:t xml:space="preserve"> arbitral tribunal, or</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(B) </w:t>
      </w:r>
      <w:proofErr w:type="gramStart"/>
      <w:r>
        <w:rPr>
          <w:rFonts w:ascii="Times New Roman" w:eastAsia="Times New Roman" w:hAnsi="Times New Roman" w:cs="Times New Roman"/>
          <w:color w:val="000000"/>
          <w:sz w:val="24"/>
          <w:szCs w:val="24"/>
        </w:rPr>
        <w:t>an</w:t>
      </w:r>
      <w:proofErr w:type="gramEnd"/>
      <w:r>
        <w:rPr>
          <w:rFonts w:ascii="Times New Roman" w:eastAsia="Times New Roman" w:hAnsi="Times New Roman" w:cs="Times New Roman"/>
          <w:color w:val="000000"/>
          <w:sz w:val="24"/>
          <w:szCs w:val="24"/>
        </w:rPr>
        <w:t xml:space="preserve"> individual advocate </w:t>
      </w:r>
      <w:r>
        <w:rPr>
          <w:rFonts w:ascii="Times New Roman" w:eastAsia="Times New Roman" w:hAnsi="Times New Roman" w:cs="Times New Roman"/>
          <w:bCs/>
          <w:color w:val="000000"/>
          <w:sz w:val="24"/>
          <w:szCs w:val="24"/>
          <w:lang w:val="en-IN"/>
        </w:rPr>
        <w:t>or a firm of advocates by way of support services, or</w:t>
      </w:r>
    </w:p>
    <w:p w:rsidR="006F2E3C" w:rsidRDefault="006F2E3C" w:rsidP="006F2E3C">
      <w:pPr>
        <w:tabs>
          <w:tab w:val="left" w:pos="720"/>
        </w:tabs>
        <w:spacing w:before="120" w:line="360" w:lineRule="auto"/>
        <w:ind w:left="810" w:hanging="90"/>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lang w:val="en-IN"/>
        </w:rPr>
        <w:t xml:space="preserve">(C) </w:t>
      </w:r>
      <w:r>
        <w:rPr>
          <w:rFonts w:ascii="Times New Roman" w:eastAsia="Times New Roman" w:hAnsi="Times New Roman" w:cs="Times New Roman"/>
          <w:color w:val="000000"/>
          <w:sz w:val="24"/>
          <w:szCs w:val="24"/>
        </w:rPr>
        <w:t>Government or local authority by way of support services excluding,-</w:t>
      </w:r>
    </w:p>
    <w:p w:rsidR="006F2E3C" w:rsidRDefault="006F2E3C" w:rsidP="006F2E3C">
      <w:pPr>
        <w:tabs>
          <w:tab w:val="left" w:pos="720"/>
        </w:tabs>
        <w:spacing w:before="120" w:line="360" w:lineRule="auto"/>
        <w:ind w:left="810" w:hanging="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(1) </w:t>
      </w:r>
      <w:proofErr w:type="gramStart"/>
      <w:r>
        <w:rPr>
          <w:rFonts w:ascii="Times New Roman" w:eastAsia="Times New Roman" w:hAnsi="Times New Roman" w:cs="Times New Roman"/>
          <w:color w:val="000000"/>
          <w:sz w:val="24"/>
          <w:szCs w:val="24"/>
        </w:rPr>
        <w:t>renting</w:t>
      </w:r>
      <w:proofErr w:type="gramEnd"/>
      <w:r>
        <w:rPr>
          <w:rFonts w:ascii="Times New Roman" w:eastAsia="Times New Roman" w:hAnsi="Times New Roman" w:cs="Times New Roman"/>
          <w:color w:val="000000"/>
          <w:sz w:val="24"/>
          <w:szCs w:val="24"/>
        </w:rPr>
        <w:t xml:space="preserve"> of  immovable property, and </w:t>
      </w:r>
    </w:p>
    <w:p w:rsidR="006F2E3C" w:rsidRDefault="006F2E3C" w:rsidP="006F2E3C">
      <w:pPr>
        <w:tabs>
          <w:tab w:val="left" w:pos="720"/>
        </w:tabs>
        <w:spacing w:before="120" w:line="360" w:lineRule="auto"/>
        <w:ind w:left="810" w:hanging="9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(2) </w:t>
      </w:r>
      <w:proofErr w:type="gramStart"/>
      <w:r>
        <w:rPr>
          <w:rFonts w:ascii="Times New Roman" w:eastAsia="Times New Roman" w:hAnsi="Times New Roman" w:cs="Times New Roman"/>
          <w:color w:val="000000"/>
          <w:sz w:val="24"/>
          <w:szCs w:val="24"/>
        </w:rPr>
        <w:t>services</w:t>
      </w:r>
      <w:proofErr w:type="gramEnd"/>
      <w:r>
        <w:rPr>
          <w:rFonts w:ascii="Times New Roman" w:eastAsia="Times New Roman" w:hAnsi="Times New Roman" w:cs="Times New Roman"/>
          <w:color w:val="000000"/>
          <w:sz w:val="24"/>
          <w:szCs w:val="24"/>
        </w:rPr>
        <w:t xml:space="preserve"> specified in sub-clauses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(ii) and (iii) of clause (a) of section 66D of the Finance Act,1994,</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to</w:t>
      </w:r>
      <w:proofErr w:type="gramEnd"/>
      <w:r>
        <w:rPr>
          <w:rFonts w:ascii="Times New Roman" w:eastAsia="Times New Roman" w:hAnsi="Times New Roman" w:cs="Times New Roman"/>
          <w:color w:val="000000"/>
          <w:sz w:val="24"/>
          <w:szCs w:val="24"/>
        </w:rPr>
        <w:t xml:space="preserve"> any business entity located in the taxable territory;</w:t>
      </w:r>
    </w:p>
    <w:p w:rsidR="006F2E3C" w:rsidRDefault="006F2E3C" w:rsidP="006F2E3C">
      <w:pPr>
        <w:spacing w:before="120" w:line="36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(v) provided or agreed to be provided by way of renting of a motor vehicle designed to carry passengers to any person who is not in the similar line of business or supply of manpower for any purpose or service portion in execution of works contract by any individual, Hindu Undivided Family or partnership firm, whether registered or not, including association of persons, located in the taxable territory to a business entity registered as body corporate, located in the taxable territory;</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(B) </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provided</w:t>
      </w:r>
      <w:proofErr w:type="gramEnd"/>
      <w:r>
        <w:rPr>
          <w:rFonts w:ascii="Times New Roman" w:eastAsia="Times New Roman" w:hAnsi="Times New Roman" w:cs="Times New Roman"/>
          <w:color w:val="000000"/>
          <w:sz w:val="24"/>
          <w:szCs w:val="24"/>
        </w:rPr>
        <w:t xml:space="preserve"> or agreed to be provided by any person which  is located in a non-taxable territory and received by any person located in the taxable territory;</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(II)</w:t>
      </w:r>
      <w:r>
        <w:rPr>
          <w:rFonts w:ascii="Times New Roman" w:eastAsia="Times New Roman" w:hAnsi="Times New Roman" w:cs="Times New Roman"/>
          <w:color w:val="000000"/>
          <w:sz w:val="24"/>
          <w:szCs w:val="24"/>
        </w:rPr>
        <w:t> The extent of service tax payable thereon by the person who  provides the service and the person who receives the service for the taxable services specified in (I) shall be as specified in the following Table, namely:-</w:t>
      </w:r>
    </w:p>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Table</w:t>
      </w:r>
    </w:p>
    <w:tbl>
      <w:tblPr>
        <w:tblW w:w="0" w:type="auto"/>
        <w:jc w:val="center"/>
        <w:tblInd w:w="108" w:type="dxa"/>
        <w:tblCellMar>
          <w:left w:w="0" w:type="dxa"/>
          <w:right w:w="0" w:type="dxa"/>
        </w:tblCellMar>
        <w:tblLook w:val="00A0"/>
      </w:tblPr>
      <w:tblGrid>
        <w:gridCol w:w="1070"/>
        <w:gridCol w:w="4470"/>
        <w:gridCol w:w="1996"/>
        <w:gridCol w:w="1932"/>
      </w:tblGrid>
      <w:tr w:rsidR="006F2E3C" w:rsidTr="006F2E3C">
        <w:trPr>
          <w:trHeight w:val="908"/>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sz w:val="24"/>
                <w:szCs w:val="24"/>
              </w:rPr>
              <w:t>Sl.No</w:t>
            </w:r>
            <w:proofErr w:type="spellEnd"/>
            <w:r>
              <w:rPr>
                <w:rFonts w:ascii="Times New Roman" w:eastAsia="Times New Roman" w:hAnsi="Times New Roman" w:cs="Times New Roman"/>
                <w:sz w:val="24"/>
                <w:szCs w:val="24"/>
              </w:rPr>
              <w:t>.</w:t>
            </w:r>
          </w:p>
        </w:tc>
        <w:tc>
          <w:tcPr>
            <w:tcW w:w="4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of a service</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service tax payable by the person providing service</w:t>
            </w:r>
          </w:p>
        </w:tc>
        <w:tc>
          <w:tcPr>
            <w:tcW w:w="19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service tax payable by the person receiving the service</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respect of  services  provided or agreed to be provided  by an insurance agent to </w:t>
            </w:r>
            <w:r>
              <w:rPr>
                <w:rFonts w:ascii="Times New Roman" w:eastAsia="Times New Roman" w:hAnsi="Times New Roman" w:cs="Times New Roman"/>
                <w:sz w:val="24"/>
                <w:szCs w:val="24"/>
              </w:rPr>
              <w:lastRenderedPageBreak/>
              <w:t>any person carrying on insurance business</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services  provided or agreed to be provided  by a goods transport agency in respect of transportation  of goods by road</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services  provided or agreed to be provided  by way of sponsorship</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services  provided or agreed to be provided  by an arbitral tribunal</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respect of  services  provided or agreed to be provided  by individual advocate or a firm of advocates by way of legal services </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services  provided or agreed to be provided  by Government or local authority by way of support services excluding,-  (1) renting of immovable property, and (2) services specified in sub-clauses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(ii) and (iii) of clause (a) of section 66D of the Finance Act,1994</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 respect of  services  provided or agreed to be provided  by way of renting of a  motor vehicle designed to carry passengers on abated value to any person who is not engaged in the similar line of business</w:t>
            </w:r>
          </w:p>
          <w:p w:rsidR="006F2E3C" w:rsidRDefault="006F2E3C">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6F2E3C" w:rsidRDefault="006F2E3C">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in respect of  services  provided or agreed to be provided  by way of renting of a  motor vehicle designed to carry passengers on non abated value to any person who is not engaged in the similar line of business</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Nil</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 respect of  services  provided or agreed to be provided  by way of supply of manpower for any purpose</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75 %</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 respect of  services  provided or agreed to be provided  in service portion in execution  of works contract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r>
      <w:tr w:rsidR="006F2E3C" w:rsidTr="006F2E3C">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in respect of  any taxable services  provided or agreed to be provided  by any person who is located in a non-taxable territory and received by any person located in the taxable territory</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6F2E3C" w:rsidRDefault="006F2E3C">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6F2E3C" w:rsidRDefault="006F2E3C" w:rsidP="006F2E3C">
      <w:pPr>
        <w:spacing w:line="360"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before="100" w:beforeAutospacing="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Explanation-I.</w:t>
      </w:r>
      <w:proofErr w:type="gramEnd"/>
      <w:r>
        <w:rPr>
          <w:rFonts w:ascii="Times New Roman" w:eastAsia="Times New Roman" w:hAnsi="Times New Roman" w:cs="Times New Roman"/>
          <w:color w:val="000000"/>
          <w:sz w:val="24"/>
          <w:szCs w:val="24"/>
        </w:rPr>
        <w:t xml:space="preserve"> - The person who pays or is liable to pay freight for the transportation of goods by road in goods carriage, located in the taxable territory shall be treated as the person who receives the service for the purpose of this notification.</w:t>
      </w:r>
    </w:p>
    <w:p w:rsidR="006F2E3C" w:rsidRDefault="006F2E3C" w:rsidP="006F2E3C">
      <w:pPr>
        <w:tabs>
          <w:tab w:val="center" w:pos="4770"/>
        </w:tabs>
        <w:spacing w:before="100" w:beforeAutospacing="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Explanation-II.</w:t>
      </w:r>
      <w:proofErr w:type="gramEnd"/>
      <w:r>
        <w:rPr>
          <w:rFonts w:ascii="Times New Roman" w:eastAsia="Times New Roman" w:hAnsi="Times New Roman" w:cs="Times New Roman"/>
          <w:color w:val="000000"/>
          <w:sz w:val="24"/>
          <w:szCs w:val="24"/>
        </w:rPr>
        <w:t xml:space="preserve"> - In works contract services, where both service provider and service recipient is the persons liable to pay tax, the service recipient has the option of choosing the valuation method as per choice, independent of valuation method adopted by the provider of service.</w:t>
      </w:r>
    </w:p>
    <w:p w:rsidR="006F2E3C" w:rsidRDefault="006F2E3C" w:rsidP="006F2E3C">
      <w:pPr>
        <w:tabs>
          <w:tab w:val="center" w:pos="4770"/>
        </w:tabs>
        <w:spacing w:before="100" w:beforeAutospacing="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tabs>
          <w:tab w:val="center" w:pos="4770"/>
        </w:tabs>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This notification shall come into force on the 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day of July, 2012.  </w:t>
      </w:r>
    </w:p>
    <w:p w:rsidR="006F2E3C" w:rsidRDefault="006F2E3C" w:rsidP="006F2E3C">
      <w:pPr>
        <w:spacing w:line="360" w:lineRule="auto"/>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w:t>
      </w:r>
      <w:proofErr w:type="spellStart"/>
      <w:r>
        <w:rPr>
          <w:rFonts w:ascii="Times New Roman" w:eastAsia="Times New Roman" w:hAnsi="Times New Roman" w:cs="Times New Roman"/>
          <w:color w:val="000000"/>
          <w:sz w:val="24"/>
          <w:szCs w:val="24"/>
        </w:rPr>
        <w:t>F.No</w:t>
      </w:r>
      <w:proofErr w:type="spellEnd"/>
      <w:r>
        <w:rPr>
          <w:rFonts w:ascii="Times New Roman" w:eastAsia="Times New Roman" w:hAnsi="Times New Roman" w:cs="Times New Roman"/>
          <w:color w:val="000000"/>
          <w:sz w:val="24"/>
          <w:szCs w:val="24"/>
        </w:rPr>
        <w:t>. 334/1/2012- TRU]</w:t>
      </w:r>
    </w:p>
    <w:p w:rsidR="006F2E3C" w:rsidRDefault="006F2E3C" w:rsidP="006F2E3C">
      <w:pPr>
        <w:spacing w:line="360" w:lineRule="auto"/>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spacing w:line="360" w:lineRule="auto"/>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F2E3C" w:rsidRDefault="006F2E3C" w:rsidP="006F2E3C">
      <w:pPr>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(Raj Kumar </w:t>
      </w:r>
      <w:proofErr w:type="spellStart"/>
      <w:r>
        <w:rPr>
          <w:rFonts w:ascii="Times New Roman" w:eastAsia="Times New Roman" w:hAnsi="Times New Roman" w:cs="Times New Roman"/>
          <w:color w:val="000000"/>
          <w:sz w:val="24"/>
          <w:szCs w:val="24"/>
        </w:rPr>
        <w:t>Digvijay</w:t>
      </w:r>
      <w:proofErr w:type="spellEnd"/>
      <w:r>
        <w:rPr>
          <w:rFonts w:ascii="Times New Roman" w:eastAsia="Times New Roman" w:hAnsi="Times New Roman" w:cs="Times New Roman"/>
          <w:color w:val="000000"/>
          <w:sz w:val="24"/>
          <w:szCs w:val="24"/>
        </w:rPr>
        <w:t>)</w:t>
      </w:r>
    </w:p>
    <w:p w:rsidR="006F2E3C" w:rsidRDefault="006F2E3C" w:rsidP="006F2E3C">
      <w:pPr>
        <w:ind w:left="18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Under Secretary to the Government of India </w:t>
      </w:r>
    </w:p>
    <w:p w:rsidR="006F2E3C" w:rsidRDefault="006F2E3C" w:rsidP="006F2E3C">
      <w:pPr>
        <w:rPr>
          <w:rFonts w:eastAsiaTheme="minorHAnsi"/>
        </w:rPr>
      </w:pPr>
    </w:p>
    <w:p w:rsidR="006F2E3C" w:rsidRDefault="006F2E3C" w:rsidP="006F2E3C">
      <w:pPr>
        <w:pStyle w:val="NormalWeb"/>
        <w:jc w:val="both"/>
        <w:rPr>
          <w:rFonts w:asciiTheme="minorHAnsi" w:eastAsiaTheme="minorHAnsi" w:hAnsiTheme="minorHAnsi" w:cstheme="minorBidi"/>
          <w:sz w:val="22"/>
          <w:szCs w:val="22"/>
        </w:rPr>
      </w:pPr>
    </w:p>
    <w:p w:rsidR="006F2E3C" w:rsidRDefault="006F2E3C" w:rsidP="006F2E3C">
      <w:pPr>
        <w:pStyle w:val="NormalWeb"/>
        <w:jc w:val="both"/>
        <w:rPr>
          <w:rFonts w:asciiTheme="minorHAnsi" w:eastAsiaTheme="minorHAnsi" w:hAnsiTheme="minorHAnsi" w:cstheme="minorBidi"/>
          <w:sz w:val="22"/>
          <w:szCs w:val="22"/>
        </w:rPr>
      </w:pPr>
    </w:p>
    <w:p w:rsidR="006F2E3C" w:rsidRDefault="006F2E3C" w:rsidP="006F2E3C">
      <w:pPr>
        <w:pStyle w:val="NormalWeb"/>
        <w:jc w:val="both"/>
        <w:rPr>
          <w:rFonts w:asciiTheme="minorHAnsi" w:eastAsiaTheme="minorHAnsi" w:hAnsiTheme="minorHAnsi" w:cstheme="minorBidi"/>
          <w:sz w:val="22"/>
          <w:szCs w:val="22"/>
        </w:rPr>
      </w:pPr>
    </w:p>
    <w:p w:rsidR="00AB1F0D" w:rsidRDefault="00AB1F0D"/>
    <w:sectPr w:rsidR="00AB1F0D" w:rsidSect="00E841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F2E3C"/>
    <w:rsid w:val="006F2E3C"/>
    <w:rsid w:val="008C1EFA"/>
    <w:rsid w:val="00AB1F0D"/>
    <w:rsid w:val="00E841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1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2E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2E3C"/>
    <w:rPr>
      <w:b/>
      <w:bCs/>
    </w:rPr>
  </w:style>
  <w:style w:type="character" w:styleId="Emphasis">
    <w:name w:val="Emphasis"/>
    <w:basedOn w:val="DefaultParagraphFont"/>
    <w:uiPriority w:val="20"/>
    <w:qFormat/>
    <w:rsid w:val="006F2E3C"/>
    <w:rPr>
      <w:i/>
      <w:iCs/>
    </w:rPr>
  </w:style>
</w:styles>
</file>

<file path=word/webSettings.xml><?xml version="1.0" encoding="utf-8"?>
<w:webSettings xmlns:r="http://schemas.openxmlformats.org/officeDocument/2006/relationships" xmlns:w="http://schemas.openxmlformats.org/wordprocessingml/2006/main">
  <w:divs>
    <w:div w:id="22899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1877</Words>
  <Characters>10702</Characters>
  <Application>Microsoft Office Word</Application>
  <DocSecurity>0</DocSecurity>
  <Lines>89</Lines>
  <Paragraphs>25</Paragraphs>
  <ScaleCrop>false</ScaleCrop>
  <Company/>
  <LinksUpToDate>false</LinksUpToDate>
  <CharactersWithSpaces>12554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2012-08-08T11:13:00Z</dcterms:created>
  <dcterms:modified xsi:type="dcterms:W3CDTF">2012-08-08T11:17:00Z</dcterms:modified>
</cp:coreProperties>
</file>