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top w:w="75" w:type="dxa"/>
          <w:left w:w="75" w:type="dxa"/>
          <w:bottom w:w="75" w:type="dxa"/>
          <w:right w:w="75" w:type="dxa"/>
        </w:tblCellMar>
        <w:tblLook w:val="04A0"/>
      </w:tblPr>
      <w:tblGrid>
        <w:gridCol w:w="10978"/>
      </w:tblGrid>
      <w:tr w:rsidR="0070716E" w:rsidRPr="0070716E">
        <w:trPr>
          <w:tblCellSpacing w:w="7" w:type="dxa"/>
          <w:jc w:val="center"/>
        </w:trPr>
        <w:tc>
          <w:tcPr>
            <w:tcW w:w="0" w:type="auto"/>
            <w:shd w:val="clear" w:color="auto" w:fill="FFFFFF"/>
            <w:vAlign w:val="center"/>
            <w:hideMark/>
          </w:tcPr>
          <w:p w:rsidR="0070716E" w:rsidRPr="0070716E" w:rsidRDefault="0070716E" w:rsidP="0070716E">
            <w:pPr>
              <w:spacing w:after="0" w:line="240" w:lineRule="auto"/>
              <w:jc w:val="center"/>
              <w:rPr>
                <w:rFonts w:ascii="Times New Roman" w:eastAsia="Times New Roman" w:hAnsi="Times New Roman" w:cs="Times New Roman"/>
                <w:sz w:val="24"/>
                <w:szCs w:val="24"/>
              </w:rPr>
            </w:pPr>
            <w:r w:rsidRPr="0070716E">
              <w:rPr>
                <w:rFonts w:ascii="Times New Roman" w:eastAsia="Times New Roman" w:hAnsi="Times New Roman" w:cs="Times New Roman"/>
                <w:b/>
                <w:bCs/>
                <w:sz w:val="24"/>
                <w:szCs w:val="24"/>
              </w:rPr>
              <w:t>Service Charges on Cheque Clearing</w:t>
            </w:r>
          </w:p>
        </w:tc>
      </w:tr>
      <w:tr w:rsidR="0070716E" w:rsidRPr="0070716E">
        <w:trPr>
          <w:tblCellSpacing w:w="7" w:type="dxa"/>
          <w:jc w:val="center"/>
        </w:trPr>
        <w:tc>
          <w:tcPr>
            <w:tcW w:w="0" w:type="auto"/>
            <w:shd w:val="clear" w:color="auto" w:fill="FFFFFF"/>
            <w:vAlign w:val="center"/>
            <w:hideMark/>
          </w:tcPr>
          <w:tbl>
            <w:tblPr>
              <w:tblW w:w="11250" w:type="dxa"/>
              <w:jc w:val="center"/>
              <w:tblCellSpacing w:w="15" w:type="dxa"/>
              <w:tblCellMar>
                <w:top w:w="15" w:type="dxa"/>
                <w:left w:w="15" w:type="dxa"/>
                <w:bottom w:w="15" w:type="dxa"/>
                <w:right w:w="15" w:type="dxa"/>
              </w:tblCellMar>
              <w:tblLook w:val="04A0"/>
            </w:tblPr>
            <w:tblGrid>
              <w:gridCol w:w="11250"/>
            </w:tblGrid>
            <w:tr w:rsidR="0070716E" w:rsidRPr="0070716E">
              <w:trPr>
                <w:tblCellSpacing w:w="15" w:type="dxa"/>
                <w:jc w:val="center"/>
              </w:trPr>
              <w:tc>
                <w:tcPr>
                  <w:tcW w:w="0" w:type="auto"/>
                  <w:vAlign w:val="center"/>
                  <w:hideMark/>
                </w:tcPr>
                <w:p w:rsidR="0070716E" w:rsidRPr="0070716E" w:rsidRDefault="0070716E" w:rsidP="0070716E">
                  <w:pPr>
                    <w:spacing w:before="100" w:beforeAutospacing="1" w:after="100" w:afterAutospacing="1" w:line="240" w:lineRule="auto"/>
                    <w:jc w:val="center"/>
                    <w:rPr>
                      <w:rFonts w:ascii="Arial" w:eastAsia="Times New Roman" w:hAnsi="Arial" w:cs="Arial"/>
                      <w:color w:val="000000"/>
                      <w:sz w:val="20"/>
                      <w:szCs w:val="20"/>
                    </w:rPr>
                  </w:pPr>
                  <w:r w:rsidRPr="0070716E">
                    <w:rPr>
                      <w:rFonts w:ascii="Arial" w:eastAsia="Times New Roman" w:hAnsi="Arial" w:cs="Arial"/>
                      <w:b/>
                      <w:bCs/>
                      <w:color w:val="000000"/>
                      <w:sz w:val="20"/>
                    </w:rPr>
                    <w:t>September 30, 2011</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b/>
                      <w:bCs/>
                      <w:color w:val="000000"/>
                      <w:sz w:val="20"/>
                    </w:rPr>
                    <w:t>i) Local Cheques</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color w:val="000000"/>
                      <w:sz w:val="20"/>
                      <w:szCs w:val="20"/>
                    </w:rPr>
                    <w:t>T</w:t>
                  </w:r>
                  <w:r>
                    <w:rPr>
                      <w:rFonts w:ascii="Arial" w:eastAsia="Times New Roman" w:hAnsi="Arial" w:cs="Arial"/>
                      <w:color w:val="000000"/>
                      <w:sz w:val="20"/>
                      <w:szCs w:val="20"/>
                    </w:rPr>
                    <w:t>T</w:t>
                  </w:r>
                  <w:r w:rsidRPr="0070716E">
                    <w:rPr>
                      <w:rFonts w:ascii="Arial" w:eastAsia="Times New Roman" w:hAnsi="Arial" w:cs="Arial"/>
                      <w:color w:val="000000"/>
                      <w:sz w:val="20"/>
                      <w:szCs w:val="20"/>
                    </w:rPr>
                    <w:t>he service / processing / maintenance charges levied from other member banks by the bank managing a Clearing House are as follows –</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b/>
                      <w:bCs/>
                      <w:color w:val="000000"/>
                      <w:sz w:val="20"/>
                    </w:rPr>
                    <w:t>(a)</w:t>
                  </w:r>
                  <w:r w:rsidRPr="0070716E">
                    <w:rPr>
                      <w:rFonts w:ascii="Arial" w:eastAsia="Times New Roman" w:hAnsi="Arial" w:cs="Arial"/>
                      <w:color w:val="000000"/>
                      <w:sz w:val="20"/>
                      <w:szCs w:val="20"/>
                    </w:rPr>
                    <w:t xml:space="preserve"> </w:t>
                  </w:r>
                  <w:r w:rsidRPr="0070716E">
                    <w:rPr>
                      <w:rFonts w:ascii="Arial" w:eastAsia="Times New Roman" w:hAnsi="Arial" w:cs="Arial"/>
                      <w:b/>
                      <w:bCs/>
                      <w:color w:val="000000"/>
                      <w:sz w:val="20"/>
                    </w:rPr>
                    <w:t>MICR Cheque Processing Centres (MICR CPCs):</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color w:val="000000"/>
                      <w:sz w:val="20"/>
                      <w:szCs w:val="20"/>
                    </w:rPr>
                    <w:t xml:space="preserve">The processing charges for the instruments processed at MICR-CPCs shall be recovered on a monthly basis by debit to the accounts of the member banks maintained with the bank managing the Clearing House, or by any other method, at the rate prescribed by the Reserve Bank of India from time to time. The bank managing a MICR Cheque Processing Centre shall not levy any other extra charges, for a service / facility relating to the clearing process other than the rate prescribed by Reserve Bank of India towards processing charges. Currently the charges prescribed are @ </w:t>
                  </w:r>
                  <w:r w:rsidRPr="0070716E">
                    <w:rPr>
                      <w:rFonts w:ascii="rupee Foradian" w:eastAsia="Times New Roman" w:hAnsi="rupee Foradian" w:cs="Arial"/>
                      <w:color w:val="000000"/>
                      <w:sz w:val="21"/>
                    </w:rPr>
                    <w:t>`</w:t>
                  </w:r>
                  <w:r w:rsidRPr="0070716E">
                    <w:rPr>
                      <w:rFonts w:ascii="Arial" w:eastAsia="Times New Roman" w:hAnsi="Arial" w:cs="Arial"/>
                      <w:color w:val="000000"/>
                      <w:sz w:val="20"/>
                      <w:szCs w:val="20"/>
                    </w:rPr>
                    <w:t xml:space="preserve"> 2.50 per cheque (</w:t>
                  </w:r>
                  <w:r w:rsidRPr="0070716E">
                    <w:rPr>
                      <w:rFonts w:ascii="rupee Foradian" w:eastAsia="Times New Roman" w:hAnsi="rupee Foradian" w:cs="Arial"/>
                      <w:color w:val="000000"/>
                      <w:sz w:val="21"/>
                    </w:rPr>
                    <w:t>`</w:t>
                  </w:r>
                  <w:r w:rsidRPr="0070716E">
                    <w:rPr>
                      <w:rFonts w:ascii="Arial" w:eastAsia="Times New Roman" w:hAnsi="Arial" w:cs="Arial"/>
                      <w:color w:val="000000"/>
                      <w:sz w:val="20"/>
                      <w:szCs w:val="20"/>
                    </w:rPr>
                    <w:t xml:space="preserve"> 1/- from the presenting bank and </w:t>
                  </w:r>
                  <w:r w:rsidRPr="0070716E">
                    <w:rPr>
                      <w:rFonts w:ascii="rupee Foradian" w:eastAsia="Times New Roman" w:hAnsi="rupee Foradian" w:cs="Arial"/>
                      <w:color w:val="000000"/>
                      <w:sz w:val="21"/>
                    </w:rPr>
                    <w:t>`</w:t>
                  </w:r>
                  <w:r w:rsidRPr="0070716E">
                    <w:rPr>
                      <w:rFonts w:ascii="Arial" w:eastAsia="Times New Roman" w:hAnsi="Arial" w:cs="Arial"/>
                      <w:color w:val="000000"/>
                      <w:sz w:val="20"/>
                      <w:szCs w:val="20"/>
                    </w:rPr>
                    <w:t>1.50 from the drawee bank).</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b/>
                      <w:bCs/>
                      <w:color w:val="000000"/>
                      <w:sz w:val="20"/>
                    </w:rPr>
                    <w:t>(b)</w:t>
                  </w:r>
                  <w:r w:rsidRPr="0070716E">
                    <w:rPr>
                      <w:rFonts w:ascii="Arial" w:eastAsia="Times New Roman" w:hAnsi="Arial" w:cs="Arial"/>
                      <w:color w:val="000000"/>
                      <w:sz w:val="20"/>
                      <w:szCs w:val="20"/>
                    </w:rPr>
                    <w:t xml:space="preserve"> </w:t>
                  </w:r>
                  <w:r w:rsidRPr="0070716E">
                    <w:rPr>
                      <w:rFonts w:ascii="Arial" w:eastAsia="Times New Roman" w:hAnsi="Arial" w:cs="Arial"/>
                      <w:b/>
                      <w:bCs/>
                      <w:color w:val="000000"/>
                      <w:sz w:val="20"/>
                    </w:rPr>
                    <w:t>Cheques processed through Cheque Truncation System (CTS)</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color w:val="000000"/>
                      <w:sz w:val="20"/>
                      <w:szCs w:val="20"/>
                    </w:rPr>
                    <w:t>Presently Cheque Truncation System has been put in place in the National Capital Region of New Delhi and recently launched in Chennai. The entities managing a CTS Centre shall not levy any other extra charges, for a service / facility relating to the clearing process other than the rate prescribed by Reserve Bank of India towards processing charges. Currently the charges prescribed are @ Rs. 1.50 per cheque (</w:t>
                  </w:r>
                  <w:r w:rsidRPr="0070716E">
                    <w:rPr>
                      <w:rFonts w:ascii="rupee Foradian" w:eastAsia="Times New Roman" w:hAnsi="rupee Foradian" w:cs="Arial"/>
                      <w:color w:val="000000"/>
                      <w:sz w:val="21"/>
                    </w:rPr>
                    <w:t>`</w:t>
                  </w:r>
                  <w:r w:rsidRPr="0070716E">
                    <w:rPr>
                      <w:rFonts w:ascii="Arial" w:eastAsia="Times New Roman" w:hAnsi="Arial" w:cs="Arial"/>
                      <w:color w:val="000000"/>
                      <w:sz w:val="20"/>
                      <w:szCs w:val="20"/>
                    </w:rPr>
                    <w:t xml:space="preserve">0.50 from the presenting bank and </w:t>
                  </w:r>
                  <w:r w:rsidRPr="0070716E">
                    <w:rPr>
                      <w:rFonts w:ascii="rupee Foradian" w:eastAsia="Times New Roman" w:hAnsi="rupee Foradian" w:cs="Arial"/>
                      <w:color w:val="000000"/>
                      <w:sz w:val="21"/>
                    </w:rPr>
                    <w:t>`</w:t>
                  </w:r>
                  <w:r w:rsidRPr="0070716E">
                    <w:rPr>
                      <w:rFonts w:ascii="Arial" w:eastAsia="Times New Roman" w:hAnsi="Arial" w:cs="Arial"/>
                      <w:color w:val="000000"/>
                      <w:sz w:val="20"/>
                      <w:szCs w:val="20"/>
                    </w:rPr>
                    <w:t>1.00 from the drawee bank).</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b/>
                      <w:bCs/>
                      <w:color w:val="000000"/>
                      <w:sz w:val="20"/>
                    </w:rPr>
                    <w:t>(c)</w:t>
                  </w:r>
                  <w:r w:rsidRPr="0070716E">
                    <w:rPr>
                      <w:rFonts w:ascii="Arial" w:eastAsia="Times New Roman" w:hAnsi="Arial" w:cs="Arial"/>
                      <w:color w:val="000000"/>
                      <w:sz w:val="20"/>
                      <w:szCs w:val="20"/>
                    </w:rPr>
                    <w:t xml:space="preserve"> </w:t>
                  </w:r>
                  <w:r w:rsidRPr="0070716E">
                    <w:rPr>
                      <w:rFonts w:ascii="Arial" w:eastAsia="Times New Roman" w:hAnsi="Arial" w:cs="Arial"/>
                      <w:b/>
                      <w:bCs/>
                      <w:color w:val="000000"/>
                      <w:sz w:val="20"/>
                    </w:rPr>
                    <w:t>Other Clearing Houses</w:t>
                  </w:r>
                  <w:r w:rsidRPr="0070716E">
                    <w:rPr>
                      <w:rFonts w:ascii="Arial" w:eastAsia="Times New Roman" w:hAnsi="Arial" w:cs="Arial"/>
                      <w:color w:val="000000"/>
                      <w:sz w:val="20"/>
                      <w:szCs w:val="20"/>
                    </w:rPr>
                    <w:t>:</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color w:val="000000"/>
                      <w:sz w:val="20"/>
                      <w:szCs w:val="20"/>
                    </w:rPr>
                    <w:t>Clearing Houses other than MICR CPCs collect maintenance charges from the member banks towards various expenses incurred for operating the clearing house. These maintenance charges are calculated based on the actual expenditure incurred by the bank managing the clearing house for clearing operations and the same is equally shared by all the member banks on a no-profit basis.</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b/>
                      <w:bCs/>
                      <w:color w:val="000000"/>
                      <w:sz w:val="20"/>
                    </w:rPr>
                    <w:t>(d) Charges for banks managing back-up clearing centres (MICR and non-MICR centres)</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color w:val="000000"/>
                      <w:sz w:val="20"/>
                      <w:szCs w:val="20"/>
                    </w:rPr>
                    <w:t>Banks managing back-up clearing centres (primary or alternate) shall get themselves compensated by the member banks of the Clearing House for the relative investment made by them on computer hardware / software and other operating expenses on equal sharing basis. Additionally, the back-up banks may also recover expenses incurred by them during contingencies / disruptions / contingency drills from the member banks of the Clearing House. The expenses recovered must be reasonable and should be approved by the President of the Clearing House.</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b/>
                      <w:bCs/>
                      <w:color w:val="000000"/>
                      <w:sz w:val="20"/>
                    </w:rPr>
                    <w:t>(ii) Charges to customer on cheque collections</w:t>
                  </w:r>
                </w:p>
                <w:p w:rsidR="0070716E" w:rsidRPr="0070716E" w:rsidRDefault="0070716E" w:rsidP="0070716E">
                  <w:pPr>
                    <w:spacing w:before="100" w:beforeAutospacing="1" w:after="100" w:afterAutospacing="1" w:line="240" w:lineRule="auto"/>
                    <w:jc w:val="both"/>
                    <w:rPr>
                      <w:rFonts w:ascii="Arial" w:eastAsia="Times New Roman" w:hAnsi="Arial" w:cs="Arial"/>
                      <w:color w:val="000000"/>
                      <w:sz w:val="20"/>
                      <w:szCs w:val="20"/>
                    </w:rPr>
                  </w:pPr>
                  <w:r w:rsidRPr="0070716E">
                    <w:rPr>
                      <w:rFonts w:ascii="Arial" w:eastAsia="Times New Roman" w:hAnsi="Arial" w:cs="Arial"/>
                      <w:color w:val="000000"/>
                      <w:sz w:val="20"/>
                      <w:szCs w:val="20"/>
                    </w:rPr>
                    <w:t>Charges for clearing cheques, both local and outstation, are levied by banks based on their  collection policies and will be disclosed in the individual Cheque Collection Policies framed and placed on their website.</w:t>
                  </w:r>
                </w:p>
              </w:tc>
            </w:tr>
            <w:tr w:rsidR="0070716E" w:rsidRPr="0070716E">
              <w:trPr>
                <w:tblCellSpacing w:w="15" w:type="dxa"/>
                <w:jc w:val="center"/>
              </w:trPr>
              <w:tc>
                <w:tcPr>
                  <w:tcW w:w="0" w:type="auto"/>
                  <w:vAlign w:val="center"/>
                </w:tcPr>
                <w:p w:rsidR="0070716E" w:rsidRPr="0070716E" w:rsidRDefault="0070716E" w:rsidP="0070716E">
                  <w:pPr>
                    <w:spacing w:before="100" w:beforeAutospacing="1" w:after="100" w:afterAutospacing="1" w:line="240" w:lineRule="auto"/>
                    <w:jc w:val="center"/>
                    <w:rPr>
                      <w:rFonts w:ascii="Arial" w:eastAsia="Times New Roman" w:hAnsi="Arial" w:cs="Arial"/>
                      <w:b/>
                      <w:bCs/>
                      <w:color w:val="000000"/>
                      <w:sz w:val="20"/>
                    </w:rPr>
                  </w:pPr>
                </w:p>
              </w:tc>
            </w:tr>
          </w:tbl>
          <w:p w:rsidR="0070716E" w:rsidRPr="0070716E" w:rsidRDefault="0070716E" w:rsidP="0070716E">
            <w:pPr>
              <w:spacing w:after="0" w:line="240" w:lineRule="auto"/>
              <w:rPr>
                <w:rFonts w:ascii="Arial" w:eastAsia="Times New Roman" w:hAnsi="Arial" w:cs="Arial"/>
                <w:sz w:val="20"/>
                <w:szCs w:val="20"/>
              </w:rPr>
            </w:pPr>
          </w:p>
        </w:tc>
      </w:tr>
    </w:tbl>
    <w:p w:rsidR="00820DEC" w:rsidRDefault="00820DEC"/>
    <w:sectPr w:rsidR="00820DEC" w:rsidSect="0070716E">
      <w:head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DEC" w:rsidRDefault="00820DEC" w:rsidP="0070716E">
      <w:pPr>
        <w:spacing w:after="0" w:line="240" w:lineRule="auto"/>
      </w:pPr>
      <w:r>
        <w:separator/>
      </w:r>
    </w:p>
  </w:endnote>
  <w:endnote w:type="continuationSeparator" w:id="1">
    <w:p w:rsidR="00820DEC" w:rsidRDefault="00820DEC" w:rsidP="007071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rupee Foradi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DEC" w:rsidRDefault="00820DEC" w:rsidP="0070716E">
      <w:pPr>
        <w:spacing w:after="0" w:line="240" w:lineRule="auto"/>
      </w:pPr>
      <w:r>
        <w:separator/>
      </w:r>
    </w:p>
  </w:footnote>
  <w:footnote w:type="continuationSeparator" w:id="1">
    <w:p w:rsidR="00820DEC" w:rsidRDefault="00820DEC" w:rsidP="007071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1C5E205417BB41FB887A9724403FFA18"/>
      </w:placeholder>
      <w:dataBinding w:prefixMappings="xmlns:ns0='http://schemas.openxmlformats.org/package/2006/metadata/core-properties' xmlns:ns1='http://purl.org/dc/elements/1.1/'" w:xpath="/ns0:coreProperties[1]/ns1:title[1]" w:storeItemID="{6C3C8BC8-F283-45AE-878A-BAB7291924A1}"/>
      <w:text/>
    </w:sdtPr>
    <w:sdtContent>
      <w:p w:rsidR="0070716E" w:rsidRDefault="0070716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SERVICE  CHARGES ON CHEQUE  CLEARING </w:t>
        </w:r>
      </w:p>
    </w:sdtContent>
  </w:sdt>
  <w:p w:rsidR="0070716E" w:rsidRDefault="0070716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0716E"/>
    <w:rsid w:val="0056072A"/>
    <w:rsid w:val="0070716E"/>
    <w:rsid w:val="00820D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71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716E"/>
    <w:rPr>
      <w:b/>
      <w:bCs/>
    </w:rPr>
  </w:style>
  <w:style w:type="character" w:customStyle="1" w:styleId="rupee1">
    <w:name w:val="rupee1"/>
    <w:basedOn w:val="DefaultParagraphFont"/>
    <w:rsid w:val="0070716E"/>
    <w:rPr>
      <w:rFonts w:ascii="rupee Foradian" w:hAnsi="rupee Foradian" w:hint="default"/>
      <w:sz w:val="21"/>
      <w:szCs w:val="21"/>
    </w:rPr>
  </w:style>
  <w:style w:type="paragraph" w:styleId="Header">
    <w:name w:val="header"/>
    <w:basedOn w:val="Normal"/>
    <w:link w:val="HeaderChar"/>
    <w:uiPriority w:val="99"/>
    <w:unhideWhenUsed/>
    <w:rsid w:val="00707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16E"/>
  </w:style>
  <w:style w:type="paragraph" w:styleId="Footer">
    <w:name w:val="footer"/>
    <w:basedOn w:val="Normal"/>
    <w:link w:val="FooterChar"/>
    <w:uiPriority w:val="99"/>
    <w:semiHidden/>
    <w:unhideWhenUsed/>
    <w:rsid w:val="007071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716E"/>
  </w:style>
  <w:style w:type="paragraph" w:styleId="BalloonText">
    <w:name w:val="Balloon Text"/>
    <w:basedOn w:val="Normal"/>
    <w:link w:val="BalloonTextChar"/>
    <w:uiPriority w:val="99"/>
    <w:semiHidden/>
    <w:unhideWhenUsed/>
    <w:rsid w:val="00707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1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5E205417BB41FB887A9724403FFA18"/>
        <w:category>
          <w:name w:val="General"/>
          <w:gallery w:val="placeholder"/>
        </w:category>
        <w:types>
          <w:type w:val="bbPlcHdr"/>
        </w:types>
        <w:behaviors>
          <w:behavior w:val="content"/>
        </w:behaviors>
        <w:guid w:val="{CF86C85F-0366-4BEC-B909-8CF0FB4CFEE5}"/>
      </w:docPartPr>
      <w:docPartBody>
        <w:p w:rsidR="00000000" w:rsidRDefault="008F203B" w:rsidP="008F203B">
          <w:pPr>
            <w:pStyle w:val="1C5E205417BB41FB887A9724403FFA1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rupee Foradi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F203B"/>
    <w:rsid w:val="008F203B"/>
    <w:rsid w:val="00E55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5E205417BB41FB887A9724403FFA18">
    <w:name w:val="1C5E205417BB41FB887A9724403FFA18"/>
    <w:rsid w:val="008F203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CHARGES ON CHEQUE  CLEARING</dc:title>
  <dc:creator>STUDENT</dc:creator>
  <cp:lastModifiedBy>STUDENT</cp:lastModifiedBy>
  <cp:revision>2</cp:revision>
  <dcterms:created xsi:type="dcterms:W3CDTF">2012-08-30T01:58:00Z</dcterms:created>
  <dcterms:modified xsi:type="dcterms:W3CDTF">2012-08-30T01:58:00Z</dcterms:modified>
</cp:coreProperties>
</file>