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000" w:type="pct"/>
        <w:tblBorders>
          <w:top w:val="outset" w:sz="6" w:space="0" w:color="00CCFF"/>
          <w:left w:val="outset" w:sz="6" w:space="0" w:color="00CCFF"/>
          <w:bottom w:val="outset" w:sz="6" w:space="0" w:color="00CCFF"/>
          <w:right w:val="outset" w:sz="6" w:space="0" w:color="00CCFF"/>
        </w:tblBorders>
        <w:tblCellMar>
          <w:top w:w="45" w:type="dxa"/>
          <w:left w:w="45" w:type="dxa"/>
          <w:bottom w:w="45" w:type="dxa"/>
          <w:right w:w="45" w:type="dxa"/>
        </w:tblCellMar>
        <w:tblLook w:val="04A0"/>
      </w:tblPr>
      <w:tblGrid>
        <w:gridCol w:w="3646"/>
      </w:tblGrid>
      <w:tr w:rsidR="00923830" w:rsidRPr="00923830" w:rsidTr="00923830">
        <w:tc>
          <w:tcPr>
            <w:tcW w:w="5000" w:type="pct"/>
            <w:tcBorders>
              <w:top w:val="outset" w:sz="6" w:space="0" w:color="00CCFF"/>
              <w:left w:val="outset" w:sz="6" w:space="0" w:color="00CCFF"/>
              <w:bottom w:val="outset" w:sz="6" w:space="0" w:color="00CCFF"/>
              <w:right w:val="outset" w:sz="6" w:space="0" w:color="00CCFF"/>
            </w:tcBorders>
            <w:shd w:val="clear" w:color="auto" w:fill="006699"/>
            <w:vAlign w:val="center"/>
            <w:hideMark/>
          </w:tcPr>
          <w:p w:rsidR="00923830" w:rsidRPr="00923830" w:rsidRDefault="00923830" w:rsidP="00923830">
            <w:pPr>
              <w:spacing w:after="0" w:line="240" w:lineRule="auto"/>
              <w:rPr>
                <w:rFonts w:ascii="Times New Roman" w:eastAsia="Times New Roman" w:hAnsi="Times New Roman" w:cs="Times New Roman"/>
                <w:sz w:val="24"/>
                <w:szCs w:val="24"/>
                <w:lang w:eastAsia="en-IN"/>
              </w:rPr>
            </w:pPr>
            <w:r w:rsidRPr="00923830">
              <w:rPr>
                <w:rFonts w:ascii="Verdana" w:eastAsia="Times New Roman" w:hAnsi="Verdana" w:cs="Times New Roman"/>
                <w:b/>
                <w:bCs/>
                <w:color w:val="FFFFFF"/>
                <w:sz w:val="20"/>
                <w:szCs w:val="20"/>
                <w:lang w:eastAsia="en-IN"/>
              </w:rPr>
              <w:t>Procedure for Registration</w:t>
            </w:r>
          </w:p>
        </w:tc>
      </w:tr>
    </w:tbl>
    <w:p w:rsidR="00923830" w:rsidRPr="00923830" w:rsidRDefault="00923830" w:rsidP="00923830">
      <w:pPr>
        <w:spacing w:after="0" w:line="240" w:lineRule="auto"/>
        <w:jc w:val="center"/>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b/>
          <w:bCs/>
          <w:color w:val="000000"/>
          <w:sz w:val="20"/>
          <w:szCs w:val="20"/>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3.1     Fill the Form ST-1 in duplicate. (Form ST-1 is available on the departmental website (</w:t>
      </w:r>
      <w:r w:rsidRPr="00923830">
        <w:rPr>
          <w:rFonts w:ascii="Verdana" w:eastAsia="Times New Roman" w:hAnsi="Verdana" w:cs="Times New Roman"/>
          <w:color w:val="000000"/>
          <w:sz w:val="20"/>
          <w:lang w:eastAsia="en-IN"/>
        </w:rPr>
        <w:t> </w:t>
      </w:r>
      <w:hyperlink r:id="rId4" w:history="1">
        <w:r w:rsidRPr="00923830">
          <w:rPr>
            <w:rFonts w:ascii="Verdana" w:eastAsia="Times New Roman" w:hAnsi="Verdana" w:cs="Times New Roman"/>
            <w:color w:val="0000FF"/>
            <w:sz w:val="20"/>
            <w:u w:val="single"/>
            <w:lang w:eastAsia="en-IN"/>
          </w:rPr>
          <w:t>www.cbec.gov.in</w:t>
        </w:r>
      </w:hyperlink>
      <w:r w:rsidRPr="00923830">
        <w:rPr>
          <w:rFonts w:ascii="Verdana" w:eastAsia="Times New Roman" w:hAnsi="Verdana" w:cs="Times New Roman"/>
          <w:color w:val="000000"/>
          <w:sz w:val="20"/>
          <w:lang w:eastAsia="en-IN"/>
        </w:rPr>
        <w:t> </w:t>
      </w:r>
      <w:r w:rsidRPr="00923830">
        <w:rPr>
          <w:rFonts w:ascii="Verdana" w:eastAsia="Times New Roman" w:hAnsi="Verdana" w:cs="Times New Roman"/>
          <w:color w:val="000000"/>
          <w:sz w:val="20"/>
          <w:szCs w:val="20"/>
          <w:lang w:eastAsia="en-IN"/>
        </w:rPr>
        <w:t>) Enclose photocopy of PAN card and proof of address to be registered.</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3.2     Copy of PAN card is necessary as a PAN based code (</w:t>
      </w:r>
      <w:r w:rsidRPr="00923830">
        <w:rPr>
          <w:rFonts w:ascii="Verdana" w:eastAsia="Times New Roman" w:hAnsi="Verdana" w:cs="Times New Roman"/>
          <w:b/>
          <w:bCs/>
          <w:color w:val="000000"/>
          <w:sz w:val="20"/>
          <w:szCs w:val="20"/>
          <w:lang w:eastAsia="en-IN"/>
        </w:rPr>
        <w:t>S</w:t>
      </w:r>
      <w:r w:rsidRPr="00923830">
        <w:rPr>
          <w:rFonts w:ascii="Verdana" w:eastAsia="Times New Roman" w:hAnsi="Verdana" w:cs="Times New Roman"/>
          <w:color w:val="000000"/>
          <w:sz w:val="20"/>
          <w:szCs w:val="20"/>
          <w:lang w:eastAsia="en-IN"/>
        </w:rPr>
        <w:t>ervice</w:t>
      </w:r>
      <w:r w:rsidRPr="00923830">
        <w:rPr>
          <w:rFonts w:ascii="Verdana" w:eastAsia="Times New Roman" w:hAnsi="Verdana" w:cs="Times New Roman"/>
          <w:color w:val="000000"/>
          <w:sz w:val="20"/>
          <w:lang w:eastAsia="en-IN"/>
        </w:rPr>
        <w:t> </w:t>
      </w:r>
      <w:r w:rsidRPr="00923830">
        <w:rPr>
          <w:rFonts w:ascii="Verdana" w:eastAsia="Times New Roman" w:hAnsi="Verdana" w:cs="Times New Roman"/>
          <w:b/>
          <w:bCs/>
          <w:color w:val="000000"/>
          <w:sz w:val="20"/>
          <w:szCs w:val="20"/>
          <w:lang w:eastAsia="en-IN"/>
        </w:rPr>
        <w:t>T</w:t>
      </w:r>
      <w:r w:rsidRPr="00923830">
        <w:rPr>
          <w:rFonts w:ascii="Verdana" w:eastAsia="Times New Roman" w:hAnsi="Verdana" w:cs="Times New Roman"/>
          <w:color w:val="000000"/>
          <w:sz w:val="20"/>
          <w:szCs w:val="20"/>
          <w:lang w:eastAsia="en-IN"/>
        </w:rPr>
        <w:t>ax</w:t>
      </w:r>
      <w:r w:rsidRPr="00923830">
        <w:rPr>
          <w:rFonts w:ascii="Verdana" w:eastAsia="Times New Roman" w:hAnsi="Verdana" w:cs="Times New Roman"/>
          <w:color w:val="000000"/>
          <w:sz w:val="20"/>
          <w:lang w:eastAsia="en-IN"/>
        </w:rPr>
        <w:t> </w:t>
      </w:r>
      <w:r w:rsidRPr="00923830">
        <w:rPr>
          <w:rFonts w:ascii="Verdana" w:eastAsia="Times New Roman" w:hAnsi="Verdana" w:cs="Times New Roman"/>
          <w:b/>
          <w:bCs/>
          <w:color w:val="000000"/>
          <w:sz w:val="20"/>
          <w:szCs w:val="20"/>
          <w:lang w:eastAsia="en-IN"/>
        </w:rPr>
        <w:t>C</w:t>
      </w:r>
      <w:r w:rsidRPr="00923830">
        <w:rPr>
          <w:rFonts w:ascii="Verdana" w:eastAsia="Times New Roman" w:hAnsi="Verdana" w:cs="Times New Roman"/>
          <w:color w:val="000000"/>
          <w:sz w:val="20"/>
          <w:szCs w:val="20"/>
          <w:lang w:eastAsia="en-IN"/>
        </w:rPr>
        <w:t>ode) is allotted to every assessee.</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3.3     These forms are required to be submitted to the jurisdictional Central Excise office ( in case of six Service Tax Commissionerates, to the jurisdictional Division office. There are separate service tax commissionerates in Mumbai, Chennai, Delhi, Kolkata, Bangalore and Ahmedabad  as mentioned in the previous chapter).</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3.4    A person liable to pay service tax should file an application for registration within</w:t>
      </w:r>
      <w:r w:rsidRPr="00923830">
        <w:rPr>
          <w:rFonts w:ascii="Verdana" w:eastAsia="Times New Roman" w:hAnsi="Verdana" w:cs="Times New Roman"/>
          <w:color w:val="000000"/>
          <w:sz w:val="20"/>
          <w:lang w:eastAsia="en-IN"/>
        </w:rPr>
        <w:t> </w:t>
      </w:r>
      <w:r w:rsidRPr="00923830">
        <w:rPr>
          <w:rFonts w:ascii="Verdana" w:eastAsia="Times New Roman" w:hAnsi="Verdana" w:cs="Times New Roman"/>
          <w:b/>
          <w:bCs/>
          <w:color w:val="000000"/>
          <w:sz w:val="20"/>
          <w:szCs w:val="20"/>
          <w:lang w:eastAsia="en-IN"/>
        </w:rPr>
        <w:t>thirty days</w:t>
      </w:r>
      <w:r w:rsidRPr="00923830">
        <w:rPr>
          <w:rFonts w:ascii="Verdana" w:eastAsia="Times New Roman" w:hAnsi="Verdana" w:cs="Times New Roman"/>
          <w:color w:val="000000"/>
          <w:sz w:val="20"/>
          <w:lang w:eastAsia="en-IN"/>
        </w:rPr>
        <w:t> </w:t>
      </w:r>
      <w:r w:rsidRPr="00923830">
        <w:rPr>
          <w:rFonts w:ascii="Verdana" w:eastAsia="Times New Roman" w:hAnsi="Verdana" w:cs="Times New Roman"/>
          <w:color w:val="000000"/>
          <w:sz w:val="20"/>
          <w:szCs w:val="20"/>
          <w:lang w:eastAsia="en-IN"/>
        </w:rPr>
        <w:t>from the date on which the service tax on particular taxable service comes into effect or within thirty days from the commencement of his activity.</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(Refer Rule 4 (1) of Service Tax Rules, 1994)</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3.5     Where a person, liable for paying service tax on a taxable service,</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(i)</w:t>
      </w:r>
      <w:r w:rsidRPr="00923830">
        <w:rPr>
          <w:rFonts w:ascii="Times New Roman" w:eastAsia="Times New Roman" w:hAnsi="Times New Roman" w:cs="Times New Roman"/>
          <w:color w:val="000000"/>
          <w:sz w:val="14"/>
          <w:szCs w:val="14"/>
          <w:lang w:eastAsia="en-IN"/>
        </w:rPr>
        <w:t>                </w:t>
      </w:r>
      <w:r w:rsidRPr="00923830">
        <w:rPr>
          <w:rFonts w:ascii="Times New Roman" w:eastAsia="Times New Roman" w:hAnsi="Times New Roman" w:cs="Times New Roman"/>
          <w:color w:val="000000"/>
          <w:sz w:val="14"/>
          <w:lang w:eastAsia="en-IN"/>
        </w:rPr>
        <w:t> </w:t>
      </w:r>
      <w:r w:rsidRPr="00923830">
        <w:rPr>
          <w:rFonts w:ascii="Verdana" w:eastAsia="Times New Roman" w:hAnsi="Verdana" w:cs="Times New Roman"/>
          <w:color w:val="000000"/>
          <w:sz w:val="20"/>
          <w:szCs w:val="20"/>
          <w:lang w:eastAsia="en-IN"/>
        </w:rPr>
        <w:t>provides such service from more than one premises or offices; or</w:t>
      </w:r>
      <w:r w:rsidRPr="00923830">
        <w:rPr>
          <w:rFonts w:ascii="Verdana" w:eastAsia="Times New Roman" w:hAnsi="Verdana" w:cs="Times New Roman"/>
          <w:color w:val="000000"/>
          <w:sz w:val="20"/>
          <w:szCs w:val="20"/>
          <w:lang w:eastAsia="en-IN"/>
        </w:rPr>
        <w:b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(ii)</w:t>
      </w:r>
      <w:r w:rsidRPr="00923830">
        <w:rPr>
          <w:rFonts w:ascii="Times New Roman" w:eastAsia="Times New Roman" w:hAnsi="Times New Roman" w:cs="Times New Roman"/>
          <w:color w:val="000000"/>
          <w:sz w:val="14"/>
          <w:szCs w:val="14"/>
          <w:lang w:eastAsia="en-IN"/>
        </w:rPr>
        <w:t>              </w:t>
      </w:r>
      <w:r w:rsidRPr="00923830">
        <w:rPr>
          <w:rFonts w:ascii="Times New Roman" w:eastAsia="Times New Roman" w:hAnsi="Times New Roman" w:cs="Times New Roman"/>
          <w:color w:val="000000"/>
          <w:sz w:val="14"/>
          <w:lang w:eastAsia="en-IN"/>
        </w:rPr>
        <w:t> </w:t>
      </w:r>
      <w:r w:rsidRPr="00923830">
        <w:rPr>
          <w:rFonts w:ascii="Verdana" w:eastAsia="Times New Roman" w:hAnsi="Verdana" w:cs="Times New Roman"/>
          <w:color w:val="000000"/>
          <w:sz w:val="20"/>
          <w:szCs w:val="20"/>
          <w:lang w:eastAsia="en-IN"/>
        </w:rPr>
        <w:t>receives such service in more than one premises or offices; or,</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iii)</w:t>
      </w:r>
      <w:r w:rsidRPr="00923830">
        <w:rPr>
          <w:rFonts w:ascii="Times New Roman" w:eastAsia="Times New Roman" w:hAnsi="Times New Roman" w:cs="Times New Roman"/>
          <w:color w:val="000000"/>
          <w:sz w:val="14"/>
          <w:szCs w:val="14"/>
          <w:lang w:eastAsia="en-IN"/>
        </w:rPr>
        <w:t>             </w:t>
      </w:r>
      <w:r w:rsidRPr="00923830">
        <w:rPr>
          <w:rFonts w:ascii="Times New Roman" w:eastAsia="Times New Roman" w:hAnsi="Times New Roman" w:cs="Times New Roman"/>
          <w:color w:val="000000"/>
          <w:sz w:val="14"/>
          <w:lang w:eastAsia="en-IN"/>
        </w:rPr>
        <w:t> </w:t>
      </w:r>
      <w:r w:rsidRPr="00923830">
        <w:rPr>
          <w:rFonts w:ascii="Verdana" w:eastAsia="Times New Roman" w:hAnsi="Verdana" w:cs="Times New Roman"/>
          <w:color w:val="000000"/>
          <w:sz w:val="20"/>
          <w:szCs w:val="20"/>
          <w:lang w:eastAsia="en-IN"/>
        </w:rPr>
        <w:t>is having more than one premises or offices, which are engaged in relation to such service in any other manner, making such person liable for paying service tax,</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and has centralised billing system or centralised accounting system in respect of such service, and such centralised billing or centralised accounting systems are located in one or more premises, he may, at his option, register such premises or offices from where centralised billing or centralised accounting systems are located.</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3.5.1       The registration under sub-rule (2), shall be granted by the Commissioner of Central Excise in whose jurisdiction the premises or offices, from where centralised billing or accounting is done, are located:</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i/>
          <w:iCs/>
          <w:color w:val="000000"/>
          <w:sz w:val="20"/>
          <w:szCs w:val="20"/>
          <w:lang w:eastAsia="en-IN"/>
        </w:rPr>
        <w:t>Provided</w:t>
      </w:r>
      <w:r w:rsidRPr="00923830">
        <w:rPr>
          <w:rFonts w:ascii="Verdana" w:eastAsia="Times New Roman" w:hAnsi="Verdana" w:cs="Times New Roman"/>
          <w:i/>
          <w:iCs/>
          <w:color w:val="000000"/>
          <w:sz w:val="20"/>
          <w:lang w:eastAsia="en-IN"/>
        </w:rPr>
        <w:t> </w:t>
      </w:r>
      <w:r w:rsidRPr="00923830">
        <w:rPr>
          <w:rFonts w:ascii="Verdana" w:eastAsia="Times New Roman" w:hAnsi="Verdana" w:cs="Times New Roman"/>
          <w:color w:val="000000"/>
          <w:sz w:val="20"/>
          <w:szCs w:val="20"/>
          <w:lang w:eastAsia="en-IN"/>
        </w:rPr>
        <w:t>that nothing contained in this sub-rule shall have any effect on the registration granted to the premises or offices having such centralised billing or centralised accounting systems, prior to the 2</w:t>
      </w:r>
      <w:r w:rsidRPr="00923830">
        <w:rPr>
          <w:rFonts w:ascii="Verdana" w:eastAsia="Times New Roman" w:hAnsi="Verdana" w:cs="Times New Roman"/>
          <w:color w:val="000000"/>
          <w:sz w:val="20"/>
          <w:szCs w:val="20"/>
          <w:vertAlign w:val="superscript"/>
          <w:lang w:eastAsia="en-IN"/>
        </w:rPr>
        <w:t>nd</w:t>
      </w:r>
      <w:r w:rsidRPr="00923830">
        <w:rPr>
          <w:rFonts w:ascii="Verdana" w:eastAsia="Times New Roman" w:hAnsi="Verdana" w:cs="Times New Roman"/>
          <w:color w:val="000000"/>
          <w:sz w:val="20"/>
          <w:lang w:eastAsia="en-IN"/>
        </w:rPr>
        <w:t> </w:t>
      </w:r>
      <w:r w:rsidRPr="00923830">
        <w:rPr>
          <w:rFonts w:ascii="Verdana" w:eastAsia="Times New Roman" w:hAnsi="Verdana" w:cs="Times New Roman"/>
          <w:color w:val="000000"/>
          <w:sz w:val="20"/>
          <w:szCs w:val="20"/>
          <w:lang w:eastAsia="en-IN"/>
        </w:rPr>
        <w:t>day of November, 2006.</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3.6     A</w:t>
      </w:r>
      <w:r w:rsidRPr="00923830">
        <w:rPr>
          <w:rFonts w:ascii="Verdana" w:eastAsia="Times New Roman" w:hAnsi="Verdana" w:cs="Times New Roman"/>
          <w:color w:val="000000"/>
          <w:sz w:val="20"/>
          <w:lang w:eastAsia="en-IN"/>
        </w:rPr>
        <w:t> </w:t>
      </w:r>
      <w:r w:rsidRPr="00923830">
        <w:rPr>
          <w:rFonts w:ascii="Verdana" w:eastAsia="Times New Roman" w:hAnsi="Verdana" w:cs="Times New Roman"/>
          <w:b/>
          <w:bCs/>
          <w:color w:val="000000"/>
          <w:sz w:val="20"/>
          <w:szCs w:val="20"/>
          <w:lang w:eastAsia="en-IN"/>
        </w:rPr>
        <w:t>single registration</w:t>
      </w:r>
      <w:r w:rsidRPr="00923830">
        <w:rPr>
          <w:rFonts w:ascii="Verdana" w:eastAsia="Times New Roman" w:hAnsi="Verdana" w:cs="Times New Roman"/>
          <w:color w:val="000000"/>
          <w:sz w:val="20"/>
          <w:lang w:eastAsia="en-IN"/>
        </w:rPr>
        <w:t> </w:t>
      </w:r>
      <w:r w:rsidRPr="00923830">
        <w:rPr>
          <w:rFonts w:ascii="Verdana" w:eastAsia="Times New Roman" w:hAnsi="Verdana" w:cs="Times New Roman"/>
          <w:color w:val="000000"/>
          <w:sz w:val="20"/>
          <w:szCs w:val="20"/>
          <w:lang w:eastAsia="en-IN"/>
        </w:rPr>
        <w:t>is sufficient even  when an assessee is providing more than one taxable services. However, he has to mention all the services being provided by him in the application for registration and the field office shall make suitable entries/endorsements in the registration certificate.</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(Refer Rule 4 (4) of Service Tax Rules, 1994)</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3.7     An assessee should  get the registration certificate (registration number) within</w:t>
      </w:r>
      <w:r w:rsidRPr="00923830">
        <w:rPr>
          <w:rFonts w:ascii="Verdana" w:eastAsia="Times New Roman" w:hAnsi="Verdana" w:cs="Times New Roman"/>
          <w:color w:val="000000"/>
          <w:sz w:val="20"/>
          <w:lang w:eastAsia="en-IN"/>
        </w:rPr>
        <w:t> </w:t>
      </w:r>
      <w:r w:rsidRPr="00923830">
        <w:rPr>
          <w:rFonts w:ascii="Verdana" w:eastAsia="Times New Roman" w:hAnsi="Verdana" w:cs="Times New Roman"/>
          <w:b/>
          <w:bCs/>
          <w:color w:val="000000"/>
          <w:sz w:val="20"/>
          <w:szCs w:val="20"/>
          <w:lang w:eastAsia="en-IN"/>
        </w:rPr>
        <w:t>7 days</w:t>
      </w:r>
      <w:r w:rsidRPr="00923830">
        <w:rPr>
          <w:rFonts w:ascii="Verdana" w:eastAsia="Times New Roman" w:hAnsi="Verdana" w:cs="Times New Roman"/>
          <w:b/>
          <w:bCs/>
          <w:color w:val="000000"/>
          <w:sz w:val="20"/>
          <w:lang w:eastAsia="en-IN"/>
        </w:rPr>
        <w:t> </w:t>
      </w:r>
      <w:r w:rsidRPr="00923830">
        <w:rPr>
          <w:rFonts w:ascii="Verdana" w:eastAsia="Times New Roman" w:hAnsi="Verdana" w:cs="Times New Roman"/>
          <w:color w:val="000000"/>
          <w:sz w:val="20"/>
          <w:szCs w:val="20"/>
          <w:lang w:eastAsia="en-IN"/>
        </w:rPr>
        <w:t>from the date of submission of form S.T.1, under normal circumstances.</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(Refer Rule 4 (5) of Service Tax Rules, 1994)</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3.8     A fresh registration is required to be obtained in case of transfer of business to another person.</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(Refer Rule 4 (6) of Service Tax Rules, 1994)</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lastRenderedPageBreak/>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3.9     Any registered assessee when ceases to provide the taxable service shall surrender the  registration certificate immediately.</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(Refer Rule 4 (7) of Service Tax Rules, 1994 )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3.10    In case a registered assessee starts providing any new service from the same premises, he need not apply for a fresh registration. He can simply fill in the Form S.T.1 for necessary amendments he desires to make in his existing information. The new form may be submitted to the jurisdictional Superintendent for necessary endorsement of the new service category in his Registration certificate.</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tbl>
      <w:tblPr>
        <w:tblW w:w="2000" w:type="pct"/>
        <w:tblBorders>
          <w:top w:val="outset" w:sz="6" w:space="0" w:color="00CCFF"/>
          <w:left w:val="outset" w:sz="6" w:space="0" w:color="00CCFF"/>
          <w:bottom w:val="outset" w:sz="6" w:space="0" w:color="00CCFF"/>
          <w:right w:val="outset" w:sz="6" w:space="0" w:color="00CCFF"/>
        </w:tblBorders>
        <w:tblCellMar>
          <w:top w:w="45" w:type="dxa"/>
          <w:left w:w="45" w:type="dxa"/>
          <w:bottom w:w="45" w:type="dxa"/>
          <w:right w:w="45" w:type="dxa"/>
        </w:tblCellMar>
        <w:tblLook w:val="04A0"/>
      </w:tblPr>
      <w:tblGrid>
        <w:gridCol w:w="3646"/>
      </w:tblGrid>
      <w:tr w:rsidR="00923830" w:rsidRPr="00923830" w:rsidTr="00923830">
        <w:tc>
          <w:tcPr>
            <w:tcW w:w="5000" w:type="pct"/>
            <w:tcBorders>
              <w:top w:val="outset" w:sz="6" w:space="0" w:color="00CCFF"/>
              <w:left w:val="outset" w:sz="6" w:space="0" w:color="00CCFF"/>
              <w:bottom w:val="outset" w:sz="6" w:space="0" w:color="00CCFF"/>
              <w:right w:val="outset" w:sz="6" w:space="0" w:color="00CCFF"/>
            </w:tcBorders>
            <w:shd w:val="clear" w:color="auto" w:fill="006699"/>
            <w:vAlign w:val="center"/>
            <w:hideMark/>
          </w:tcPr>
          <w:p w:rsidR="00923830" w:rsidRPr="00923830" w:rsidRDefault="00923830" w:rsidP="00923830">
            <w:pPr>
              <w:spacing w:after="0" w:line="240" w:lineRule="auto"/>
              <w:rPr>
                <w:rFonts w:ascii="Times New Roman" w:eastAsia="Times New Roman" w:hAnsi="Times New Roman" w:cs="Times New Roman"/>
                <w:sz w:val="24"/>
                <w:szCs w:val="24"/>
                <w:lang w:eastAsia="en-IN"/>
              </w:rPr>
            </w:pPr>
            <w:r w:rsidRPr="00923830">
              <w:rPr>
                <w:rFonts w:ascii="Verdana" w:eastAsia="Times New Roman" w:hAnsi="Verdana" w:cs="Times New Roman"/>
                <w:b/>
                <w:bCs/>
                <w:color w:val="FFFFFF"/>
                <w:sz w:val="20"/>
                <w:szCs w:val="20"/>
                <w:lang w:eastAsia="en-IN"/>
              </w:rPr>
              <w:t>4.</w:t>
            </w:r>
            <w:r w:rsidRPr="00923830">
              <w:rPr>
                <w:rFonts w:ascii="Verdana" w:eastAsia="Times New Roman" w:hAnsi="Verdana" w:cs="Times New Roman"/>
                <w:b/>
                <w:bCs/>
                <w:color w:val="FFFFFF"/>
                <w:sz w:val="20"/>
                <w:lang w:eastAsia="en-IN"/>
              </w:rPr>
              <w:t> </w:t>
            </w:r>
            <w:r w:rsidRPr="00923830">
              <w:rPr>
                <w:rFonts w:ascii="Verdana" w:eastAsia="Times New Roman" w:hAnsi="Verdana" w:cs="Times New Roman"/>
                <w:b/>
                <w:bCs/>
                <w:color w:val="FFFFFF"/>
                <w:sz w:val="20"/>
                <w:szCs w:val="20"/>
                <w:lang w:eastAsia="en-IN"/>
              </w:rPr>
              <w:t>General Procedures</w:t>
            </w:r>
          </w:p>
        </w:tc>
      </w:tr>
    </w:tbl>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4.1.</w:t>
      </w:r>
      <w:r w:rsidRPr="00923830">
        <w:rPr>
          <w:rFonts w:ascii="Verdana" w:eastAsia="Times New Roman" w:hAnsi="Verdana" w:cs="Times New Roman"/>
          <w:b/>
          <w:bCs/>
          <w:color w:val="000000"/>
          <w:sz w:val="20"/>
          <w:szCs w:val="20"/>
          <w:lang w:eastAsia="en-IN"/>
        </w:rPr>
        <w:t> </w:t>
      </w:r>
      <w:r w:rsidRPr="00923830">
        <w:rPr>
          <w:rFonts w:ascii="Verdana" w:eastAsia="Times New Roman" w:hAnsi="Verdana" w:cs="Times New Roman"/>
          <w:b/>
          <w:bCs/>
          <w:color w:val="000000"/>
          <w:sz w:val="20"/>
          <w:lang w:eastAsia="en-IN"/>
        </w:rPr>
        <w:t> </w:t>
      </w:r>
      <w:r w:rsidRPr="00923830">
        <w:rPr>
          <w:rFonts w:ascii="Verdana" w:eastAsia="Times New Roman" w:hAnsi="Verdana" w:cs="Times New Roman"/>
          <w:color w:val="000000"/>
          <w:sz w:val="20"/>
          <w:szCs w:val="20"/>
          <w:lang w:eastAsia="en-IN"/>
        </w:rPr>
        <w:t>Every person providing taxable service is required to issue (within 14 days of completion of service) an invoice, a bill or challan signed by him or a person authorized by him. Such invoice, bill or challan should be serially numbered and should contain following information :</w:t>
      </w:r>
    </w:p>
    <w:p w:rsidR="00923830" w:rsidRPr="00923830" w:rsidRDefault="00923830" w:rsidP="00923830">
      <w:pPr>
        <w:spacing w:after="0" w:line="240" w:lineRule="auto"/>
        <w:jc w:val="both"/>
        <w:rPr>
          <w:rFonts w:ascii="Times New Roman" w:eastAsia="Times New Roman" w:hAnsi="Times New Roman" w:cs="Times New Roman"/>
          <w:color w:val="000000"/>
          <w:sz w:val="24"/>
          <w:szCs w:val="24"/>
          <w:lang w:eastAsia="en-IN"/>
        </w:rPr>
      </w:pPr>
      <w:r w:rsidRPr="00923830">
        <w:rPr>
          <w:rFonts w:ascii="Verdana" w:eastAsia="Times New Roman" w:hAnsi="Verdana" w:cs="Times New Roman"/>
          <w:color w:val="000000"/>
          <w:sz w:val="20"/>
          <w:szCs w:val="20"/>
          <w:lang w:eastAsia="en-IN"/>
        </w:rPr>
        <w:t>i    name, address and registration number of such person</w:t>
      </w:r>
    </w:p>
    <w:p w:rsidR="00923830" w:rsidRPr="00923830" w:rsidRDefault="00923830" w:rsidP="00923830">
      <w:pPr>
        <w:spacing w:after="0" w:line="240" w:lineRule="auto"/>
        <w:jc w:val="both"/>
        <w:rPr>
          <w:rFonts w:ascii="Times New Roman" w:eastAsia="Times New Roman" w:hAnsi="Times New Roman" w:cs="Times New Roman"/>
          <w:color w:val="000000"/>
          <w:sz w:val="24"/>
          <w:szCs w:val="24"/>
          <w:lang w:eastAsia="en-IN"/>
        </w:rPr>
      </w:pPr>
      <w:r w:rsidRPr="00923830">
        <w:rPr>
          <w:rFonts w:ascii="Verdana" w:eastAsia="Times New Roman" w:hAnsi="Verdana" w:cs="Times New Roman"/>
          <w:color w:val="000000"/>
          <w:sz w:val="20"/>
          <w:szCs w:val="20"/>
          <w:lang w:eastAsia="en-IN"/>
        </w:rPr>
        <w:t>ii    the name and address of the person receiving services</w:t>
      </w:r>
    </w:p>
    <w:p w:rsidR="00923830" w:rsidRPr="00923830" w:rsidRDefault="00923830" w:rsidP="00923830">
      <w:pPr>
        <w:spacing w:after="0" w:line="240" w:lineRule="auto"/>
        <w:jc w:val="both"/>
        <w:rPr>
          <w:rFonts w:ascii="Times New Roman" w:eastAsia="Times New Roman" w:hAnsi="Times New Roman" w:cs="Times New Roman"/>
          <w:color w:val="000000"/>
          <w:sz w:val="24"/>
          <w:szCs w:val="24"/>
          <w:lang w:eastAsia="en-IN"/>
        </w:rPr>
      </w:pPr>
      <w:r w:rsidRPr="00923830">
        <w:rPr>
          <w:rFonts w:ascii="Verdana" w:eastAsia="Times New Roman" w:hAnsi="Verdana" w:cs="Times New Roman"/>
          <w:color w:val="000000"/>
          <w:sz w:val="20"/>
          <w:szCs w:val="20"/>
          <w:lang w:eastAsia="en-IN"/>
        </w:rPr>
        <w:t>iii   description, classification and value of taxable service provided, and</w:t>
      </w:r>
    </w:p>
    <w:p w:rsidR="00923830" w:rsidRPr="00923830" w:rsidRDefault="00923830" w:rsidP="00923830">
      <w:pPr>
        <w:spacing w:after="100" w:line="240" w:lineRule="auto"/>
        <w:jc w:val="both"/>
        <w:rPr>
          <w:rFonts w:ascii="Times New Roman" w:eastAsia="Times New Roman" w:hAnsi="Times New Roman" w:cs="Times New Roman"/>
          <w:color w:val="000000"/>
          <w:sz w:val="24"/>
          <w:szCs w:val="24"/>
          <w:lang w:eastAsia="en-IN"/>
        </w:rPr>
      </w:pPr>
      <w:r w:rsidRPr="00923830">
        <w:rPr>
          <w:rFonts w:ascii="Verdana" w:eastAsia="Times New Roman" w:hAnsi="Verdana" w:cs="Times New Roman"/>
          <w:color w:val="000000"/>
          <w:sz w:val="20"/>
          <w:szCs w:val="20"/>
          <w:lang w:eastAsia="en-IN"/>
        </w:rPr>
        <w:t>iv   service tax payable thereon.</w:t>
      </w:r>
    </w:p>
    <w:p w:rsidR="00923830" w:rsidRPr="00923830" w:rsidRDefault="00923830" w:rsidP="00923830">
      <w:pPr>
        <w:spacing w:after="0" w:line="240" w:lineRule="auto"/>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i/>
          <w:iCs/>
          <w:color w:val="000000"/>
          <w:sz w:val="20"/>
          <w:szCs w:val="20"/>
          <w:lang w:eastAsia="en-IN"/>
        </w:rPr>
        <w:t>(Refer Rule 4A (1) of Service Tax Rules, 1994)</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b/>
          <w:bCs/>
          <w:color w:val="000000"/>
          <w:sz w:val="20"/>
          <w:szCs w:val="20"/>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4.2 Every input service distributor, distributing credit of taxable services should issue an invoice, a bill or challan signed by him or a person authorized by him for each of the recipient of credit distributed and such invoice, bill or challan should be serially numbered and should contain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i. name, address and registration number of the person providing input services and the serial number and date of invoice, bill or challan issued by him.</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ii    name, address and registration number of the input service distributor</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iii   name and address of the recipient of the credit distributed, and</w:t>
      </w:r>
    </w:p>
    <w:p w:rsidR="00923830" w:rsidRPr="00923830" w:rsidRDefault="00923830" w:rsidP="00923830">
      <w:pPr>
        <w:spacing w:after="10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iv   the amount of the credit distributed.</w:t>
      </w:r>
    </w:p>
    <w:p w:rsidR="00923830" w:rsidRPr="00923830" w:rsidRDefault="00923830" w:rsidP="00923830">
      <w:pPr>
        <w:spacing w:after="0" w:line="240" w:lineRule="auto"/>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i/>
          <w:iCs/>
          <w:color w:val="000000"/>
          <w:sz w:val="20"/>
          <w:szCs w:val="20"/>
          <w:lang w:eastAsia="en-IN"/>
        </w:rPr>
        <w:t>(Refer Rule 4A (2) of Service Tax Rules, 1994)</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b/>
          <w:bCs/>
          <w:color w:val="000000"/>
          <w:sz w:val="20"/>
          <w:szCs w:val="20"/>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4.3 Records to be maintained:</w:t>
      </w:r>
    </w:p>
    <w:p w:rsidR="00923830" w:rsidRPr="00923830" w:rsidRDefault="00923830" w:rsidP="00923830">
      <w:pPr>
        <w:spacing w:after="0" w:line="240" w:lineRule="auto"/>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The records as maintained by the assessee in accordance with the various laws in force,  shall be accepted.</w:t>
      </w:r>
    </w:p>
    <w:p w:rsidR="00923830" w:rsidRPr="00923830" w:rsidRDefault="00923830" w:rsidP="00923830">
      <w:pPr>
        <w:spacing w:after="0" w:line="240" w:lineRule="auto"/>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i/>
          <w:iCs/>
          <w:color w:val="000000"/>
          <w:sz w:val="20"/>
          <w:szCs w:val="20"/>
          <w:lang w:eastAsia="en-IN"/>
        </w:rPr>
        <w:t>( Refer Rule 5 (1) of Service Tax Rules, 1994)</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Times New Roman" w:eastAsia="Times New Roman" w:hAnsi="Times New Roman" w:cs="Times New Roman"/>
          <w:color w:val="000000"/>
          <w:sz w:val="27"/>
          <w:szCs w:val="27"/>
          <w:lang w:eastAsia="en-IN"/>
        </w:rPr>
        <w:t> </w:t>
      </w:r>
    </w:p>
    <w:p w:rsidR="00923830" w:rsidRPr="00923830" w:rsidRDefault="00923830" w:rsidP="00923830">
      <w:pPr>
        <w:spacing w:after="0" w:line="240" w:lineRule="auto"/>
        <w:jc w:val="both"/>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color w:val="000000"/>
          <w:sz w:val="20"/>
          <w:szCs w:val="20"/>
          <w:lang w:eastAsia="en-IN"/>
        </w:rPr>
        <w:t>4.4 Every assessee is required to furnish to the Superintendent of Central Excise a list of accounts maintained by him in relation to service tax. This list is to be submitted once at the time of filing his first S.T.3 return.</w:t>
      </w:r>
    </w:p>
    <w:p w:rsidR="00923830" w:rsidRPr="00923830" w:rsidRDefault="00923830" w:rsidP="00923830">
      <w:pPr>
        <w:spacing w:after="0" w:line="240" w:lineRule="auto"/>
        <w:jc w:val="right"/>
        <w:rPr>
          <w:rFonts w:ascii="Times New Roman" w:eastAsia="Times New Roman" w:hAnsi="Times New Roman" w:cs="Times New Roman"/>
          <w:color w:val="000000"/>
          <w:sz w:val="27"/>
          <w:szCs w:val="27"/>
          <w:lang w:eastAsia="en-IN"/>
        </w:rPr>
      </w:pPr>
      <w:r w:rsidRPr="00923830">
        <w:rPr>
          <w:rFonts w:ascii="Verdana" w:eastAsia="Times New Roman" w:hAnsi="Verdana" w:cs="Times New Roman"/>
          <w:i/>
          <w:iCs/>
          <w:color w:val="000000"/>
          <w:sz w:val="20"/>
          <w:szCs w:val="20"/>
          <w:lang w:eastAsia="en-IN"/>
        </w:rPr>
        <w:t>(Refer Rule 5 (2) of Service Tax Rules, 1994)(e.g. books of account, viz. sales register, purchase register, cash book, petty cash book, general ledger, etc.)</w:t>
      </w:r>
    </w:p>
    <w:p w:rsidR="004415DC" w:rsidRDefault="004415DC"/>
    <w:sectPr w:rsidR="004415DC" w:rsidSect="004415D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23830"/>
    <w:rsid w:val="004415DC"/>
    <w:rsid w:val="0092383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5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38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923830"/>
  </w:style>
  <w:style w:type="character" w:styleId="Hyperlink">
    <w:name w:val="Hyperlink"/>
    <w:basedOn w:val="DefaultParagraphFont"/>
    <w:uiPriority w:val="99"/>
    <w:semiHidden/>
    <w:unhideWhenUsed/>
    <w:rsid w:val="00923830"/>
    <w:rPr>
      <w:color w:val="0000FF"/>
      <w:u w:val="single"/>
    </w:rPr>
  </w:style>
  <w:style w:type="paragraph" w:styleId="BodyText2">
    <w:name w:val="Body Text 2"/>
    <w:basedOn w:val="Normal"/>
    <w:link w:val="BodyText2Char"/>
    <w:uiPriority w:val="99"/>
    <w:semiHidden/>
    <w:unhideWhenUsed/>
    <w:rsid w:val="009238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BodyText2Char">
    <w:name w:val="Body Text 2 Char"/>
    <w:basedOn w:val="DefaultParagraphFont"/>
    <w:link w:val="BodyText2"/>
    <w:uiPriority w:val="99"/>
    <w:semiHidden/>
    <w:rsid w:val="00923830"/>
    <w:rPr>
      <w:rFonts w:ascii="Times New Roman" w:eastAsia="Times New Roman" w:hAnsi="Times New Roman" w:cs="Times New Roman"/>
      <w:sz w:val="24"/>
      <w:szCs w:val="24"/>
      <w:lang w:eastAsia="en-IN"/>
    </w:rPr>
  </w:style>
  <w:style w:type="paragraph" w:styleId="BlockText">
    <w:name w:val="Block Text"/>
    <w:basedOn w:val="Normal"/>
    <w:uiPriority w:val="99"/>
    <w:semiHidden/>
    <w:unhideWhenUsed/>
    <w:rsid w:val="00923830"/>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332292043">
      <w:bodyDiv w:val="1"/>
      <w:marLeft w:val="0"/>
      <w:marRight w:val="0"/>
      <w:marTop w:val="0"/>
      <w:marBottom w:val="0"/>
      <w:divBdr>
        <w:top w:val="none" w:sz="0" w:space="0" w:color="auto"/>
        <w:left w:val="none" w:sz="0" w:space="0" w:color="auto"/>
        <w:bottom w:val="none" w:sz="0" w:space="0" w:color="auto"/>
        <w:right w:val="none" w:sz="0" w:space="0" w:color="auto"/>
      </w:divBdr>
      <w:divsChild>
        <w:div w:id="15497541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3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bec.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804</Words>
  <Characters>4587</Characters>
  <Application>Microsoft Office Word</Application>
  <DocSecurity>0</DocSecurity>
  <Lines>38</Lines>
  <Paragraphs>10</Paragraphs>
  <ScaleCrop>false</ScaleCrop>
  <Company/>
  <LinksUpToDate>false</LinksUpToDate>
  <CharactersWithSpaces>5381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2012-07-15T09:35:00Z</dcterms:created>
  <dcterms:modified xsi:type="dcterms:W3CDTF">2012-07-15T09:36:00Z</dcterms:modified>
</cp:coreProperties>
</file>