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E77" w:rsidRPr="00EF1E77" w:rsidRDefault="00EF1E77" w:rsidP="00EF1E77">
      <w:pPr>
        <w:spacing w:after="0" w:line="240" w:lineRule="auto"/>
        <w:ind w:left="720" w:right="720"/>
        <w:jc w:val="center"/>
        <w:rPr>
          <w:rFonts w:ascii="Calibri" w:eastAsia="Times New Roman" w:hAnsi="Calibri" w:cs="Times New Roman"/>
          <w:color w:val="000000"/>
        </w:rPr>
      </w:pPr>
      <w:r w:rsidRPr="00EF1E77">
        <w:rPr>
          <w:rFonts w:ascii="Arial" w:eastAsia="Times New Roman" w:hAnsi="Arial" w:cs="Arial"/>
          <w:b/>
          <w:bCs/>
          <w:color w:val="0000FF"/>
          <w:sz w:val="24"/>
          <w:szCs w:val="24"/>
          <w:u w:val="single"/>
        </w:rPr>
        <w:t xml:space="preserve">Frequency Norms of Audit for Service Tax </w:t>
      </w:r>
      <w:proofErr w:type="spellStart"/>
      <w:r w:rsidRPr="00EF1E77">
        <w:rPr>
          <w:rFonts w:ascii="Arial" w:eastAsia="Times New Roman" w:hAnsi="Arial" w:cs="Arial"/>
          <w:b/>
          <w:bCs/>
          <w:color w:val="0000FF"/>
          <w:sz w:val="24"/>
          <w:szCs w:val="24"/>
          <w:u w:val="single"/>
        </w:rPr>
        <w:t>Assessees</w:t>
      </w:r>
      <w:proofErr w:type="spellEnd"/>
    </w:p>
    <w:p w:rsidR="00EF1E77" w:rsidRPr="00EF1E77" w:rsidRDefault="00EF1E77" w:rsidP="00EF1E77">
      <w:pPr>
        <w:spacing w:after="0" w:line="240" w:lineRule="auto"/>
        <w:ind w:left="720" w:right="720"/>
        <w:jc w:val="center"/>
        <w:rPr>
          <w:rFonts w:ascii="Calibri" w:eastAsia="Times New Roman" w:hAnsi="Calibri" w:cs="Times New Roman"/>
          <w:color w:val="000000"/>
        </w:rPr>
      </w:pPr>
      <w:r w:rsidRPr="00EF1E77">
        <w:rPr>
          <w:rFonts w:ascii="Arial" w:eastAsia="Times New Roman" w:hAnsi="Arial" w:cs="Arial"/>
          <w:color w:val="0000FF"/>
          <w:sz w:val="20"/>
          <w:szCs w:val="20"/>
        </w:rPr>
        <w:t> </w:t>
      </w:r>
    </w:p>
    <w:p w:rsidR="00EF1E77" w:rsidRPr="00EF1E77" w:rsidRDefault="00EF1E77" w:rsidP="00EF1E77">
      <w:pPr>
        <w:spacing w:after="0" w:line="240" w:lineRule="auto"/>
        <w:ind w:left="720" w:right="720"/>
        <w:jc w:val="center"/>
        <w:rPr>
          <w:rFonts w:ascii="Calibri" w:eastAsia="Times New Roman" w:hAnsi="Calibri" w:cs="Times New Roman"/>
          <w:color w:val="000000"/>
        </w:rPr>
      </w:pPr>
      <w:r w:rsidRPr="00EF1E77">
        <w:rPr>
          <w:rFonts w:ascii="Arial" w:eastAsia="Times New Roman" w:hAnsi="Arial" w:cs="Arial"/>
          <w:color w:val="0000FF"/>
          <w:sz w:val="20"/>
          <w:szCs w:val="20"/>
        </w:rPr>
        <w:t> </w:t>
      </w:r>
    </w:p>
    <w:p w:rsidR="00EF1E77" w:rsidRPr="00EF1E77" w:rsidRDefault="00EF1E77" w:rsidP="00EF1E77">
      <w:pPr>
        <w:spacing w:after="0" w:line="240" w:lineRule="auto"/>
        <w:ind w:left="720" w:right="720"/>
        <w:jc w:val="center"/>
        <w:rPr>
          <w:rFonts w:ascii="Calibri" w:eastAsia="Times New Roman" w:hAnsi="Calibri" w:cs="Times New Roman"/>
          <w:color w:val="000000"/>
        </w:rPr>
      </w:pPr>
      <w:r w:rsidRPr="00EF1E77">
        <w:rPr>
          <w:rFonts w:ascii="Arial" w:eastAsia="Times New Roman" w:hAnsi="Arial" w:cs="Arial"/>
          <w:color w:val="0000FF"/>
          <w:sz w:val="20"/>
          <w:szCs w:val="20"/>
        </w:rPr>
        <w:t> </w:t>
      </w:r>
    </w:p>
    <w:p w:rsidR="00EF1E77" w:rsidRPr="00EF1E77" w:rsidRDefault="00EF1E77" w:rsidP="00EF1E77">
      <w:pPr>
        <w:spacing w:after="0" w:line="240" w:lineRule="auto"/>
        <w:ind w:left="720" w:right="720"/>
        <w:rPr>
          <w:rFonts w:ascii="Calibri" w:eastAsia="Times New Roman" w:hAnsi="Calibri" w:cs="Times New Roman"/>
          <w:color w:val="000000"/>
        </w:rPr>
      </w:pPr>
      <w:r w:rsidRPr="00EF1E77">
        <w:rPr>
          <w:rFonts w:ascii="Arial" w:eastAsia="Times New Roman" w:hAnsi="Arial" w:cs="Arial"/>
          <w:b/>
          <w:bCs/>
          <w:color w:val="0000FF"/>
          <w:sz w:val="20"/>
          <w:szCs w:val="20"/>
        </w:rPr>
        <w:t> </w:t>
      </w:r>
    </w:p>
    <w:p w:rsidR="00EF1E77" w:rsidRPr="00EF1E77" w:rsidRDefault="00EF1E77" w:rsidP="00EF1E77">
      <w:pPr>
        <w:spacing w:after="0" w:line="275" w:lineRule="atLeast"/>
        <w:ind w:left="720" w:right="720"/>
        <w:jc w:val="both"/>
        <w:rPr>
          <w:rFonts w:ascii="Calibri" w:eastAsia="Times New Roman" w:hAnsi="Calibri" w:cs="Times New Roman"/>
          <w:color w:val="000000"/>
        </w:rPr>
      </w:pPr>
      <w:r w:rsidRPr="00EF1E77">
        <w:rPr>
          <w:rFonts w:ascii="Arial" w:eastAsia="Times New Roman" w:hAnsi="Arial" w:cs="Arial"/>
          <w:color w:val="000000"/>
          <w:sz w:val="20"/>
          <w:szCs w:val="20"/>
        </w:rPr>
        <w:t>           </w:t>
      </w:r>
      <w:r w:rsidRPr="00EF1E77">
        <w:rPr>
          <w:rFonts w:ascii="Arial" w:eastAsia="Times New Roman" w:hAnsi="Arial" w:cs="Arial"/>
          <w:color w:val="000000"/>
          <w:sz w:val="20"/>
        </w:rPr>
        <w:t> </w:t>
      </w:r>
      <w:r w:rsidRPr="00EF1E77">
        <w:rPr>
          <w:rFonts w:ascii="Arial" w:eastAsia="Times New Roman" w:hAnsi="Arial" w:cs="Arial"/>
          <w:color w:val="000000"/>
          <w:sz w:val="20"/>
          <w:szCs w:val="20"/>
        </w:rPr>
        <w:t>Director General of Audit, New Delhi has prepared Service Tax Audit Manual, 2010. </w:t>
      </w:r>
      <w:r w:rsidRPr="00EF1E77">
        <w:rPr>
          <w:rFonts w:ascii="Arial" w:eastAsia="Times New Roman" w:hAnsi="Arial" w:cs="Arial"/>
          <w:color w:val="000000"/>
          <w:sz w:val="20"/>
        </w:rPr>
        <w:t> </w:t>
      </w:r>
      <w:r w:rsidRPr="00EF1E77">
        <w:rPr>
          <w:rFonts w:ascii="Arial" w:eastAsia="Times New Roman" w:hAnsi="Arial" w:cs="Arial"/>
          <w:color w:val="000000"/>
          <w:sz w:val="20"/>
          <w:szCs w:val="20"/>
        </w:rPr>
        <w:t>As per the guidelines, tax payers whose annual service tax payment (including cash and CENVAT) was Rs.3</w:t>
      </w:r>
      <w:r w:rsidRPr="00EF1E77">
        <w:rPr>
          <w:rFonts w:ascii="Arial" w:eastAsia="Times New Roman" w:hAnsi="Arial" w:cs="Arial"/>
          <w:color w:val="000000"/>
          <w:sz w:val="20"/>
        </w:rPr>
        <w:t> </w:t>
      </w:r>
      <w:proofErr w:type="spellStart"/>
      <w:r w:rsidRPr="00EF1E77">
        <w:rPr>
          <w:rFonts w:ascii="Arial" w:eastAsia="Times New Roman" w:hAnsi="Arial" w:cs="Arial"/>
          <w:color w:val="000000"/>
          <w:sz w:val="20"/>
        </w:rPr>
        <w:t>crore</w:t>
      </w:r>
      <w:proofErr w:type="spellEnd"/>
      <w:r w:rsidRPr="00EF1E77">
        <w:rPr>
          <w:rFonts w:ascii="Arial" w:eastAsia="Times New Roman" w:hAnsi="Arial" w:cs="Arial"/>
          <w:color w:val="000000"/>
          <w:sz w:val="20"/>
        </w:rPr>
        <w:t> </w:t>
      </w:r>
      <w:r w:rsidRPr="00EF1E77">
        <w:rPr>
          <w:rFonts w:ascii="Arial" w:eastAsia="Times New Roman" w:hAnsi="Arial" w:cs="Arial"/>
          <w:color w:val="000000"/>
          <w:sz w:val="20"/>
          <w:szCs w:val="20"/>
        </w:rPr>
        <w:t>or more in the preceding financial year may be subjected to mandatory audit each year. </w:t>
      </w:r>
      <w:r w:rsidRPr="00EF1E77">
        <w:rPr>
          <w:rFonts w:ascii="Arial" w:eastAsia="Times New Roman" w:hAnsi="Arial" w:cs="Arial"/>
          <w:color w:val="000000"/>
          <w:sz w:val="20"/>
        </w:rPr>
        <w:t> </w:t>
      </w:r>
      <w:r w:rsidRPr="00EF1E77">
        <w:rPr>
          <w:rFonts w:ascii="Arial" w:eastAsia="Times New Roman" w:hAnsi="Arial" w:cs="Arial"/>
          <w:color w:val="000000"/>
          <w:sz w:val="20"/>
          <w:szCs w:val="20"/>
        </w:rPr>
        <w:t>It is preferable that Audit of all such Units is done by using Computer Assisted Audit Program (CAAP) techniques. </w:t>
      </w:r>
      <w:r w:rsidRPr="00EF1E77">
        <w:rPr>
          <w:rFonts w:ascii="Arial" w:eastAsia="Times New Roman" w:hAnsi="Arial" w:cs="Arial"/>
          <w:color w:val="000000"/>
          <w:sz w:val="20"/>
        </w:rPr>
        <w:t> </w:t>
      </w:r>
      <w:r w:rsidRPr="00EF1E77">
        <w:rPr>
          <w:rFonts w:ascii="Arial" w:eastAsia="Times New Roman" w:hAnsi="Arial" w:cs="Arial"/>
          <w:color w:val="000000"/>
          <w:sz w:val="20"/>
          <w:szCs w:val="20"/>
        </w:rPr>
        <w:t>The frequency of audit for other taxpayers would be as per following norms:-</w:t>
      </w:r>
    </w:p>
    <w:p w:rsidR="00EF1E77" w:rsidRPr="00EF1E77" w:rsidRDefault="00EF1E77" w:rsidP="00EF1E77">
      <w:pPr>
        <w:spacing w:after="120" w:line="240" w:lineRule="auto"/>
        <w:ind w:left="1440" w:right="720" w:hanging="720"/>
        <w:rPr>
          <w:rFonts w:ascii="Calibri" w:eastAsia="Times New Roman" w:hAnsi="Calibri" w:cs="Times New Roman"/>
          <w:color w:val="000000"/>
        </w:rPr>
      </w:pPr>
      <w:proofErr w:type="spellStart"/>
      <w:r w:rsidRPr="00EF1E77">
        <w:rPr>
          <w:rFonts w:ascii="Arial" w:eastAsia="Times New Roman" w:hAnsi="Arial" w:cs="Arial"/>
          <w:color w:val="000000"/>
          <w:sz w:val="20"/>
          <w:szCs w:val="20"/>
        </w:rPr>
        <w:t>i</w:t>
      </w:r>
      <w:proofErr w:type="spellEnd"/>
      <w:r w:rsidRPr="00EF1E77">
        <w:rPr>
          <w:rFonts w:ascii="Arial" w:eastAsia="Times New Roman" w:hAnsi="Arial" w:cs="Arial"/>
          <w:color w:val="000000"/>
          <w:sz w:val="20"/>
          <w:szCs w:val="20"/>
        </w:rPr>
        <w:t>.</w:t>
      </w:r>
      <w:r w:rsidRPr="00EF1E77">
        <w:rPr>
          <w:rFonts w:ascii="Times New Roman" w:eastAsia="Times New Roman" w:hAnsi="Times New Roman" w:cs="Times New Roman"/>
          <w:color w:val="000000"/>
          <w:sz w:val="14"/>
          <w:szCs w:val="14"/>
        </w:rPr>
        <w:t>             </w:t>
      </w:r>
      <w:r w:rsidRPr="00EF1E77">
        <w:rPr>
          <w:rFonts w:ascii="Times New Roman" w:eastAsia="Times New Roman" w:hAnsi="Times New Roman" w:cs="Times New Roman"/>
          <w:color w:val="000000"/>
          <w:sz w:val="14"/>
        </w:rPr>
        <w:t> </w:t>
      </w:r>
      <w:r w:rsidRPr="00EF1E77">
        <w:rPr>
          <w:rFonts w:ascii="Arial" w:eastAsia="Times New Roman" w:hAnsi="Arial" w:cs="Arial"/>
          <w:color w:val="000000"/>
          <w:sz w:val="20"/>
          <w:szCs w:val="20"/>
        </w:rPr>
        <w:t>Taxpayers with Service Tax payment above Rs.3</w:t>
      </w:r>
      <w:r w:rsidRPr="00EF1E77">
        <w:rPr>
          <w:rFonts w:ascii="Arial" w:eastAsia="Times New Roman" w:hAnsi="Arial" w:cs="Arial"/>
          <w:color w:val="000000"/>
          <w:sz w:val="20"/>
        </w:rPr>
        <w:t> </w:t>
      </w:r>
      <w:proofErr w:type="spellStart"/>
      <w:r w:rsidRPr="00EF1E77">
        <w:rPr>
          <w:rFonts w:ascii="Arial" w:eastAsia="Times New Roman" w:hAnsi="Arial" w:cs="Arial"/>
          <w:color w:val="000000"/>
          <w:sz w:val="20"/>
        </w:rPr>
        <w:t>crores</w:t>
      </w:r>
      <w:proofErr w:type="spellEnd"/>
      <w:r w:rsidRPr="00EF1E77">
        <w:rPr>
          <w:rFonts w:ascii="Arial" w:eastAsia="Times New Roman" w:hAnsi="Arial" w:cs="Arial"/>
          <w:color w:val="000000"/>
          <w:sz w:val="20"/>
        </w:rPr>
        <w:t> </w:t>
      </w:r>
      <w:r w:rsidRPr="00EF1E77">
        <w:rPr>
          <w:rFonts w:ascii="Arial" w:eastAsia="Times New Roman" w:hAnsi="Arial" w:cs="Arial"/>
          <w:color w:val="000000"/>
          <w:sz w:val="20"/>
          <w:szCs w:val="20"/>
        </w:rPr>
        <w:t>(Cash + CENVAT) (MANDATORY UNITS) – to be audited every year.</w:t>
      </w:r>
    </w:p>
    <w:p w:rsidR="00EF1E77" w:rsidRPr="00EF1E77" w:rsidRDefault="00EF1E77" w:rsidP="00EF1E77">
      <w:pPr>
        <w:spacing w:after="120" w:line="240" w:lineRule="auto"/>
        <w:ind w:left="1440" w:right="720"/>
        <w:rPr>
          <w:rFonts w:ascii="Calibri" w:eastAsia="Times New Roman" w:hAnsi="Calibri" w:cs="Times New Roman"/>
          <w:color w:val="000000"/>
        </w:rPr>
      </w:pPr>
      <w:r w:rsidRPr="00EF1E77">
        <w:rPr>
          <w:rFonts w:ascii="Arial" w:eastAsia="Times New Roman" w:hAnsi="Arial" w:cs="Arial"/>
          <w:color w:val="000000"/>
          <w:sz w:val="20"/>
          <w:szCs w:val="20"/>
        </w:rPr>
        <w:t> </w:t>
      </w:r>
    </w:p>
    <w:p w:rsidR="00EF1E77" w:rsidRPr="00EF1E77" w:rsidRDefault="00EF1E77" w:rsidP="00EF1E77">
      <w:pPr>
        <w:spacing w:after="120" w:line="240" w:lineRule="auto"/>
        <w:ind w:left="1440" w:right="720" w:hanging="720"/>
        <w:rPr>
          <w:rFonts w:ascii="Calibri" w:eastAsia="Times New Roman" w:hAnsi="Calibri" w:cs="Times New Roman"/>
          <w:color w:val="000000"/>
        </w:rPr>
      </w:pPr>
      <w:r w:rsidRPr="00EF1E77">
        <w:rPr>
          <w:rFonts w:ascii="Arial" w:eastAsia="Times New Roman" w:hAnsi="Arial" w:cs="Arial"/>
          <w:color w:val="000000"/>
          <w:sz w:val="20"/>
          <w:szCs w:val="20"/>
        </w:rPr>
        <w:t>ii.</w:t>
      </w:r>
      <w:r w:rsidRPr="00EF1E77">
        <w:rPr>
          <w:rFonts w:ascii="Times New Roman" w:eastAsia="Times New Roman" w:hAnsi="Times New Roman" w:cs="Times New Roman"/>
          <w:color w:val="000000"/>
          <w:sz w:val="14"/>
          <w:szCs w:val="14"/>
        </w:rPr>
        <w:t>            </w:t>
      </w:r>
      <w:r w:rsidRPr="00EF1E77">
        <w:rPr>
          <w:rFonts w:ascii="Times New Roman" w:eastAsia="Times New Roman" w:hAnsi="Times New Roman" w:cs="Times New Roman"/>
          <w:color w:val="000000"/>
          <w:sz w:val="14"/>
        </w:rPr>
        <w:t> </w:t>
      </w:r>
      <w:r w:rsidRPr="00EF1E77">
        <w:rPr>
          <w:rFonts w:ascii="Arial" w:eastAsia="Times New Roman" w:hAnsi="Arial" w:cs="Arial"/>
          <w:color w:val="000000"/>
          <w:sz w:val="20"/>
          <w:szCs w:val="20"/>
        </w:rPr>
        <w:t>Taxpayers with Service Tax payment between Rs.1</w:t>
      </w:r>
      <w:r w:rsidRPr="00EF1E77">
        <w:rPr>
          <w:rFonts w:ascii="Arial" w:eastAsia="Times New Roman" w:hAnsi="Arial" w:cs="Arial"/>
          <w:color w:val="000000"/>
          <w:sz w:val="20"/>
        </w:rPr>
        <w:t> </w:t>
      </w:r>
      <w:proofErr w:type="spellStart"/>
      <w:r w:rsidRPr="00EF1E77">
        <w:rPr>
          <w:rFonts w:ascii="Arial" w:eastAsia="Times New Roman" w:hAnsi="Arial" w:cs="Arial"/>
          <w:color w:val="000000"/>
          <w:sz w:val="20"/>
        </w:rPr>
        <w:t>crore</w:t>
      </w:r>
      <w:proofErr w:type="spellEnd"/>
      <w:r w:rsidRPr="00EF1E77">
        <w:rPr>
          <w:rFonts w:ascii="Arial" w:eastAsia="Times New Roman" w:hAnsi="Arial" w:cs="Arial"/>
          <w:color w:val="000000"/>
          <w:sz w:val="20"/>
        </w:rPr>
        <w:t> </w:t>
      </w:r>
      <w:r w:rsidRPr="00EF1E77">
        <w:rPr>
          <w:rFonts w:ascii="Arial" w:eastAsia="Times New Roman" w:hAnsi="Arial" w:cs="Arial"/>
          <w:color w:val="000000"/>
          <w:sz w:val="20"/>
          <w:szCs w:val="20"/>
        </w:rPr>
        <w:t>and Rs.3</w:t>
      </w:r>
      <w:r w:rsidRPr="00EF1E77">
        <w:rPr>
          <w:rFonts w:ascii="Arial" w:eastAsia="Times New Roman" w:hAnsi="Arial" w:cs="Arial"/>
          <w:color w:val="000000"/>
          <w:sz w:val="20"/>
        </w:rPr>
        <w:t> </w:t>
      </w:r>
      <w:proofErr w:type="spellStart"/>
      <w:r w:rsidRPr="00EF1E77">
        <w:rPr>
          <w:rFonts w:ascii="Arial" w:eastAsia="Times New Roman" w:hAnsi="Arial" w:cs="Arial"/>
          <w:color w:val="000000"/>
          <w:sz w:val="20"/>
        </w:rPr>
        <w:t>crores</w:t>
      </w:r>
      <w:proofErr w:type="spellEnd"/>
      <w:r w:rsidRPr="00EF1E77">
        <w:rPr>
          <w:rFonts w:ascii="Arial" w:eastAsia="Times New Roman" w:hAnsi="Arial" w:cs="Arial"/>
          <w:color w:val="000000"/>
          <w:sz w:val="20"/>
        </w:rPr>
        <w:t> </w:t>
      </w:r>
      <w:r w:rsidRPr="00EF1E77">
        <w:rPr>
          <w:rFonts w:ascii="Arial" w:eastAsia="Times New Roman" w:hAnsi="Arial" w:cs="Arial"/>
          <w:color w:val="000000"/>
          <w:sz w:val="20"/>
          <w:szCs w:val="20"/>
        </w:rPr>
        <w:t>(Cash + CENVAT) – to be audited once every two years.</w:t>
      </w:r>
    </w:p>
    <w:p w:rsidR="00EF1E77" w:rsidRPr="00EF1E77" w:rsidRDefault="00EF1E77" w:rsidP="00EF1E77">
      <w:pPr>
        <w:spacing w:after="120" w:line="240" w:lineRule="auto"/>
        <w:ind w:left="1440" w:right="720"/>
        <w:rPr>
          <w:rFonts w:ascii="Calibri" w:eastAsia="Times New Roman" w:hAnsi="Calibri" w:cs="Times New Roman"/>
          <w:color w:val="000000"/>
        </w:rPr>
      </w:pPr>
      <w:r w:rsidRPr="00EF1E77">
        <w:rPr>
          <w:rFonts w:ascii="Arial" w:eastAsia="Times New Roman" w:hAnsi="Arial" w:cs="Arial"/>
          <w:color w:val="000000"/>
          <w:sz w:val="20"/>
          <w:szCs w:val="20"/>
        </w:rPr>
        <w:t> </w:t>
      </w:r>
    </w:p>
    <w:p w:rsidR="00EF1E77" w:rsidRPr="00EF1E77" w:rsidRDefault="00EF1E77" w:rsidP="00EF1E77">
      <w:pPr>
        <w:spacing w:after="120" w:line="240" w:lineRule="auto"/>
        <w:ind w:left="1440" w:right="720" w:hanging="720"/>
        <w:rPr>
          <w:rFonts w:ascii="Calibri" w:eastAsia="Times New Roman" w:hAnsi="Calibri" w:cs="Times New Roman"/>
          <w:color w:val="000000"/>
        </w:rPr>
      </w:pPr>
      <w:r w:rsidRPr="00EF1E77">
        <w:rPr>
          <w:rFonts w:ascii="Arial" w:eastAsia="Times New Roman" w:hAnsi="Arial" w:cs="Arial"/>
          <w:color w:val="000000"/>
          <w:sz w:val="20"/>
          <w:szCs w:val="20"/>
        </w:rPr>
        <w:t>iii.</w:t>
      </w:r>
      <w:r w:rsidRPr="00EF1E77">
        <w:rPr>
          <w:rFonts w:ascii="Times New Roman" w:eastAsia="Times New Roman" w:hAnsi="Times New Roman" w:cs="Times New Roman"/>
          <w:color w:val="000000"/>
          <w:sz w:val="14"/>
          <w:szCs w:val="14"/>
        </w:rPr>
        <w:t>           </w:t>
      </w:r>
      <w:r w:rsidRPr="00EF1E77">
        <w:rPr>
          <w:rFonts w:ascii="Times New Roman" w:eastAsia="Times New Roman" w:hAnsi="Times New Roman" w:cs="Times New Roman"/>
          <w:color w:val="000000"/>
          <w:sz w:val="14"/>
        </w:rPr>
        <w:t> </w:t>
      </w:r>
      <w:r w:rsidRPr="00EF1E77">
        <w:rPr>
          <w:rFonts w:ascii="Arial" w:eastAsia="Times New Roman" w:hAnsi="Arial" w:cs="Arial"/>
          <w:color w:val="000000"/>
          <w:sz w:val="20"/>
          <w:szCs w:val="20"/>
        </w:rPr>
        <w:t>Taxpayers with Service Tax payment between Rs.25</w:t>
      </w:r>
      <w:r w:rsidRPr="00EF1E77">
        <w:rPr>
          <w:rFonts w:ascii="Arial" w:eastAsia="Times New Roman" w:hAnsi="Arial" w:cs="Arial"/>
          <w:color w:val="000000"/>
          <w:sz w:val="20"/>
        </w:rPr>
        <w:t> </w:t>
      </w:r>
      <w:proofErr w:type="spellStart"/>
      <w:r w:rsidRPr="00EF1E77">
        <w:rPr>
          <w:rFonts w:ascii="Arial" w:eastAsia="Times New Roman" w:hAnsi="Arial" w:cs="Arial"/>
          <w:color w:val="000000"/>
          <w:sz w:val="20"/>
        </w:rPr>
        <w:t>lakhs</w:t>
      </w:r>
      <w:proofErr w:type="spellEnd"/>
      <w:r w:rsidRPr="00EF1E77">
        <w:rPr>
          <w:rFonts w:ascii="Arial" w:eastAsia="Times New Roman" w:hAnsi="Arial" w:cs="Arial"/>
          <w:color w:val="000000"/>
          <w:sz w:val="20"/>
        </w:rPr>
        <w:t> </w:t>
      </w:r>
      <w:r w:rsidRPr="00EF1E77">
        <w:rPr>
          <w:rFonts w:ascii="Arial" w:eastAsia="Times New Roman" w:hAnsi="Arial" w:cs="Arial"/>
          <w:color w:val="000000"/>
          <w:sz w:val="20"/>
          <w:szCs w:val="20"/>
        </w:rPr>
        <w:t>and Rs.1</w:t>
      </w:r>
      <w:r w:rsidRPr="00EF1E77">
        <w:rPr>
          <w:rFonts w:ascii="Arial" w:eastAsia="Times New Roman" w:hAnsi="Arial" w:cs="Arial"/>
          <w:color w:val="000000"/>
          <w:sz w:val="20"/>
        </w:rPr>
        <w:t> </w:t>
      </w:r>
      <w:proofErr w:type="spellStart"/>
      <w:r w:rsidRPr="00EF1E77">
        <w:rPr>
          <w:rFonts w:ascii="Arial" w:eastAsia="Times New Roman" w:hAnsi="Arial" w:cs="Arial"/>
          <w:color w:val="000000"/>
          <w:sz w:val="20"/>
        </w:rPr>
        <w:t>crore</w:t>
      </w:r>
      <w:proofErr w:type="spellEnd"/>
      <w:r w:rsidRPr="00EF1E77">
        <w:rPr>
          <w:rFonts w:ascii="Arial" w:eastAsia="Times New Roman" w:hAnsi="Arial" w:cs="Arial"/>
          <w:color w:val="000000"/>
          <w:sz w:val="20"/>
        </w:rPr>
        <w:t> </w:t>
      </w:r>
      <w:r w:rsidRPr="00EF1E77">
        <w:rPr>
          <w:rFonts w:ascii="Arial" w:eastAsia="Times New Roman" w:hAnsi="Arial" w:cs="Arial"/>
          <w:color w:val="000000"/>
          <w:sz w:val="20"/>
          <w:szCs w:val="20"/>
        </w:rPr>
        <w:t xml:space="preserve">(Cash </w:t>
      </w:r>
      <w:proofErr w:type="gramStart"/>
      <w:r w:rsidRPr="00EF1E77">
        <w:rPr>
          <w:rFonts w:ascii="Arial" w:eastAsia="Times New Roman" w:hAnsi="Arial" w:cs="Arial"/>
          <w:color w:val="000000"/>
          <w:sz w:val="20"/>
          <w:szCs w:val="20"/>
        </w:rPr>
        <w:t>+ CENVAT) – to be audited once every five years.</w:t>
      </w:r>
      <w:proofErr w:type="gramEnd"/>
    </w:p>
    <w:p w:rsidR="00EF1E77" w:rsidRPr="00EF1E77" w:rsidRDefault="00EF1E77" w:rsidP="00EF1E77">
      <w:pPr>
        <w:spacing w:after="120" w:line="240" w:lineRule="auto"/>
        <w:ind w:left="1440" w:right="720"/>
        <w:rPr>
          <w:rFonts w:ascii="Calibri" w:eastAsia="Times New Roman" w:hAnsi="Calibri" w:cs="Times New Roman"/>
          <w:color w:val="000000"/>
        </w:rPr>
      </w:pPr>
      <w:r w:rsidRPr="00EF1E77">
        <w:rPr>
          <w:rFonts w:ascii="Arial" w:eastAsia="Times New Roman" w:hAnsi="Arial" w:cs="Arial"/>
          <w:color w:val="000000"/>
          <w:sz w:val="20"/>
          <w:szCs w:val="20"/>
        </w:rPr>
        <w:t> </w:t>
      </w:r>
    </w:p>
    <w:p w:rsidR="00EF1E77" w:rsidRPr="00EF1E77" w:rsidRDefault="00EF1E77" w:rsidP="00EF1E77">
      <w:pPr>
        <w:spacing w:after="120" w:line="240" w:lineRule="auto"/>
        <w:ind w:left="1440" w:right="720" w:hanging="720"/>
        <w:rPr>
          <w:rFonts w:ascii="Calibri" w:eastAsia="Times New Roman" w:hAnsi="Calibri" w:cs="Times New Roman"/>
          <w:color w:val="000000"/>
        </w:rPr>
      </w:pPr>
      <w:r w:rsidRPr="00EF1E77">
        <w:rPr>
          <w:rFonts w:ascii="Arial" w:eastAsia="Times New Roman" w:hAnsi="Arial" w:cs="Arial"/>
          <w:color w:val="000000"/>
          <w:sz w:val="20"/>
          <w:szCs w:val="20"/>
        </w:rPr>
        <w:t>iv.</w:t>
      </w:r>
      <w:r w:rsidRPr="00EF1E77">
        <w:rPr>
          <w:rFonts w:ascii="Times New Roman" w:eastAsia="Times New Roman" w:hAnsi="Times New Roman" w:cs="Times New Roman"/>
          <w:color w:val="000000"/>
          <w:sz w:val="14"/>
          <w:szCs w:val="14"/>
        </w:rPr>
        <w:t>           </w:t>
      </w:r>
      <w:r w:rsidRPr="00EF1E77">
        <w:rPr>
          <w:rFonts w:ascii="Times New Roman" w:eastAsia="Times New Roman" w:hAnsi="Times New Roman" w:cs="Times New Roman"/>
          <w:color w:val="000000"/>
          <w:sz w:val="14"/>
        </w:rPr>
        <w:t> </w:t>
      </w:r>
      <w:r w:rsidRPr="00EF1E77">
        <w:rPr>
          <w:rFonts w:ascii="Arial" w:eastAsia="Times New Roman" w:hAnsi="Arial" w:cs="Arial"/>
          <w:color w:val="000000"/>
          <w:sz w:val="20"/>
          <w:szCs w:val="20"/>
        </w:rPr>
        <w:t>Taxpayers with Service Tax payment</w:t>
      </w:r>
      <w:r w:rsidRPr="00EF1E77">
        <w:rPr>
          <w:rFonts w:ascii="Arial" w:eastAsia="Times New Roman" w:hAnsi="Arial" w:cs="Arial"/>
          <w:color w:val="000000"/>
          <w:sz w:val="20"/>
        </w:rPr>
        <w:t> </w:t>
      </w:r>
      <w:proofErr w:type="spellStart"/>
      <w:r w:rsidRPr="00EF1E77">
        <w:rPr>
          <w:rFonts w:ascii="Arial" w:eastAsia="Times New Roman" w:hAnsi="Arial" w:cs="Arial"/>
          <w:color w:val="000000"/>
          <w:sz w:val="20"/>
        </w:rPr>
        <w:t>upto</w:t>
      </w:r>
      <w:proofErr w:type="spellEnd"/>
      <w:r w:rsidRPr="00EF1E77">
        <w:rPr>
          <w:rFonts w:ascii="Arial" w:eastAsia="Times New Roman" w:hAnsi="Arial" w:cs="Arial"/>
          <w:color w:val="000000"/>
          <w:sz w:val="20"/>
        </w:rPr>
        <w:t> </w:t>
      </w:r>
      <w:r w:rsidRPr="00EF1E77">
        <w:rPr>
          <w:rFonts w:ascii="Arial" w:eastAsia="Times New Roman" w:hAnsi="Arial" w:cs="Arial"/>
          <w:color w:val="000000"/>
          <w:sz w:val="20"/>
          <w:szCs w:val="20"/>
        </w:rPr>
        <w:t>Rs.25</w:t>
      </w:r>
      <w:r w:rsidRPr="00EF1E77">
        <w:rPr>
          <w:rFonts w:ascii="Arial" w:eastAsia="Times New Roman" w:hAnsi="Arial" w:cs="Arial"/>
          <w:color w:val="000000"/>
          <w:sz w:val="20"/>
        </w:rPr>
        <w:t> </w:t>
      </w:r>
      <w:proofErr w:type="spellStart"/>
      <w:r w:rsidRPr="00EF1E77">
        <w:rPr>
          <w:rFonts w:ascii="Arial" w:eastAsia="Times New Roman" w:hAnsi="Arial" w:cs="Arial"/>
          <w:color w:val="000000"/>
          <w:sz w:val="20"/>
        </w:rPr>
        <w:t>lakhs</w:t>
      </w:r>
      <w:proofErr w:type="spellEnd"/>
      <w:r w:rsidRPr="00EF1E77">
        <w:rPr>
          <w:rFonts w:ascii="Arial" w:eastAsia="Times New Roman" w:hAnsi="Arial" w:cs="Arial"/>
          <w:color w:val="000000"/>
          <w:sz w:val="20"/>
        </w:rPr>
        <w:t> </w:t>
      </w:r>
      <w:r w:rsidRPr="00EF1E77">
        <w:rPr>
          <w:rFonts w:ascii="Arial" w:eastAsia="Times New Roman" w:hAnsi="Arial" w:cs="Arial"/>
          <w:color w:val="000000"/>
          <w:sz w:val="20"/>
          <w:szCs w:val="20"/>
        </w:rPr>
        <w:t>(Cash + CENVAT) – 2% of taxpayers to be audited every year.</w:t>
      </w:r>
    </w:p>
    <w:p w:rsidR="00EF1E77" w:rsidRPr="00EF1E77" w:rsidRDefault="00EF1E77" w:rsidP="00EF1E77">
      <w:pPr>
        <w:spacing w:after="120" w:line="240" w:lineRule="auto"/>
        <w:ind w:left="720" w:right="720"/>
        <w:rPr>
          <w:rFonts w:ascii="Calibri" w:eastAsia="Times New Roman" w:hAnsi="Calibri" w:cs="Times New Roman"/>
          <w:color w:val="000000"/>
        </w:rPr>
      </w:pPr>
      <w:r w:rsidRPr="00EF1E77">
        <w:rPr>
          <w:rFonts w:ascii="Arial" w:eastAsia="Times New Roman" w:hAnsi="Arial" w:cs="Arial"/>
          <w:color w:val="000000"/>
          <w:sz w:val="20"/>
          <w:szCs w:val="20"/>
        </w:rPr>
        <w:t> </w:t>
      </w:r>
    </w:p>
    <w:p w:rsidR="00EF1E77" w:rsidRPr="00EF1E77" w:rsidRDefault="00EF1E77" w:rsidP="00EF1E77">
      <w:pPr>
        <w:spacing w:before="120" w:after="0" w:line="275" w:lineRule="atLeast"/>
        <w:ind w:left="720" w:right="720" w:firstLine="720"/>
        <w:jc w:val="both"/>
        <w:rPr>
          <w:rFonts w:ascii="Calibri" w:eastAsia="Times New Roman" w:hAnsi="Calibri" w:cs="Times New Roman"/>
          <w:color w:val="000000"/>
        </w:rPr>
      </w:pPr>
      <w:r w:rsidRPr="00EF1E77">
        <w:rPr>
          <w:rFonts w:ascii="Arial" w:eastAsia="Times New Roman" w:hAnsi="Arial" w:cs="Arial"/>
          <w:color w:val="000000"/>
          <w:sz w:val="20"/>
          <w:szCs w:val="20"/>
        </w:rPr>
        <w:t> </w:t>
      </w:r>
    </w:p>
    <w:p w:rsidR="00EF1E77" w:rsidRPr="00EF1E77" w:rsidRDefault="00EF1E77" w:rsidP="00EF1E77">
      <w:pPr>
        <w:spacing w:before="120" w:after="0" w:line="275" w:lineRule="atLeast"/>
        <w:ind w:left="720" w:right="720" w:firstLine="720"/>
        <w:jc w:val="both"/>
        <w:rPr>
          <w:rFonts w:ascii="Calibri" w:eastAsia="Times New Roman" w:hAnsi="Calibri" w:cs="Times New Roman"/>
          <w:color w:val="000000"/>
        </w:rPr>
      </w:pPr>
      <w:r w:rsidRPr="00EF1E77">
        <w:rPr>
          <w:rFonts w:ascii="Arial" w:eastAsia="Times New Roman" w:hAnsi="Arial" w:cs="Arial"/>
          <w:color w:val="000000"/>
          <w:sz w:val="20"/>
          <w:szCs w:val="20"/>
        </w:rPr>
        <w:t>The Audit selection guidelines, therefore, would apply to the non-mandatory taxpayers, forming part of the discretionary workload. </w:t>
      </w:r>
      <w:r w:rsidRPr="00EF1E77">
        <w:rPr>
          <w:rFonts w:ascii="Arial" w:eastAsia="Times New Roman" w:hAnsi="Arial" w:cs="Arial"/>
          <w:color w:val="000000"/>
          <w:sz w:val="20"/>
        </w:rPr>
        <w:t> </w:t>
      </w:r>
      <w:r w:rsidRPr="00EF1E77">
        <w:rPr>
          <w:rFonts w:ascii="Arial" w:eastAsia="Times New Roman" w:hAnsi="Arial" w:cs="Arial"/>
          <w:color w:val="000000"/>
          <w:sz w:val="20"/>
          <w:szCs w:val="20"/>
        </w:rPr>
        <w:t>These taxpayers should be selected on the basis of assessment of the risk potential to revenue. </w:t>
      </w:r>
      <w:r w:rsidRPr="00EF1E77">
        <w:rPr>
          <w:rFonts w:ascii="Arial" w:eastAsia="Times New Roman" w:hAnsi="Arial" w:cs="Arial"/>
          <w:color w:val="000000"/>
          <w:sz w:val="20"/>
        </w:rPr>
        <w:t> </w:t>
      </w:r>
      <w:r w:rsidRPr="00EF1E77">
        <w:rPr>
          <w:rFonts w:ascii="Arial" w:eastAsia="Times New Roman" w:hAnsi="Arial" w:cs="Arial"/>
          <w:color w:val="000000"/>
          <w:sz w:val="20"/>
          <w:szCs w:val="20"/>
        </w:rPr>
        <w:t>This process, which is an essential feature of audit selection, is known as Risk Assessment. </w:t>
      </w:r>
      <w:r w:rsidRPr="00EF1E77">
        <w:rPr>
          <w:rFonts w:ascii="Arial" w:eastAsia="Times New Roman" w:hAnsi="Arial" w:cs="Arial"/>
          <w:color w:val="000000"/>
          <w:sz w:val="20"/>
        </w:rPr>
        <w:t> </w:t>
      </w:r>
      <w:r w:rsidRPr="00EF1E77">
        <w:rPr>
          <w:rFonts w:ascii="Arial" w:eastAsia="Times New Roman" w:hAnsi="Arial" w:cs="Arial"/>
          <w:color w:val="000000"/>
          <w:sz w:val="20"/>
          <w:szCs w:val="20"/>
        </w:rPr>
        <w:t>It involves the ranking of taxpayers according to a quantitative indicator of risk known as a “risk parameter”. </w:t>
      </w:r>
      <w:r w:rsidRPr="00EF1E77">
        <w:rPr>
          <w:rFonts w:ascii="Arial" w:eastAsia="Times New Roman" w:hAnsi="Arial" w:cs="Arial"/>
          <w:color w:val="000000"/>
          <w:sz w:val="20"/>
        </w:rPr>
        <w:t> </w:t>
      </w:r>
      <w:r w:rsidRPr="00EF1E77">
        <w:rPr>
          <w:rFonts w:ascii="Arial" w:eastAsia="Times New Roman" w:hAnsi="Arial" w:cs="Arial"/>
          <w:color w:val="000000"/>
          <w:sz w:val="20"/>
          <w:szCs w:val="20"/>
        </w:rPr>
        <w:t>It is also suggested that the taxpayers whose returns were selected for detailed scrutiny, may not be taken up for Audit that year, to avoid duplication of work. </w:t>
      </w:r>
      <w:r w:rsidRPr="00EF1E77">
        <w:rPr>
          <w:rFonts w:ascii="Arial" w:eastAsia="Times New Roman" w:hAnsi="Arial" w:cs="Arial"/>
          <w:color w:val="000000"/>
          <w:sz w:val="20"/>
        </w:rPr>
        <w:t> </w:t>
      </w:r>
      <w:r w:rsidRPr="00EF1E77">
        <w:rPr>
          <w:rFonts w:ascii="Arial" w:eastAsia="Times New Roman" w:hAnsi="Arial" w:cs="Arial"/>
          <w:color w:val="000000"/>
          <w:sz w:val="20"/>
          <w:szCs w:val="20"/>
        </w:rPr>
        <w:t>Similarly, the taxpayers who have been selected for</w:t>
      </w:r>
      <w:r w:rsidRPr="00EF1E77">
        <w:rPr>
          <w:rFonts w:ascii="Arial" w:eastAsia="Times New Roman" w:hAnsi="Arial" w:cs="Arial"/>
          <w:color w:val="000000"/>
          <w:sz w:val="20"/>
        </w:rPr>
        <w:t> </w:t>
      </w:r>
      <w:proofErr w:type="gramStart"/>
      <w:r w:rsidRPr="00EF1E77">
        <w:rPr>
          <w:rFonts w:ascii="Arial" w:eastAsia="Times New Roman" w:hAnsi="Arial" w:cs="Arial"/>
          <w:color w:val="000000"/>
          <w:sz w:val="20"/>
        </w:rPr>
        <w:t>Audit,</w:t>
      </w:r>
      <w:proofErr w:type="gramEnd"/>
      <w:r w:rsidRPr="00EF1E77">
        <w:rPr>
          <w:rFonts w:ascii="Arial" w:eastAsia="Times New Roman" w:hAnsi="Arial" w:cs="Arial"/>
          <w:color w:val="000000"/>
          <w:sz w:val="20"/>
        </w:rPr>
        <w:t> </w:t>
      </w:r>
      <w:r w:rsidRPr="00EF1E77">
        <w:rPr>
          <w:rFonts w:ascii="Arial" w:eastAsia="Times New Roman" w:hAnsi="Arial" w:cs="Arial"/>
          <w:color w:val="000000"/>
          <w:sz w:val="20"/>
          <w:szCs w:val="20"/>
        </w:rPr>
        <w:t>may not be taken up for detailed scrutiny of their ST-3 Returns during that year.</w:t>
      </w:r>
    </w:p>
    <w:p w:rsidR="00EF1E77" w:rsidRPr="00EF1E77" w:rsidRDefault="00EF1E77" w:rsidP="00EF1E77">
      <w:pPr>
        <w:spacing w:after="0" w:line="275" w:lineRule="atLeast"/>
        <w:ind w:left="720" w:right="720" w:firstLine="720"/>
        <w:jc w:val="both"/>
        <w:rPr>
          <w:rFonts w:ascii="Calibri" w:eastAsia="Times New Roman" w:hAnsi="Calibri" w:cs="Times New Roman"/>
          <w:color w:val="000000"/>
        </w:rPr>
      </w:pPr>
      <w:r w:rsidRPr="00EF1E77">
        <w:rPr>
          <w:rFonts w:ascii="Arial" w:eastAsia="Times New Roman" w:hAnsi="Arial" w:cs="Arial"/>
          <w:color w:val="000000"/>
          <w:sz w:val="20"/>
          <w:szCs w:val="20"/>
        </w:rPr>
        <w:t> </w:t>
      </w:r>
    </w:p>
    <w:p w:rsidR="00EF1E77" w:rsidRPr="00EF1E77" w:rsidRDefault="00EF1E77" w:rsidP="00EF1E77">
      <w:pPr>
        <w:spacing w:after="0" w:line="275" w:lineRule="atLeast"/>
        <w:ind w:left="720" w:right="720" w:firstLine="720"/>
        <w:jc w:val="both"/>
        <w:rPr>
          <w:rFonts w:ascii="Calibri" w:eastAsia="Times New Roman" w:hAnsi="Calibri" w:cs="Times New Roman"/>
          <w:color w:val="000000"/>
        </w:rPr>
      </w:pPr>
      <w:r w:rsidRPr="00EF1E77">
        <w:rPr>
          <w:rFonts w:ascii="Arial" w:eastAsia="Times New Roman" w:hAnsi="Arial" w:cs="Arial"/>
          <w:color w:val="000000"/>
          <w:sz w:val="20"/>
          <w:szCs w:val="20"/>
        </w:rPr>
        <w:t>The Service Tax Audit Manual, 2010 is in the process of finalization and publication by D.G. Audit, New Delhi. In the circumstances, till the same is published, the existing instructions on audit shall continue.</w:t>
      </w:r>
    </w:p>
    <w:p w:rsidR="00EF1E77" w:rsidRPr="00EF1E77" w:rsidRDefault="00EF1E77" w:rsidP="00EF1E77">
      <w:pPr>
        <w:spacing w:after="0" w:line="275" w:lineRule="atLeast"/>
        <w:ind w:left="720" w:right="720"/>
        <w:jc w:val="center"/>
        <w:rPr>
          <w:rFonts w:ascii="Calibri" w:eastAsia="Times New Roman" w:hAnsi="Calibri" w:cs="Times New Roman"/>
          <w:color w:val="000000"/>
        </w:rPr>
      </w:pPr>
      <w:r w:rsidRPr="00EF1E77">
        <w:rPr>
          <w:rFonts w:ascii="Arial" w:eastAsia="Times New Roman" w:hAnsi="Arial" w:cs="Arial"/>
          <w:color w:val="000000"/>
          <w:sz w:val="20"/>
          <w:szCs w:val="20"/>
        </w:rPr>
        <w:t>****</w:t>
      </w:r>
    </w:p>
    <w:p w:rsidR="00796C04" w:rsidRDefault="00796C04"/>
    <w:sectPr w:rsidR="00796C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EF1E77"/>
    <w:rsid w:val="00796C04"/>
    <w:rsid w:val="00EF1E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F1E77"/>
  </w:style>
  <w:style w:type="character" w:customStyle="1" w:styleId="spelle">
    <w:name w:val="spelle"/>
    <w:basedOn w:val="DefaultParagraphFont"/>
    <w:rsid w:val="00EF1E77"/>
  </w:style>
  <w:style w:type="paragraph" w:styleId="ListParagraph">
    <w:name w:val="List Paragraph"/>
    <w:basedOn w:val="Normal"/>
    <w:uiPriority w:val="34"/>
    <w:qFormat/>
    <w:rsid w:val="00EF1E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rame">
    <w:name w:val="grame"/>
    <w:basedOn w:val="DefaultParagraphFont"/>
    <w:rsid w:val="00EF1E77"/>
  </w:style>
</w:styles>
</file>

<file path=word/webSettings.xml><?xml version="1.0" encoding="utf-8"?>
<w:webSettings xmlns:r="http://schemas.openxmlformats.org/officeDocument/2006/relationships" xmlns:w="http://schemas.openxmlformats.org/wordprocessingml/2006/main">
  <w:divs>
    <w:div w:id="121511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1747</Characters>
  <Application>Microsoft Office Word</Application>
  <DocSecurity>0</DocSecurity>
  <Lines>14</Lines>
  <Paragraphs>4</Paragraphs>
  <ScaleCrop>false</ScaleCrop>
  <Company/>
  <LinksUpToDate>false</LinksUpToDate>
  <CharactersWithSpaces>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2012-06-18T11:12:00Z</dcterms:created>
  <dcterms:modified xsi:type="dcterms:W3CDTF">2012-06-18T11:12:00Z</dcterms:modified>
</cp:coreProperties>
</file>