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155" w:type="pct"/>
        <w:tblInd w:w="856" w:type="dxa"/>
        <w:tblCellMar>
          <w:left w:w="0" w:type="dxa"/>
          <w:right w:w="0" w:type="dxa"/>
        </w:tblCellMar>
        <w:tblLook w:val="0000"/>
      </w:tblPr>
      <w:tblGrid>
        <w:gridCol w:w="8773"/>
      </w:tblGrid>
      <w:tr w:rsidR="00B5412A" w:rsidRPr="00B5412A" w:rsidTr="00B5412A">
        <w:trPr>
          <w:trHeight w:val="524"/>
        </w:trPr>
        <w:tc>
          <w:tcPr>
            <w:tcW w:w="5000" w:type="pct"/>
            <w:tcBorders>
              <w:top w:val="outset" w:sz="8" w:space="0" w:color="00CCFF"/>
              <w:left w:val="outset" w:sz="8" w:space="0" w:color="00CCFF"/>
              <w:bottom w:val="outset" w:sz="8" w:space="0" w:color="00CCFF"/>
              <w:right w:val="outset" w:sz="8" w:space="0" w:color="00CCFF"/>
            </w:tcBorders>
            <w:shd w:val="clear" w:color="auto" w:fill="006699"/>
            <w:tcMar>
              <w:top w:w="45" w:type="dxa"/>
              <w:left w:w="45" w:type="dxa"/>
              <w:bottom w:w="45" w:type="dxa"/>
              <w:right w:w="45" w:type="dxa"/>
            </w:tcMar>
            <w:vAlign w:val="center"/>
          </w:tcPr>
          <w:p w:rsidR="00B5412A" w:rsidRPr="00B5412A" w:rsidRDefault="00B5412A" w:rsidP="00B5412A">
            <w:pPr>
              <w:ind w:left="75" w:right="1125"/>
              <w:jc w:val="center"/>
              <w:rPr>
                <w:rFonts w:asciiTheme="majorHAnsi" w:hAnsiTheme="majorHAnsi"/>
                <w:sz w:val="22"/>
                <w:szCs w:val="22"/>
              </w:rPr>
            </w:pPr>
            <w:r w:rsidRPr="00B5412A">
              <w:rPr>
                <w:rFonts w:asciiTheme="majorHAnsi" w:hAnsiTheme="majorHAnsi"/>
                <w:b/>
                <w:bCs/>
                <w:color w:val="FFFFFF"/>
                <w:sz w:val="48"/>
                <w:szCs w:val="22"/>
              </w:rPr>
              <w:t>1. Levy of service tax</w:t>
            </w:r>
          </w:p>
        </w:tc>
      </w:tr>
    </w:tbl>
    <w:p w:rsidR="00B5412A" w:rsidRPr="00B5412A" w:rsidRDefault="00B5412A" w:rsidP="00B5412A">
      <w:pPr>
        <w:ind w:left="720" w:right="1125"/>
        <w:jc w:val="both"/>
        <w:rPr>
          <w:rFonts w:asciiTheme="majorHAnsi" w:hAnsiTheme="majorHAnsi"/>
          <w:color w:val="000000"/>
          <w:sz w:val="22"/>
          <w:szCs w:val="22"/>
        </w:rPr>
      </w:pPr>
      <w:r w:rsidRPr="00B5412A">
        <w:rPr>
          <w:rFonts w:asciiTheme="majorHAnsi" w:hAnsiTheme="majorHAnsi"/>
          <w:color w:val="000000"/>
          <w:sz w:val="22"/>
          <w:szCs w:val="22"/>
        </w:rPr>
        <w:t> </w:t>
      </w:r>
    </w:p>
    <w:p w:rsidR="00B5412A" w:rsidRPr="00B5412A" w:rsidRDefault="00B5412A" w:rsidP="00B5412A">
      <w:pPr>
        <w:ind w:left="720" w:right="1125"/>
        <w:jc w:val="both"/>
        <w:rPr>
          <w:rFonts w:asciiTheme="majorHAnsi" w:hAnsiTheme="majorHAnsi"/>
          <w:color w:val="000000"/>
          <w:sz w:val="22"/>
          <w:szCs w:val="22"/>
        </w:rPr>
      </w:pPr>
      <w:r w:rsidRPr="00B5412A">
        <w:rPr>
          <w:rFonts w:asciiTheme="majorHAnsi" w:hAnsiTheme="majorHAnsi"/>
          <w:b/>
          <w:bCs/>
          <w:color w:val="000000"/>
          <w:sz w:val="22"/>
          <w:szCs w:val="22"/>
        </w:rPr>
        <w:t>1.1</w:t>
      </w:r>
      <w:r w:rsidRPr="00B5412A">
        <w:rPr>
          <w:rFonts w:asciiTheme="majorHAnsi" w:hAnsiTheme="majorHAnsi"/>
          <w:color w:val="000000"/>
          <w:sz w:val="22"/>
          <w:szCs w:val="22"/>
        </w:rPr>
        <w:t>     As on 1</w:t>
      </w:r>
      <w:r w:rsidRPr="00B5412A">
        <w:rPr>
          <w:rFonts w:asciiTheme="majorHAnsi" w:hAnsiTheme="majorHAnsi"/>
          <w:color w:val="000000"/>
          <w:sz w:val="22"/>
          <w:szCs w:val="22"/>
          <w:vertAlign w:val="superscript"/>
        </w:rPr>
        <w:t>st</w:t>
      </w:r>
      <w:r w:rsidRPr="00B5412A">
        <w:rPr>
          <w:rStyle w:val="apple-converted-space"/>
          <w:rFonts w:asciiTheme="majorHAnsi" w:hAnsiTheme="majorHAnsi"/>
          <w:color w:val="000000"/>
          <w:sz w:val="22"/>
          <w:szCs w:val="22"/>
        </w:rPr>
        <w:t> </w:t>
      </w:r>
      <w:r w:rsidRPr="00B5412A">
        <w:rPr>
          <w:rFonts w:asciiTheme="majorHAnsi" w:hAnsiTheme="majorHAnsi"/>
          <w:color w:val="000000"/>
          <w:sz w:val="22"/>
          <w:szCs w:val="22"/>
        </w:rPr>
        <w:t>May, 2011, 119 services are</w:t>
      </w:r>
      <w:r w:rsidRPr="00B5412A">
        <w:rPr>
          <w:rStyle w:val="apple-converted-space"/>
          <w:rFonts w:asciiTheme="majorHAnsi" w:hAnsiTheme="majorHAnsi"/>
          <w:color w:val="000000"/>
          <w:sz w:val="22"/>
          <w:szCs w:val="22"/>
        </w:rPr>
        <w:t> </w:t>
      </w:r>
      <w:r w:rsidRPr="00B5412A">
        <w:rPr>
          <w:rFonts w:asciiTheme="majorHAnsi" w:hAnsiTheme="majorHAnsi"/>
          <w:b/>
          <w:bCs/>
          <w:color w:val="000000"/>
          <w:sz w:val="22"/>
          <w:szCs w:val="22"/>
        </w:rPr>
        <w:t>taxable services</w:t>
      </w:r>
      <w:r w:rsidRPr="00B5412A">
        <w:rPr>
          <w:rStyle w:val="apple-converted-space"/>
          <w:rFonts w:asciiTheme="majorHAnsi" w:hAnsiTheme="majorHAnsi"/>
          <w:color w:val="000000"/>
          <w:sz w:val="22"/>
          <w:szCs w:val="22"/>
        </w:rPr>
        <w:t> </w:t>
      </w:r>
      <w:r w:rsidRPr="00B5412A">
        <w:rPr>
          <w:rFonts w:asciiTheme="majorHAnsi" w:hAnsiTheme="majorHAnsi"/>
          <w:color w:val="000000"/>
          <w:sz w:val="22"/>
          <w:szCs w:val="22"/>
        </w:rPr>
        <w:t>in India. These taxable services are specified in Section 65(105) of the Finance Act,1994.  Section 64 of the Finance Act, 1994, extends the levy of service tax to the whole of India, except the State of Jammu &amp; Kashmir.</w:t>
      </w:r>
    </w:p>
    <w:p w:rsidR="00B5412A" w:rsidRPr="00B5412A" w:rsidRDefault="00B5412A" w:rsidP="00B5412A">
      <w:pPr>
        <w:ind w:left="720" w:right="1125"/>
        <w:jc w:val="both"/>
        <w:rPr>
          <w:rFonts w:asciiTheme="majorHAnsi" w:hAnsiTheme="majorHAnsi"/>
          <w:color w:val="000000"/>
          <w:sz w:val="22"/>
          <w:szCs w:val="22"/>
        </w:rPr>
      </w:pPr>
      <w:r w:rsidRPr="00B5412A">
        <w:rPr>
          <w:rFonts w:asciiTheme="majorHAnsi" w:hAnsiTheme="majorHAnsi"/>
          <w:color w:val="000000"/>
          <w:sz w:val="22"/>
          <w:szCs w:val="22"/>
        </w:rPr>
        <w:t> </w:t>
      </w:r>
    </w:p>
    <w:p w:rsidR="00B5412A" w:rsidRPr="00B5412A" w:rsidRDefault="00B5412A" w:rsidP="00B5412A">
      <w:pPr>
        <w:ind w:left="720" w:right="1125"/>
        <w:jc w:val="both"/>
        <w:rPr>
          <w:rFonts w:asciiTheme="majorHAnsi" w:hAnsiTheme="majorHAnsi"/>
          <w:color w:val="000000"/>
          <w:sz w:val="22"/>
          <w:szCs w:val="22"/>
        </w:rPr>
      </w:pPr>
      <w:r w:rsidRPr="00B5412A">
        <w:rPr>
          <w:rFonts w:asciiTheme="majorHAnsi" w:hAnsiTheme="majorHAnsi"/>
          <w:color w:val="000000"/>
          <w:sz w:val="22"/>
          <w:szCs w:val="22"/>
        </w:rPr>
        <w:t>         </w:t>
      </w:r>
      <w:r w:rsidRPr="00B5412A">
        <w:rPr>
          <w:rStyle w:val="apple-converted-space"/>
          <w:rFonts w:asciiTheme="majorHAnsi" w:hAnsiTheme="majorHAnsi"/>
          <w:color w:val="000000"/>
          <w:sz w:val="22"/>
          <w:szCs w:val="22"/>
        </w:rPr>
        <w:t> </w:t>
      </w:r>
      <w:r w:rsidRPr="00B5412A">
        <w:rPr>
          <w:rFonts w:asciiTheme="majorHAnsi" w:hAnsiTheme="majorHAnsi"/>
          <w:color w:val="000000"/>
          <w:sz w:val="22"/>
          <w:szCs w:val="22"/>
        </w:rPr>
        <w:t>Generally, the liability to pay service tax has been placed on the</w:t>
      </w:r>
      <w:r w:rsidRPr="00B5412A">
        <w:rPr>
          <w:rStyle w:val="apple-converted-space"/>
          <w:rFonts w:asciiTheme="majorHAnsi" w:hAnsiTheme="majorHAnsi"/>
          <w:color w:val="000000"/>
          <w:sz w:val="22"/>
          <w:szCs w:val="22"/>
        </w:rPr>
        <w:t> </w:t>
      </w:r>
      <w:r w:rsidRPr="00B5412A">
        <w:rPr>
          <w:rFonts w:asciiTheme="majorHAnsi" w:hAnsiTheme="majorHAnsi"/>
          <w:b/>
          <w:bCs/>
          <w:color w:val="000000"/>
          <w:sz w:val="22"/>
          <w:szCs w:val="22"/>
        </w:rPr>
        <w:t>‘service provider’. However, in respect of the taxable services notified under Sec.68(2) of the Finance Act,1994, the service tax shall be paid by such person and in such manner as may be prescribed at the rate specified in Sec.66 of the Act and all the provisions of Chapter-V shall apply to such person as if he is the person liable for paying the service tax.</w:t>
      </w:r>
    </w:p>
    <w:p w:rsidR="00B5412A" w:rsidRPr="00B5412A" w:rsidRDefault="00B5412A" w:rsidP="00B5412A">
      <w:pPr>
        <w:ind w:left="720" w:right="1125"/>
        <w:jc w:val="both"/>
        <w:rPr>
          <w:rFonts w:asciiTheme="majorHAnsi" w:hAnsiTheme="majorHAnsi"/>
          <w:color w:val="000000"/>
          <w:sz w:val="22"/>
          <w:szCs w:val="22"/>
        </w:rPr>
      </w:pPr>
      <w:r w:rsidRPr="00B5412A">
        <w:rPr>
          <w:rFonts w:asciiTheme="majorHAnsi" w:hAnsiTheme="majorHAnsi"/>
          <w:b/>
          <w:bCs/>
          <w:color w:val="000000"/>
          <w:sz w:val="22"/>
          <w:szCs w:val="22"/>
        </w:rPr>
        <w:t>The following services have been notified under Sec.68(2) of Finance Act,1994:</w:t>
      </w:r>
    </w:p>
    <w:p w:rsidR="00B5412A" w:rsidRPr="00B5412A" w:rsidRDefault="00B5412A" w:rsidP="00B5412A">
      <w:pPr>
        <w:ind w:left="720" w:right="1125"/>
        <w:jc w:val="both"/>
        <w:rPr>
          <w:rFonts w:asciiTheme="majorHAnsi" w:hAnsiTheme="majorHAnsi"/>
          <w:color w:val="000000"/>
          <w:sz w:val="22"/>
          <w:szCs w:val="22"/>
        </w:rPr>
      </w:pPr>
      <w:r w:rsidRPr="00B5412A">
        <w:rPr>
          <w:rFonts w:asciiTheme="majorHAnsi" w:hAnsiTheme="majorHAnsi"/>
          <w:b/>
          <w:bCs/>
          <w:color w:val="000000"/>
          <w:sz w:val="22"/>
          <w:szCs w:val="22"/>
        </w:rPr>
        <w:t> </w:t>
      </w:r>
    </w:p>
    <w:p w:rsidR="00B5412A" w:rsidRPr="00B5412A" w:rsidRDefault="00B5412A" w:rsidP="00B5412A">
      <w:pPr>
        <w:ind w:left="720" w:right="1125"/>
        <w:jc w:val="both"/>
        <w:rPr>
          <w:rFonts w:asciiTheme="majorHAnsi" w:hAnsiTheme="majorHAnsi"/>
          <w:color w:val="000000"/>
          <w:sz w:val="22"/>
          <w:szCs w:val="22"/>
        </w:rPr>
      </w:pPr>
      <w:r w:rsidRPr="00B5412A">
        <w:rPr>
          <w:rFonts w:asciiTheme="majorHAnsi" w:hAnsiTheme="majorHAnsi"/>
          <w:b/>
          <w:bCs/>
          <w:color w:val="000000"/>
          <w:sz w:val="22"/>
          <w:szCs w:val="22"/>
        </w:rPr>
        <w:t>A. the services,-</w:t>
      </w:r>
    </w:p>
    <w:p w:rsidR="00B5412A" w:rsidRPr="00265DE4" w:rsidRDefault="00B5412A" w:rsidP="00B5412A">
      <w:pPr>
        <w:ind w:left="1440" w:right="1125" w:hanging="720"/>
        <w:rPr>
          <w:rFonts w:asciiTheme="majorHAnsi" w:hAnsiTheme="majorHAnsi"/>
          <w:b/>
          <w:color w:val="000000"/>
          <w:sz w:val="22"/>
          <w:szCs w:val="22"/>
        </w:rPr>
      </w:pPr>
      <w:r w:rsidRPr="00B5412A">
        <w:rPr>
          <w:rFonts w:asciiTheme="majorHAnsi" w:hAnsiTheme="majorHAnsi"/>
          <w:color w:val="000000"/>
          <w:sz w:val="22"/>
          <w:szCs w:val="22"/>
        </w:rPr>
        <w:t>(i</w:t>
      </w:r>
      <w:r w:rsidRPr="00265DE4">
        <w:rPr>
          <w:rFonts w:asciiTheme="majorHAnsi" w:hAnsiTheme="majorHAnsi"/>
          <w:b/>
          <w:color w:val="000000"/>
          <w:sz w:val="22"/>
          <w:szCs w:val="22"/>
        </w:rPr>
        <w:t>)        </w:t>
      </w:r>
      <w:r w:rsidRPr="00265DE4">
        <w:rPr>
          <w:rStyle w:val="apple-converted-space"/>
          <w:rFonts w:asciiTheme="majorHAnsi" w:hAnsiTheme="majorHAnsi"/>
          <w:b/>
          <w:color w:val="000000"/>
          <w:sz w:val="22"/>
          <w:szCs w:val="22"/>
        </w:rPr>
        <w:t> </w:t>
      </w:r>
      <w:r w:rsidRPr="00265DE4">
        <w:rPr>
          <w:rFonts w:asciiTheme="majorHAnsi" w:hAnsiTheme="majorHAnsi"/>
          <w:b/>
          <w:color w:val="000000"/>
          <w:sz w:val="22"/>
          <w:szCs w:val="22"/>
        </w:rPr>
        <w:t>in relation to</w:t>
      </w:r>
      <w:r w:rsidRPr="00265DE4">
        <w:rPr>
          <w:rStyle w:val="apple-converted-space"/>
          <w:rFonts w:asciiTheme="majorHAnsi" w:hAnsiTheme="majorHAnsi"/>
          <w:b/>
          <w:color w:val="000000"/>
          <w:sz w:val="22"/>
          <w:szCs w:val="22"/>
        </w:rPr>
        <w:t> </w:t>
      </w:r>
      <w:r w:rsidRPr="00265DE4">
        <w:rPr>
          <w:rFonts w:asciiTheme="majorHAnsi" w:hAnsiTheme="majorHAnsi"/>
          <w:b/>
          <w:color w:val="000000"/>
          <w:sz w:val="22"/>
          <w:szCs w:val="22"/>
        </w:rPr>
        <w:t>telecommunication service;</w:t>
      </w:r>
    </w:p>
    <w:p w:rsidR="00B5412A" w:rsidRPr="00B5412A" w:rsidRDefault="00B5412A" w:rsidP="00B5412A">
      <w:pPr>
        <w:ind w:left="1440" w:right="1125"/>
        <w:rPr>
          <w:rFonts w:asciiTheme="majorHAnsi" w:hAnsiTheme="majorHAnsi"/>
          <w:color w:val="000000"/>
          <w:sz w:val="22"/>
          <w:szCs w:val="22"/>
        </w:rPr>
      </w:pPr>
      <w:r w:rsidRPr="00B5412A">
        <w:rPr>
          <w:rFonts w:asciiTheme="majorHAnsi" w:hAnsiTheme="majorHAnsi"/>
          <w:color w:val="000000"/>
          <w:sz w:val="22"/>
          <w:szCs w:val="22"/>
        </w:rPr>
        <w:t> </w:t>
      </w:r>
    </w:p>
    <w:p w:rsidR="00B5412A" w:rsidRPr="00265DE4" w:rsidRDefault="00B5412A" w:rsidP="00B5412A">
      <w:pPr>
        <w:ind w:left="1440" w:right="1125" w:hanging="720"/>
        <w:rPr>
          <w:rFonts w:asciiTheme="majorHAnsi" w:hAnsiTheme="majorHAnsi"/>
          <w:b/>
          <w:color w:val="000000"/>
          <w:sz w:val="22"/>
          <w:szCs w:val="22"/>
        </w:rPr>
      </w:pPr>
      <w:r w:rsidRPr="00B5412A">
        <w:rPr>
          <w:rFonts w:asciiTheme="majorHAnsi" w:hAnsiTheme="majorHAnsi"/>
          <w:color w:val="000000"/>
          <w:sz w:val="22"/>
          <w:szCs w:val="22"/>
        </w:rPr>
        <w:t>(ii)       </w:t>
      </w:r>
      <w:r w:rsidRPr="00B5412A">
        <w:rPr>
          <w:rStyle w:val="apple-converted-space"/>
          <w:rFonts w:asciiTheme="majorHAnsi" w:hAnsiTheme="majorHAnsi"/>
          <w:color w:val="000000"/>
          <w:sz w:val="22"/>
          <w:szCs w:val="22"/>
        </w:rPr>
        <w:t> </w:t>
      </w:r>
      <w:r w:rsidRPr="00265DE4">
        <w:rPr>
          <w:rFonts w:asciiTheme="majorHAnsi" w:hAnsiTheme="majorHAnsi"/>
          <w:b/>
          <w:color w:val="000000"/>
          <w:sz w:val="22"/>
          <w:szCs w:val="22"/>
        </w:rPr>
        <w:t>in relation to general insurance business;</w:t>
      </w:r>
    </w:p>
    <w:p w:rsidR="00B5412A" w:rsidRPr="00B5412A" w:rsidRDefault="00B5412A" w:rsidP="00B5412A">
      <w:pPr>
        <w:ind w:left="1440" w:right="1125"/>
        <w:rPr>
          <w:rFonts w:asciiTheme="majorHAnsi" w:hAnsiTheme="majorHAnsi"/>
          <w:color w:val="000000"/>
          <w:sz w:val="22"/>
          <w:szCs w:val="22"/>
        </w:rPr>
      </w:pPr>
      <w:r w:rsidRPr="00B5412A">
        <w:rPr>
          <w:rFonts w:asciiTheme="majorHAnsi" w:hAnsiTheme="majorHAnsi"/>
          <w:color w:val="000000"/>
          <w:sz w:val="22"/>
          <w:szCs w:val="22"/>
        </w:rPr>
        <w:t> </w:t>
      </w:r>
    </w:p>
    <w:p w:rsidR="00B5412A" w:rsidRPr="00265DE4" w:rsidRDefault="00B5412A" w:rsidP="00B5412A">
      <w:pPr>
        <w:ind w:left="1440" w:right="1125" w:hanging="720"/>
        <w:rPr>
          <w:rFonts w:asciiTheme="majorHAnsi" w:hAnsiTheme="majorHAnsi"/>
          <w:b/>
          <w:color w:val="000000"/>
          <w:sz w:val="22"/>
          <w:szCs w:val="22"/>
        </w:rPr>
      </w:pPr>
      <w:r w:rsidRPr="00265DE4">
        <w:rPr>
          <w:rFonts w:asciiTheme="majorHAnsi" w:hAnsiTheme="majorHAnsi"/>
          <w:b/>
          <w:color w:val="000000"/>
          <w:sz w:val="22"/>
          <w:szCs w:val="22"/>
        </w:rPr>
        <w:t>(iii)      </w:t>
      </w:r>
      <w:r w:rsidRPr="00265DE4">
        <w:rPr>
          <w:rStyle w:val="apple-converted-space"/>
          <w:rFonts w:asciiTheme="majorHAnsi" w:hAnsiTheme="majorHAnsi"/>
          <w:b/>
          <w:color w:val="000000"/>
          <w:sz w:val="22"/>
          <w:szCs w:val="22"/>
        </w:rPr>
        <w:t> </w:t>
      </w:r>
      <w:r w:rsidRPr="00265DE4">
        <w:rPr>
          <w:rFonts w:asciiTheme="majorHAnsi" w:hAnsiTheme="majorHAnsi"/>
          <w:b/>
          <w:color w:val="000000"/>
          <w:sz w:val="22"/>
          <w:szCs w:val="22"/>
        </w:rPr>
        <w:t>in relation to insurance auxiliary service by an insurance agent; and</w:t>
      </w:r>
    </w:p>
    <w:p w:rsidR="00B5412A" w:rsidRPr="00B5412A" w:rsidRDefault="00B5412A" w:rsidP="00B5412A">
      <w:pPr>
        <w:ind w:left="1440" w:right="1125"/>
        <w:rPr>
          <w:rFonts w:asciiTheme="majorHAnsi" w:hAnsiTheme="majorHAnsi"/>
          <w:color w:val="000000"/>
          <w:sz w:val="22"/>
          <w:szCs w:val="22"/>
        </w:rPr>
      </w:pPr>
      <w:r w:rsidRPr="00B5412A">
        <w:rPr>
          <w:rFonts w:asciiTheme="majorHAnsi" w:hAnsiTheme="majorHAnsi"/>
          <w:color w:val="000000"/>
          <w:sz w:val="22"/>
          <w:szCs w:val="22"/>
        </w:rPr>
        <w:t> </w:t>
      </w:r>
    </w:p>
    <w:p w:rsidR="00B5412A" w:rsidRPr="00265DE4" w:rsidRDefault="00B5412A" w:rsidP="00B5412A">
      <w:pPr>
        <w:ind w:left="1440" w:right="1125" w:hanging="720"/>
        <w:rPr>
          <w:rFonts w:asciiTheme="majorHAnsi" w:hAnsiTheme="majorHAnsi"/>
          <w:b/>
          <w:color w:val="000000"/>
          <w:sz w:val="22"/>
          <w:szCs w:val="22"/>
        </w:rPr>
      </w:pPr>
      <w:r w:rsidRPr="00265DE4">
        <w:rPr>
          <w:rFonts w:asciiTheme="majorHAnsi" w:hAnsiTheme="majorHAnsi"/>
          <w:b/>
          <w:color w:val="000000"/>
          <w:sz w:val="22"/>
          <w:szCs w:val="22"/>
        </w:rPr>
        <w:t>(iv)     </w:t>
      </w:r>
      <w:r w:rsidRPr="00265DE4">
        <w:rPr>
          <w:rStyle w:val="apple-converted-space"/>
          <w:rFonts w:asciiTheme="majorHAnsi" w:hAnsiTheme="majorHAnsi"/>
          <w:b/>
          <w:color w:val="000000"/>
          <w:sz w:val="22"/>
          <w:szCs w:val="22"/>
        </w:rPr>
        <w:t> </w:t>
      </w:r>
      <w:r w:rsidRPr="00265DE4">
        <w:rPr>
          <w:rFonts w:asciiTheme="majorHAnsi" w:hAnsiTheme="majorHAnsi"/>
          <w:b/>
          <w:color w:val="000000"/>
          <w:sz w:val="22"/>
          <w:szCs w:val="22"/>
        </w:rPr>
        <w:t>in relation to transport of goods by road in a goods carriage, where the consignor or consignee of goods-</w:t>
      </w:r>
    </w:p>
    <w:p w:rsidR="00B5412A" w:rsidRPr="00265DE4" w:rsidRDefault="00B5412A" w:rsidP="00B5412A">
      <w:pPr>
        <w:ind w:left="720" w:right="1125"/>
        <w:rPr>
          <w:rFonts w:asciiTheme="majorHAnsi" w:hAnsiTheme="majorHAnsi"/>
          <w:b/>
          <w:color w:val="000000"/>
          <w:sz w:val="22"/>
          <w:szCs w:val="22"/>
        </w:rPr>
      </w:pPr>
      <w:r w:rsidRPr="00265DE4">
        <w:rPr>
          <w:rFonts w:asciiTheme="majorHAnsi" w:hAnsiTheme="majorHAnsi"/>
          <w:b/>
          <w:color w:val="000000"/>
          <w:sz w:val="22"/>
          <w:szCs w:val="22"/>
        </w:rPr>
        <w:t> </w:t>
      </w:r>
    </w:p>
    <w:p w:rsidR="00B5412A" w:rsidRPr="00265DE4" w:rsidRDefault="00B5412A" w:rsidP="00B5412A">
      <w:pPr>
        <w:ind w:left="1440" w:right="1125" w:hanging="720"/>
        <w:rPr>
          <w:rFonts w:asciiTheme="majorHAnsi" w:hAnsiTheme="majorHAnsi"/>
          <w:b/>
          <w:color w:val="000000"/>
          <w:sz w:val="22"/>
          <w:szCs w:val="22"/>
        </w:rPr>
      </w:pPr>
      <w:r w:rsidRPr="00265DE4">
        <w:rPr>
          <w:rFonts w:asciiTheme="majorHAnsi" w:hAnsiTheme="majorHAnsi"/>
          <w:b/>
          <w:color w:val="000000"/>
          <w:sz w:val="22"/>
          <w:szCs w:val="22"/>
        </w:rPr>
        <w:t>(v)      </w:t>
      </w:r>
      <w:r w:rsidRPr="00265DE4">
        <w:rPr>
          <w:rStyle w:val="apple-converted-space"/>
          <w:rFonts w:asciiTheme="majorHAnsi" w:hAnsiTheme="majorHAnsi"/>
          <w:b/>
          <w:color w:val="000000"/>
          <w:sz w:val="22"/>
          <w:szCs w:val="22"/>
        </w:rPr>
        <w:t> </w:t>
      </w:r>
      <w:r w:rsidRPr="00265DE4">
        <w:rPr>
          <w:rFonts w:asciiTheme="majorHAnsi" w:hAnsiTheme="majorHAnsi"/>
          <w:b/>
          <w:color w:val="000000"/>
          <w:sz w:val="22"/>
          <w:szCs w:val="22"/>
        </w:rPr>
        <w:t>In relation to Business Auxiliary Service of distribution of mutual fund by a mutual fund distributer or an agent, as the case may be;</w:t>
      </w:r>
    </w:p>
    <w:p w:rsidR="00B5412A" w:rsidRPr="00B5412A" w:rsidRDefault="00B5412A" w:rsidP="00B5412A">
      <w:pPr>
        <w:ind w:left="1440" w:right="1125"/>
        <w:rPr>
          <w:rFonts w:asciiTheme="majorHAnsi" w:hAnsiTheme="majorHAnsi"/>
          <w:color w:val="000000"/>
          <w:sz w:val="22"/>
          <w:szCs w:val="22"/>
        </w:rPr>
      </w:pPr>
      <w:r w:rsidRPr="00B5412A">
        <w:rPr>
          <w:rFonts w:asciiTheme="majorHAnsi" w:hAnsiTheme="majorHAnsi"/>
          <w:color w:val="000000"/>
          <w:sz w:val="22"/>
          <w:szCs w:val="22"/>
        </w:rPr>
        <w:t> </w:t>
      </w:r>
    </w:p>
    <w:p w:rsidR="00B5412A" w:rsidRPr="00265DE4" w:rsidRDefault="00B5412A" w:rsidP="00B5412A">
      <w:pPr>
        <w:spacing w:line="330" w:lineRule="atLeast"/>
        <w:ind w:left="1440" w:right="1125" w:hanging="720"/>
        <w:rPr>
          <w:rFonts w:asciiTheme="majorHAnsi" w:hAnsiTheme="majorHAnsi"/>
          <w:b/>
          <w:color w:val="000000"/>
          <w:sz w:val="22"/>
          <w:szCs w:val="22"/>
        </w:rPr>
      </w:pPr>
      <w:r w:rsidRPr="00265DE4">
        <w:rPr>
          <w:rFonts w:asciiTheme="majorHAnsi" w:hAnsiTheme="majorHAnsi"/>
          <w:b/>
          <w:color w:val="000000"/>
          <w:sz w:val="22"/>
          <w:szCs w:val="22"/>
        </w:rPr>
        <w:t>(vi)     </w:t>
      </w:r>
      <w:r w:rsidRPr="00265DE4">
        <w:rPr>
          <w:rStyle w:val="apple-converted-space"/>
          <w:rFonts w:asciiTheme="majorHAnsi" w:hAnsiTheme="majorHAnsi"/>
          <w:b/>
          <w:color w:val="000000"/>
          <w:sz w:val="22"/>
          <w:szCs w:val="22"/>
        </w:rPr>
        <w:t> </w:t>
      </w:r>
      <w:r w:rsidRPr="00265DE4">
        <w:rPr>
          <w:rFonts w:asciiTheme="majorHAnsi" w:hAnsiTheme="majorHAnsi"/>
          <w:b/>
          <w:color w:val="000000"/>
          <w:sz w:val="22"/>
          <w:szCs w:val="22"/>
        </w:rPr>
        <w:t xml:space="preserve">in relation to sponsorship service provided to </w:t>
      </w:r>
      <w:r w:rsidR="000278A5" w:rsidRPr="00265DE4">
        <w:rPr>
          <w:rFonts w:asciiTheme="majorHAnsi" w:hAnsiTheme="majorHAnsi"/>
          <w:b/>
          <w:color w:val="000000"/>
          <w:sz w:val="22"/>
          <w:szCs w:val="22"/>
        </w:rPr>
        <w:t>anybody</w:t>
      </w:r>
      <w:r w:rsidRPr="00265DE4">
        <w:rPr>
          <w:rFonts w:asciiTheme="majorHAnsi" w:hAnsiTheme="majorHAnsi"/>
          <w:b/>
          <w:color w:val="000000"/>
          <w:sz w:val="22"/>
          <w:szCs w:val="22"/>
        </w:rPr>
        <w:t xml:space="preserve"> corporate or firm located in India;</w:t>
      </w:r>
    </w:p>
    <w:p w:rsidR="00265DE4" w:rsidRDefault="00265DE4" w:rsidP="00B5412A">
      <w:pPr>
        <w:ind w:left="720" w:right="1125"/>
        <w:jc w:val="both"/>
        <w:rPr>
          <w:rFonts w:asciiTheme="majorHAnsi" w:hAnsiTheme="majorHAnsi"/>
          <w:b/>
          <w:bCs/>
          <w:color w:val="000000"/>
          <w:sz w:val="22"/>
          <w:szCs w:val="22"/>
        </w:rPr>
      </w:pPr>
    </w:p>
    <w:p w:rsidR="00B5412A" w:rsidRPr="00B5412A" w:rsidRDefault="00B5412A" w:rsidP="00B5412A">
      <w:pPr>
        <w:ind w:left="720" w:right="1125"/>
        <w:jc w:val="both"/>
        <w:rPr>
          <w:rFonts w:asciiTheme="majorHAnsi" w:hAnsiTheme="majorHAnsi"/>
          <w:color w:val="000000"/>
          <w:sz w:val="22"/>
          <w:szCs w:val="22"/>
        </w:rPr>
      </w:pPr>
      <w:r w:rsidRPr="00B5412A">
        <w:rPr>
          <w:rFonts w:asciiTheme="majorHAnsi" w:hAnsiTheme="majorHAnsi"/>
          <w:b/>
          <w:bCs/>
          <w:color w:val="000000"/>
          <w:sz w:val="22"/>
          <w:szCs w:val="22"/>
        </w:rPr>
        <w:t> </w:t>
      </w:r>
    </w:p>
    <w:p w:rsidR="00B5412A" w:rsidRPr="00B5412A" w:rsidRDefault="00B5412A" w:rsidP="00B5412A">
      <w:pPr>
        <w:ind w:left="720" w:right="1125"/>
        <w:jc w:val="both"/>
        <w:rPr>
          <w:rFonts w:asciiTheme="majorHAnsi" w:hAnsiTheme="majorHAnsi"/>
          <w:color w:val="000000"/>
          <w:sz w:val="22"/>
          <w:szCs w:val="22"/>
        </w:rPr>
      </w:pPr>
      <w:r w:rsidRPr="00265DE4">
        <w:rPr>
          <w:rFonts w:asciiTheme="majorHAnsi" w:hAnsiTheme="majorHAnsi"/>
          <w:b/>
          <w:bCs/>
          <w:color w:val="000000"/>
          <w:sz w:val="22"/>
          <w:szCs w:val="22"/>
          <w:u w:val="single"/>
        </w:rPr>
        <w:t> In the following situations, the liability to pay service tax is as follows</w:t>
      </w:r>
      <w:r w:rsidRPr="00B5412A">
        <w:rPr>
          <w:rFonts w:asciiTheme="majorHAnsi" w:hAnsiTheme="majorHAnsi"/>
          <w:b/>
          <w:bCs/>
          <w:color w:val="000000"/>
          <w:sz w:val="22"/>
          <w:szCs w:val="22"/>
        </w:rPr>
        <w:t xml:space="preserve"> :</w:t>
      </w:r>
    </w:p>
    <w:p w:rsidR="00B5412A" w:rsidRPr="00B5412A" w:rsidRDefault="00B5412A" w:rsidP="00B5412A">
      <w:pPr>
        <w:ind w:left="720" w:right="1125"/>
        <w:jc w:val="both"/>
        <w:rPr>
          <w:rFonts w:asciiTheme="majorHAnsi" w:hAnsiTheme="majorHAnsi"/>
          <w:color w:val="000000"/>
          <w:sz w:val="22"/>
          <w:szCs w:val="22"/>
        </w:rPr>
      </w:pPr>
      <w:r w:rsidRPr="00B5412A">
        <w:rPr>
          <w:rFonts w:asciiTheme="majorHAnsi" w:hAnsiTheme="majorHAnsi"/>
          <w:b/>
          <w:bCs/>
          <w:color w:val="000000"/>
          <w:sz w:val="22"/>
          <w:szCs w:val="22"/>
        </w:rPr>
        <w:t> </w:t>
      </w:r>
    </w:p>
    <w:p w:rsidR="00B5412A" w:rsidRPr="00B5412A" w:rsidRDefault="00B5412A" w:rsidP="00B5412A">
      <w:pPr>
        <w:ind w:left="1080" w:right="1125" w:hanging="360"/>
        <w:rPr>
          <w:rFonts w:asciiTheme="majorHAnsi" w:hAnsiTheme="majorHAnsi"/>
          <w:color w:val="000000"/>
          <w:sz w:val="22"/>
          <w:szCs w:val="22"/>
        </w:rPr>
      </w:pPr>
      <w:r w:rsidRPr="00B5412A">
        <w:rPr>
          <w:rFonts w:asciiTheme="majorHAnsi" w:hAnsiTheme="majorHAnsi"/>
          <w:color w:val="000000"/>
          <w:sz w:val="22"/>
          <w:szCs w:val="22"/>
        </w:rPr>
        <w:t>i.     </w:t>
      </w:r>
      <w:r w:rsidRPr="00B5412A">
        <w:rPr>
          <w:rStyle w:val="apple-converted-space"/>
          <w:rFonts w:asciiTheme="majorHAnsi" w:hAnsiTheme="majorHAnsi"/>
          <w:color w:val="000000"/>
          <w:sz w:val="22"/>
          <w:szCs w:val="22"/>
        </w:rPr>
        <w:t> </w:t>
      </w:r>
      <w:r w:rsidRPr="00B5412A">
        <w:rPr>
          <w:rFonts w:asciiTheme="majorHAnsi" w:hAnsiTheme="majorHAnsi"/>
          <w:color w:val="000000"/>
          <w:sz w:val="22"/>
          <w:szCs w:val="22"/>
        </w:rPr>
        <w:t>in relation to</w:t>
      </w:r>
      <w:r w:rsidRPr="00B5412A">
        <w:rPr>
          <w:rStyle w:val="apple-converted-space"/>
          <w:rFonts w:asciiTheme="majorHAnsi" w:hAnsiTheme="majorHAnsi"/>
          <w:color w:val="000000"/>
          <w:sz w:val="22"/>
          <w:szCs w:val="22"/>
        </w:rPr>
        <w:t> </w:t>
      </w:r>
      <w:r w:rsidRPr="00B5412A">
        <w:rPr>
          <w:rFonts w:asciiTheme="majorHAnsi" w:hAnsiTheme="majorHAnsi"/>
          <w:b/>
          <w:bCs/>
          <w:color w:val="000000"/>
          <w:sz w:val="22"/>
          <w:szCs w:val="22"/>
        </w:rPr>
        <w:t>[telecommunication service]</w:t>
      </w:r>
    </w:p>
    <w:p w:rsidR="00B5412A" w:rsidRPr="00B5412A" w:rsidRDefault="00B5412A" w:rsidP="00B5412A">
      <w:pPr>
        <w:spacing w:before="120" w:after="120"/>
        <w:ind w:left="1620" w:right="1123" w:hanging="540"/>
        <w:rPr>
          <w:rFonts w:asciiTheme="majorHAnsi" w:hAnsiTheme="majorHAnsi"/>
          <w:color w:val="000000"/>
          <w:sz w:val="22"/>
          <w:szCs w:val="22"/>
        </w:rPr>
      </w:pPr>
      <w:r w:rsidRPr="00B5412A">
        <w:rPr>
          <w:rFonts w:asciiTheme="majorHAnsi" w:hAnsiTheme="majorHAnsi"/>
          <w:color w:val="000000"/>
          <w:sz w:val="22"/>
          <w:szCs w:val="22"/>
        </w:rPr>
        <w:t>(a)     </w:t>
      </w:r>
      <w:r w:rsidRPr="00B5412A">
        <w:rPr>
          <w:rStyle w:val="apple-converted-space"/>
          <w:rFonts w:asciiTheme="majorHAnsi" w:hAnsiTheme="majorHAnsi"/>
          <w:color w:val="000000"/>
          <w:sz w:val="22"/>
          <w:szCs w:val="22"/>
        </w:rPr>
        <w:t> </w:t>
      </w:r>
      <w:r w:rsidRPr="00B5412A">
        <w:rPr>
          <w:rFonts w:asciiTheme="majorHAnsi" w:hAnsiTheme="majorHAnsi"/>
          <w:color w:val="000000"/>
          <w:sz w:val="22"/>
          <w:szCs w:val="22"/>
        </w:rPr>
        <w:t>the Director General of Posts and Telegraphs,</w:t>
      </w:r>
    </w:p>
    <w:p w:rsidR="00B5412A" w:rsidRPr="00B5412A" w:rsidRDefault="00B5412A" w:rsidP="00B5412A">
      <w:pPr>
        <w:spacing w:before="120" w:after="120"/>
        <w:ind w:left="1620" w:right="1123" w:hanging="540"/>
        <w:rPr>
          <w:rFonts w:asciiTheme="majorHAnsi" w:hAnsiTheme="majorHAnsi"/>
          <w:color w:val="000000"/>
          <w:sz w:val="22"/>
          <w:szCs w:val="22"/>
        </w:rPr>
      </w:pPr>
      <w:r w:rsidRPr="00B5412A">
        <w:rPr>
          <w:rFonts w:asciiTheme="majorHAnsi" w:hAnsiTheme="majorHAnsi"/>
          <w:color w:val="000000"/>
          <w:sz w:val="22"/>
          <w:szCs w:val="22"/>
        </w:rPr>
        <w:t>(b)     </w:t>
      </w:r>
      <w:r w:rsidRPr="00B5412A">
        <w:rPr>
          <w:rStyle w:val="apple-converted-space"/>
          <w:rFonts w:asciiTheme="majorHAnsi" w:hAnsiTheme="majorHAnsi"/>
          <w:color w:val="000000"/>
          <w:sz w:val="22"/>
          <w:szCs w:val="22"/>
        </w:rPr>
        <w:t> </w:t>
      </w:r>
      <w:r w:rsidRPr="00B5412A">
        <w:rPr>
          <w:rFonts w:asciiTheme="majorHAnsi" w:hAnsiTheme="majorHAnsi"/>
          <w:color w:val="000000"/>
          <w:sz w:val="22"/>
          <w:szCs w:val="22"/>
        </w:rPr>
        <w:t>the Chairman-cum-Managing Director, Mahanagar Telephone Nigam Ltd, Delhi, a company registered under the Companies Act</w:t>
      </w:r>
    </w:p>
    <w:p w:rsidR="00B5412A" w:rsidRPr="00B5412A" w:rsidRDefault="00B5412A" w:rsidP="00B5412A">
      <w:pPr>
        <w:spacing w:before="120" w:after="120"/>
        <w:ind w:left="1620" w:right="1123" w:hanging="540"/>
        <w:rPr>
          <w:rFonts w:asciiTheme="majorHAnsi" w:hAnsiTheme="majorHAnsi"/>
          <w:color w:val="000000"/>
          <w:sz w:val="22"/>
          <w:szCs w:val="22"/>
        </w:rPr>
      </w:pPr>
      <w:r w:rsidRPr="00B5412A">
        <w:rPr>
          <w:rFonts w:asciiTheme="majorHAnsi" w:hAnsiTheme="majorHAnsi"/>
          <w:color w:val="000000"/>
          <w:sz w:val="22"/>
          <w:szCs w:val="22"/>
        </w:rPr>
        <w:t>(c)     </w:t>
      </w:r>
      <w:r w:rsidRPr="00B5412A">
        <w:rPr>
          <w:rStyle w:val="apple-converted-space"/>
          <w:rFonts w:asciiTheme="majorHAnsi" w:hAnsiTheme="majorHAnsi"/>
          <w:color w:val="000000"/>
          <w:sz w:val="22"/>
          <w:szCs w:val="22"/>
        </w:rPr>
        <w:t> </w:t>
      </w:r>
      <w:r w:rsidRPr="00B5412A">
        <w:rPr>
          <w:rFonts w:asciiTheme="majorHAnsi" w:hAnsiTheme="majorHAnsi"/>
          <w:color w:val="000000"/>
          <w:sz w:val="22"/>
          <w:szCs w:val="22"/>
        </w:rPr>
        <w:t>any other person who has been granted a license by the Central Government.</w:t>
      </w:r>
      <w:r w:rsidRPr="00B5412A">
        <w:rPr>
          <w:rFonts w:asciiTheme="majorHAnsi" w:hAnsiTheme="majorHAnsi"/>
          <w:color w:val="000000"/>
          <w:sz w:val="22"/>
          <w:szCs w:val="22"/>
        </w:rPr>
        <w:br/>
      </w:r>
      <w:r w:rsidRPr="00B5412A">
        <w:rPr>
          <w:rFonts w:asciiTheme="majorHAnsi" w:hAnsiTheme="majorHAnsi"/>
          <w:color w:val="000000"/>
          <w:sz w:val="22"/>
          <w:szCs w:val="22"/>
        </w:rPr>
        <w:br/>
      </w:r>
    </w:p>
    <w:p w:rsidR="00B5412A" w:rsidRPr="00B5412A" w:rsidRDefault="00B5412A" w:rsidP="00B5412A">
      <w:pPr>
        <w:spacing w:before="120" w:after="120"/>
        <w:ind w:left="1080" w:right="1123" w:hanging="360"/>
        <w:jc w:val="both"/>
        <w:rPr>
          <w:rFonts w:asciiTheme="majorHAnsi" w:hAnsiTheme="majorHAnsi"/>
          <w:color w:val="000000"/>
          <w:sz w:val="22"/>
          <w:szCs w:val="22"/>
        </w:rPr>
      </w:pPr>
      <w:r w:rsidRPr="00B5412A">
        <w:rPr>
          <w:rFonts w:asciiTheme="majorHAnsi" w:hAnsiTheme="majorHAnsi"/>
          <w:color w:val="000000"/>
          <w:sz w:val="22"/>
          <w:szCs w:val="22"/>
        </w:rPr>
        <w:t>ii.    </w:t>
      </w:r>
      <w:r w:rsidRPr="00B5412A">
        <w:rPr>
          <w:rStyle w:val="apple-converted-space"/>
          <w:rFonts w:asciiTheme="majorHAnsi" w:hAnsiTheme="majorHAnsi"/>
          <w:color w:val="000000"/>
          <w:sz w:val="22"/>
          <w:szCs w:val="22"/>
        </w:rPr>
        <w:t> </w:t>
      </w:r>
      <w:r w:rsidRPr="00B5412A">
        <w:rPr>
          <w:rFonts w:asciiTheme="majorHAnsi" w:hAnsiTheme="majorHAnsi"/>
          <w:color w:val="000000"/>
          <w:sz w:val="22"/>
          <w:szCs w:val="22"/>
        </w:rPr>
        <w:t xml:space="preserve">in relation to </w:t>
      </w:r>
      <w:r w:rsidRPr="00265DE4">
        <w:rPr>
          <w:rFonts w:asciiTheme="majorHAnsi" w:hAnsiTheme="majorHAnsi"/>
          <w:b/>
          <w:color w:val="000000"/>
          <w:sz w:val="22"/>
          <w:szCs w:val="22"/>
        </w:rPr>
        <w:t>general insurance</w:t>
      </w:r>
      <w:r w:rsidRPr="00B5412A">
        <w:rPr>
          <w:rFonts w:asciiTheme="majorHAnsi" w:hAnsiTheme="majorHAnsi"/>
          <w:color w:val="000000"/>
          <w:sz w:val="22"/>
          <w:szCs w:val="22"/>
        </w:rPr>
        <w:t xml:space="preserve"> business, the insurer or re-insurer, as the case may be, providing such service;</w:t>
      </w:r>
    </w:p>
    <w:p w:rsidR="00B5412A" w:rsidRPr="00B5412A" w:rsidRDefault="00B5412A" w:rsidP="00B5412A">
      <w:pPr>
        <w:spacing w:before="120" w:after="120"/>
        <w:ind w:left="1080" w:right="1123" w:hanging="360"/>
        <w:jc w:val="both"/>
        <w:rPr>
          <w:rFonts w:asciiTheme="majorHAnsi" w:hAnsiTheme="majorHAnsi"/>
          <w:color w:val="000000"/>
          <w:sz w:val="22"/>
          <w:szCs w:val="22"/>
        </w:rPr>
      </w:pPr>
      <w:r w:rsidRPr="00B5412A">
        <w:rPr>
          <w:rFonts w:asciiTheme="majorHAnsi" w:hAnsiTheme="majorHAnsi"/>
          <w:color w:val="000000"/>
          <w:sz w:val="22"/>
          <w:szCs w:val="22"/>
        </w:rPr>
        <w:t>iii.   </w:t>
      </w:r>
      <w:r w:rsidRPr="00B5412A">
        <w:rPr>
          <w:rStyle w:val="apple-converted-space"/>
          <w:rFonts w:asciiTheme="majorHAnsi" w:hAnsiTheme="majorHAnsi"/>
          <w:color w:val="000000"/>
          <w:sz w:val="22"/>
          <w:szCs w:val="22"/>
        </w:rPr>
        <w:t> </w:t>
      </w:r>
      <w:r w:rsidRPr="00B5412A">
        <w:rPr>
          <w:rFonts w:asciiTheme="majorHAnsi" w:hAnsiTheme="majorHAnsi"/>
          <w:color w:val="000000"/>
          <w:sz w:val="22"/>
          <w:szCs w:val="22"/>
        </w:rPr>
        <w:t xml:space="preserve">in relation to </w:t>
      </w:r>
      <w:r w:rsidRPr="00265DE4">
        <w:rPr>
          <w:rFonts w:asciiTheme="majorHAnsi" w:hAnsiTheme="majorHAnsi"/>
          <w:b/>
          <w:color w:val="000000"/>
          <w:sz w:val="22"/>
          <w:szCs w:val="22"/>
        </w:rPr>
        <w:t>insurance auxiliary service</w:t>
      </w:r>
      <w:r w:rsidRPr="00B5412A">
        <w:rPr>
          <w:rFonts w:asciiTheme="majorHAnsi" w:hAnsiTheme="majorHAnsi"/>
          <w:color w:val="000000"/>
          <w:sz w:val="22"/>
          <w:szCs w:val="22"/>
        </w:rPr>
        <w:t xml:space="preserve"> by an insurance agent, any person carrying on the general insurance business [or the life insurance business, as the case may be,] in India;</w:t>
      </w:r>
    </w:p>
    <w:p w:rsidR="00B5412A" w:rsidRPr="00B5412A" w:rsidRDefault="00B5412A" w:rsidP="00B5412A">
      <w:pPr>
        <w:spacing w:before="120" w:after="120"/>
        <w:ind w:left="1080" w:right="1123" w:hanging="360"/>
        <w:jc w:val="both"/>
        <w:rPr>
          <w:rFonts w:asciiTheme="majorHAnsi" w:hAnsiTheme="majorHAnsi"/>
          <w:color w:val="000000"/>
          <w:sz w:val="22"/>
          <w:szCs w:val="22"/>
        </w:rPr>
      </w:pPr>
      <w:r w:rsidRPr="00B5412A">
        <w:rPr>
          <w:rFonts w:asciiTheme="majorHAnsi" w:hAnsiTheme="majorHAnsi"/>
          <w:color w:val="000000"/>
          <w:sz w:val="22"/>
          <w:szCs w:val="22"/>
        </w:rPr>
        <w:t>iv.  </w:t>
      </w:r>
      <w:r w:rsidRPr="00B5412A">
        <w:rPr>
          <w:rStyle w:val="apple-converted-space"/>
          <w:rFonts w:asciiTheme="majorHAnsi" w:hAnsiTheme="majorHAnsi"/>
          <w:color w:val="000000"/>
          <w:sz w:val="22"/>
          <w:szCs w:val="22"/>
        </w:rPr>
        <w:t> </w:t>
      </w:r>
      <w:r w:rsidRPr="00B5412A">
        <w:rPr>
          <w:rFonts w:asciiTheme="majorHAnsi" w:hAnsiTheme="majorHAnsi"/>
          <w:color w:val="000000"/>
          <w:sz w:val="22"/>
          <w:szCs w:val="22"/>
        </w:rPr>
        <w:t>in relation to any taxable service provided or to be provided by any person from a country other than India and received by any person in India under section 66A of the Act, the recipient of such service;</w:t>
      </w:r>
    </w:p>
    <w:p w:rsidR="00B5412A" w:rsidRPr="00B5412A" w:rsidRDefault="00B5412A" w:rsidP="00B5412A">
      <w:pPr>
        <w:spacing w:before="120" w:after="120"/>
        <w:ind w:left="1080" w:right="1123" w:hanging="360"/>
        <w:jc w:val="both"/>
        <w:rPr>
          <w:rFonts w:asciiTheme="majorHAnsi" w:hAnsiTheme="majorHAnsi"/>
          <w:color w:val="000000"/>
          <w:sz w:val="22"/>
          <w:szCs w:val="22"/>
        </w:rPr>
      </w:pPr>
      <w:r w:rsidRPr="00B5412A">
        <w:rPr>
          <w:rFonts w:asciiTheme="majorHAnsi" w:hAnsiTheme="majorHAnsi"/>
          <w:color w:val="000000"/>
          <w:sz w:val="22"/>
          <w:szCs w:val="22"/>
        </w:rPr>
        <w:t>v.   </w:t>
      </w:r>
      <w:r w:rsidRPr="00B5412A">
        <w:rPr>
          <w:rStyle w:val="apple-converted-space"/>
          <w:rFonts w:asciiTheme="majorHAnsi" w:hAnsiTheme="majorHAnsi"/>
          <w:color w:val="000000"/>
          <w:sz w:val="22"/>
          <w:szCs w:val="22"/>
        </w:rPr>
        <w:t> </w:t>
      </w:r>
      <w:r w:rsidRPr="00B5412A">
        <w:rPr>
          <w:rFonts w:asciiTheme="majorHAnsi" w:hAnsiTheme="majorHAnsi"/>
          <w:color w:val="000000"/>
          <w:sz w:val="22"/>
          <w:szCs w:val="22"/>
        </w:rPr>
        <w:t xml:space="preserve">In relation to taxable service provided by a </w:t>
      </w:r>
      <w:r w:rsidRPr="00265DE4">
        <w:rPr>
          <w:rFonts w:asciiTheme="majorHAnsi" w:hAnsiTheme="majorHAnsi"/>
          <w:b/>
          <w:color w:val="000000"/>
          <w:sz w:val="22"/>
          <w:szCs w:val="22"/>
        </w:rPr>
        <w:t>goods transport agency</w:t>
      </w:r>
      <w:r w:rsidRPr="00B5412A">
        <w:rPr>
          <w:rFonts w:asciiTheme="majorHAnsi" w:hAnsiTheme="majorHAnsi"/>
          <w:color w:val="000000"/>
          <w:sz w:val="22"/>
          <w:szCs w:val="22"/>
        </w:rPr>
        <w:t>, where the consignor or consignee of goods is- any factory, any company, any corporation, any</w:t>
      </w:r>
      <w:r w:rsidRPr="00B5412A">
        <w:rPr>
          <w:rStyle w:val="apple-converted-space"/>
          <w:rFonts w:asciiTheme="majorHAnsi" w:hAnsiTheme="majorHAnsi"/>
          <w:color w:val="000000"/>
          <w:sz w:val="22"/>
          <w:szCs w:val="22"/>
        </w:rPr>
        <w:t> </w:t>
      </w:r>
      <w:r w:rsidRPr="00B5412A">
        <w:rPr>
          <w:rFonts w:asciiTheme="majorHAnsi" w:hAnsiTheme="majorHAnsi"/>
          <w:color w:val="000000"/>
          <w:sz w:val="22"/>
          <w:szCs w:val="22"/>
        </w:rPr>
        <w:t> registered society, any co- operative society, any registered dealer of excisable goods , any body corporate or a partnership firm;</w:t>
      </w:r>
    </w:p>
    <w:p w:rsidR="00B5412A" w:rsidRPr="00B5412A" w:rsidRDefault="00B5412A" w:rsidP="00B5412A">
      <w:pPr>
        <w:spacing w:before="120" w:after="120"/>
        <w:ind w:left="1080" w:right="1123" w:hanging="360"/>
        <w:jc w:val="both"/>
        <w:rPr>
          <w:rFonts w:asciiTheme="majorHAnsi" w:hAnsiTheme="majorHAnsi"/>
          <w:color w:val="000000"/>
          <w:sz w:val="22"/>
          <w:szCs w:val="22"/>
        </w:rPr>
      </w:pPr>
      <w:r w:rsidRPr="00B5412A">
        <w:rPr>
          <w:rFonts w:asciiTheme="majorHAnsi" w:hAnsiTheme="majorHAnsi"/>
          <w:color w:val="000000"/>
          <w:sz w:val="22"/>
          <w:szCs w:val="22"/>
        </w:rPr>
        <w:lastRenderedPageBreak/>
        <w:t>vi.  </w:t>
      </w:r>
      <w:r w:rsidRPr="00B5412A">
        <w:rPr>
          <w:rStyle w:val="apple-converted-space"/>
          <w:rFonts w:asciiTheme="majorHAnsi" w:hAnsiTheme="majorHAnsi"/>
          <w:color w:val="000000"/>
          <w:sz w:val="22"/>
          <w:szCs w:val="22"/>
        </w:rPr>
        <w:t> </w:t>
      </w:r>
      <w:r w:rsidRPr="00B5412A">
        <w:rPr>
          <w:rFonts w:asciiTheme="majorHAnsi" w:hAnsiTheme="majorHAnsi"/>
          <w:color w:val="000000"/>
          <w:sz w:val="22"/>
          <w:szCs w:val="22"/>
        </w:rPr>
        <w:t xml:space="preserve">in relation to </w:t>
      </w:r>
      <w:r w:rsidRPr="00265DE4">
        <w:rPr>
          <w:rFonts w:asciiTheme="majorHAnsi" w:hAnsiTheme="majorHAnsi"/>
          <w:b/>
          <w:color w:val="000000"/>
          <w:sz w:val="22"/>
          <w:szCs w:val="22"/>
        </w:rPr>
        <w:t>business auxiliary service of distribution of mutual fund</w:t>
      </w:r>
      <w:r w:rsidRPr="00B5412A">
        <w:rPr>
          <w:rFonts w:asciiTheme="majorHAnsi" w:hAnsiTheme="majorHAnsi"/>
          <w:color w:val="000000"/>
          <w:sz w:val="22"/>
          <w:szCs w:val="22"/>
        </w:rPr>
        <w:t xml:space="preserve"> by a mutual fund distributor or an agent, as the case be, the mutual fund or asset management company, as the case may be, receiving such services;</w:t>
      </w:r>
    </w:p>
    <w:p w:rsidR="00B5412A" w:rsidRPr="00B5412A" w:rsidRDefault="00B5412A" w:rsidP="00B5412A">
      <w:pPr>
        <w:spacing w:before="120" w:after="120"/>
        <w:ind w:left="1080" w:right="1123" w:hanging="360"/>
        <w:jc w:val="both"/>
        <w:rPr>
          <w:rFonts w:asciiTheme="majorHAnsi" w:hAnsiTheme="majorHAnsi"/>
          <w:color w:val="000000"/>
          <w:sz w:val="22"/>
          <w:szCs w:val="22"/>
        </w:rPr>
      </w:pPr>
      <w:r w:rsidRPr="00B5412A">
        <w:rPr>
          <w:rFonts w:asciiTheme="majorHAnsi" w:hAnsiTheme="majorHAnsi"/>
          <w:color w:val="000000"/>
          <w:sz w:val="22"/>
          <w:szCs w:val="22"/>
        </w:rPr>
        <w:t>vii. </w:t>
      </w:r>
      <w:r w:rsidRPr="00B5412A">
        <w:rPr>
          <w:rStyle w:val="apple-converted-space"/>
          <w:rFonts w:asciiTheme="majorHAnsi" w:hAnsiTheme="majorHAnsi"/>
          <w:color w:val="000000"/>
          <w:sz w:val="22"/>
          <w:szCs w:val="22"/>
        </w:rPr>
        <w:t> </w:t>
      </w:r>
      <w:r w:rsidRPr="00B5412A">
        <w:rPr>
          <w:rFonts w:asciiTheme="majorHAnsi" w:hAnsiTheme="majorHAnsi"/>
          <w:color w:val="000000"/>
          <w:sz w:val="22"/>
          <w:szCs w:val="22"/>
        </w:rPr>
        <w:t xml:space="preserve">in </w:t>
      </w:r>
      <w:r w:rsidRPr="00265DE4">
        <w:rPr>
          <w:rFonts w:asciiTheme="majorHAnsi" w:hAnsiTheme="majorHAnsi"/>
          <w:b/>
          <w:color w:val="000000"/>
          <w:sz w:val="22"/>
          <w:szCs w:val="22"/>
        </w:rPr>
        <w:t>relation to sponsorship service</w:t>
      </w:r>
      <w:r w:rsidRPr="00B5412A">
        <w:rPr>
          <w:rFonts w:asciiTheme="majorHAnsi" w:hAnsiTheme="majorHAnsi"/>
          <w:color w:val="000000"/>
          <w:sz w:val="22"/>
          <w:szCs w:val="22"/>
        </w:rPr>
        <w:t xml:space="preserve"> provided to any body corporate or firm located in India, the body corporate or, as the case may be the firm who receives such sponsorship service;</w:t>
      </w:r>
    </w:p>
    <w:p w:rsidR="00B5412A" w:rsidRPr="00B5412A" w:rsidRDefault="00B5412A" w:rsidP="00B5412A">
      <w:pPr>
        <w:ind w:left="1080" w:right="1125"/>
        <w:rPr>
          <w:rFonts w:asciiTheme="majorHAnsi" w:hAnsiTheme="majorHAnsi"/>
          <w:color w:val="000000"/>
          <w:sz w:val="22"/>
          <w:szCs w:val="22"/>
        </w:rPr>
      </w:pPr>
      <w:r w:rsidRPr="00B5412A">
        <w:rPr>
          <w:rFonts w:asciiTheme="majorHAnsi" w:hAnsiTheme="majorHAnsi"/>
          <w:color w:val="000000"/>
          <w:sz w:val="22"/>
          <w:szCs w:val="22"/>
        </w:rPr>
        <w:t>( Rule 2(d) of Service Tax Rules, 1994)</w:t>
      </w:r>
    </w:p>
    <w:p w:rsidR="00B5412A" w:rsidRPr="00B5412A" w:rsidRDefault="00B5412A" w:rsidP="00B5412A">
      <w:pPr>
        <w:ind w:left="720" w:right="1125"/>
        <w:jc w:val="both"/>
        <w:rPr>
          <w:rFonts w:asciiTheme="majorHAnsi" w:hAnsiTheme="majorHAnsi"/>
          <w:color w:val="000000"/>
          <w:sz w:val="22"/>
          <w:szCs w:val="22"/>
        </w:rPr>
      </w:pPr>
      <w:r w:rsidRPr="00B5412A">
        <w:rPr>
          <w:rFonts w:asciiTheme="majorHAnsi" w:hAnsiTheme="majorHAnsi"/>
          <w:color w:val="000000"/>
          <w:sz w:val="22"/>
          <w:szCs w:val="22"/>
        </w:rPr>
        <w:t> </w:t>
      </w:r>
    </w:p>
    <w:p w:rsidR="00B5412A" w:rsidRPr="00265DE4" w:rsidRDefault="00B5412A" w:rsidP="00B5412A">
      <w:pPr>
        <w:ind w:left="720" w:right="1125"/>
        <w:jc w:val="both"/>
        <w:rPr>
          <w:rFonts w:asciiTheme="majorHAnsi" w:hAnsiTheme="majorHAnsi"/>
          <w:color w:val="000000"/>
          <w:sz w:val="22"/>
          <w:szCs w:val="22"/>
        </w:rPr>
      </w:pPr>
      <w:r w:rsidRPr="00265DE4">
        <w:rPr>
          <w:rFonts w:asciiTheme="majorHAnsi" w:hAnsiTheme="majorHAnsi"/>
          <w:bCs/>
          <w:color w:val="000000"/>
          <w:sz w:val="22"/>
          <w:szCs w:val="22"/>
        </w:rPr>
        <w:t>1.2</w:t>
      </w:r>
      <w:r w:rsidRPr="00265DE4">
        <w:rPr>
          <w:rFonts w:asciiTheme="majorHAnsi" w:hAnsiTheme="majorHAnsi"/>
          <w:color w:val="000000"/>
          <w:sz w:val="22"/>
          <w:szCs w:val="22"/>
        </w:rPr>
        <w:t>    From 01.06.2007 to 23.02.2009, the Service tax was payable @</w:t>
      </w:r>
      <w:r w:rsidRPr="00265DE4">
        <w:rPr>
          <w:rStyle w:val="apple-converted-space"/>
          <w:rFonts w:asciiTheme="majorHAnsi" w:hAnsiTheme="majorHAnsi"/>
          <w:color w:val="000000"/>
          <w:sz w:val="22"/>
          <w:szCs w:val="22"/>
        </w:rPr>
        <w:t> </w:t>
      </w:r>
      <w:r w:rsidRPr="00265DE4">
        <w:rPr>
          <w:rFonts w:asciiTheme="majorHAnsi" w:hAnsiTheme="majorHAnsi"/>
          <w:bCs/>
          <w:color w:val="000000"/>
          <w:sz w:val="22"/>
          <w:szCs w:val="22"/>
        </w:rPr>
        <w:t>12%</w:t>
      </w:r>
      <w:r w:rsidRPr="00265DE4">
        <w:rPr>
          <w:rStyle w:val="apple-converted-space"/>
          <w:rFonts w:asciiTheme="majorHAnsi" w:hAnsiTheme="majorHAnsi"/>
          <w:color w:val="000000"/>
          <w:sz w:val="22"/>
          <w:szCs w:val="22"/>
        </w:rPr>
        <w:t> </w:t>
      </w:r>
      <w:r w:rsidRPr="00265DE4">
        <w:rPr>
          <w:rFonts w:asciiTheme="majorHAnsi" w:hAnsiTheme="majorHAnsi"/>
          <w:color w:val="000000"/>
          <w:sz w:val="22"/>
          <w:szCs w:val="22"/>
        </w:rPr>
        <w:t>of the</w:t>
      </w:r>
      <w:r w:rsidRPr="00265DE4">
        <w:rPr>
          <w:rStyle w:val="apple-converted-space"/>
          <w:rFonts w:asciiTheme="majorHAnsi" w:hAnsiTheme="majorHAnsi"/>
          <w:color w:val="000000"/>
          <w:sz w:val="22"/>
          <w:szCs w:val="22"/>
        </w:rPr>
        <w:t> </w:t>
      </w:r>
      <w:r w:rsidRPr="00265DE4">
        <w:rPr>
          <w:rFonts w:asciiTheme="majorHAnsi" w:hAnsiTheme="majorHAnsi"/>
          <w:bCs/>
          <w:color w:val="000000"/>
          <w:sz w:val="22"/>
          <w:szCs w:val="22"/>
        </w:rPr>
        <w:t>‘gross amount’</w:t>
      </w:r>
      <w:r w:rsidRPr="00265DE4">
        <w:rPr>
          <w:rStyle w:val="apple-converted-space"/>
          <w:rFonts w:asciiTheme="majorHAnsi" w:hAnsiTheme="majorHAnsi"/>
          <w:color w:val="000000"/>
          <w:sz w:val="22"/>
          <w:szCs w:val="22"/>
        </w:rPr>
        <w:t> </w:t>
      </w:r>
      <w:r w:rsidRPr="00265DE4">
        <w:rPr>
          <w:rFonts w:asciiTheme="majorHAnsi" w:hAnsiTheme="majorHAnsi"/>
          <w:color w:val="000000"/>
          <w:sz w:val="22"/>
          <w:szCs w:val="22"/>
        </w:rPr>
        <w:t>plus 2% Education Cess on service tax plus 1% Secondary Higher Education Cess on service tax i.e totaling to 12.36% ( in specific cases partial deductions are allowed, refer section 67 of the Finance Act) charged by the service provider for providing such taxable service.</w:t>
      </w:r>
    </w:p>
    <w:p w:rsidR="00B5412A" w:rsidRPr="00B5412A" w:rsidRDefault="00B5412A" w:rsidP="00B5412A">
      <w:pPr>
        <w:ind w:left="720" w:right="1125"/>
        <w:jc w:val="both"/>
        <w:rPr>
          <w:rFonts w:asciiTheme="majorHAnsi" w:hAnsiTheme="majorHAnsi"/>
          <w:b/>
          <w:color w:val="000000"/>
          <w:sz w:val="22"/>
          <w:szCs w:val="22"/>
        </w:rPr>
      </w:pPr>
      <w:r w:rsidRPr="00B5412A">
        <w:rPr>
          <w:rFonts w:asciiTheme="majorHAnsi" w:hAnsiTheme="majorHAnsi"/>
          <w:b/>
          <w:color w:val="000000"/>
          <w:sz w:val="22"/>
          <w:szCs w:val="22"/>
        </w:rPr>
        <w:t xml:space="preserve"> From 24.02.2009, vide Notification No.8/2009-ST dated 24.02.2009 the rate of service tax is 10% on gross value of the taxable service plus 2% Education Cess on the service tax amount and 1% Secondary Higher Education Cess on the service tax amount.</w:t>
      </w:r>
    </w:p>
    <w:p w:rsidR="00B5412A" w:rsidRPr="00B5412A" w:rsidRDefault="00B5412A" w:rsidP="00B5412A">
      <w:pPr>
        <w:ind w:left="720" w:right="1125"/>
        <w:jc w:val="both"/>
        <w:rPr>
          <w:rFonts w:asciiTheme="majorHAnsi" w:hAnsiTheme="majorHAnsi"/>
          <w:color w:val="000000"/>
          <w:sz w:val="22"/>
          <w:szCs w:val="22"/>
        </w:rPr>
      </w:pPr>
      <w:r w:rsidRPr="00B5412A">
        <w:rPr>
          <w:rFonts w:asciiTheme="majorHAnsi" w:hAnsiTheme="majorHAnsi"/>
          <w:color w:val="000000"/>
          <w:sz w:val="22"/>
          <w:szCs w:val="22"/>
        </w:rPr>
        <w:t> </w:t>
      </w:r>
    </w:p>
    <w:p w:rsidR="00B5412A" w:rsidRPr="00B5412A" w:rsidRDefault="00B5412A" w:rsidP="00265DE4">
      <w:pPr>
        <w:ind w:right="1125"/>
        <w:jc w:val="both"/>
        <w:rPr>
          <w:rFonts w:asciiTheme="majorHAnsi" w:hAnsiTheme="majorHAnsi"/>
          <w:color w:val="000000"/>
          <w:sz w:val="22"/>
          <w:szCs w:val="22"/>
        </w:rPr>
      </w:pPr>
      <w:r w:rsidRPr="00B5412A">
        <w:rPr>
          <w:rFonts w:asciiTheme="majorHAnsi" w:hAnsiTheme="majorHAnsi"/>
          <w:color w:val="000000"/>
          <w:sz w:val="22"/>
          <w:szCs w:val="22"/>
        </w:rPr>
        <w:t xml:space="preserve">Example: Suppose the value of taxable service is Rs.100. Service tax @10%  will be Rs.10 </w:t>
      </w:r>
      <w:r w:rsidR="00265DE4">
        <w:rPr>
          <w:rFonts w:asciiTheme="majorHAnsi" w:hAnsiTheme="majorHAnsi"/>
          <w:color w:val="000000"/>
          <w:sz w:val="22"/>
          <w:szCs w:val="22"/>
        </w:rPr>
        <w:t xml:space="preserve"> </w:t>
      </w:r>
      <w:r w:rsidRPr="00B5412A">
        <w:rPr>
          <w:rFonts w:asciiTheme="majorHAnsi" w:hAnsiTheme="majorHAnsi"/>
          <w:color w:val="000000"/>
          <w:sz w:val="22"/>
          <w:szCs w:val="22"/>
        </w:rPr>
        <w:t>and Education Cess @2% of the Service Tax will be Rs.0.20 and Secondary &amp; Higher Education Cess @1% of the service tax will be 0.10.</w:t>
      </w:r>
      <w:r w:rsidRPr="00B5412A">
        <w:rPr>
          <w:rFonts w:asciiTheme="majorHAnsi" w:hAnsiTheme="majorHAnsi"/>
          <w:b/>
          <w:color w:val="000000"/>
          <w:sz w:val="22"/>
          <w:szCs w:val="22"/>
        </w:rPr>
        <w:t>(with format)</w:t>
      </w:r>
    </w:p>
    <w:p w:rsidR="00D357D0" w:rsidRDefault="00D357D0">
      <w:pPr>
        <w:rPr>
          <w:rFonts w:asciiTheme="majorHAnsi" w:hAnsiTheme="majorHAnsi"/>
          <w:sz w:val="22"/>
          <w:szCs w:val="22"/>
        </w:rPr>
      </w:pPr>
    </w:p>
    <w:tbl>
      <w:tblPr>
        <w:tblW w:w="4152" w:type="pct"/>
        <w:tblInd w:w="817" w:type="dxa"/>
        <w:tblCellMar>
          <w:left w:w="0" w:type="dxa"/>
          <w:right w:w="0" w:type="dxa"/>
        </w:tblCellMar>
        <w:tblLook w:val="0000"/>
      </w:tblPr>
      <w:tblGrid>
        <w:gridCol w:w="8767"/>
      </w:tblGrid>
      <w:tr w:rsidR="000278A5" w:rsidRPr="000278A5" w:rsidTr="000278A5">
        <w:trPr>
          <w:trHeight w:val="506"/>
        </w:trPr>
        <w:tc>
          <w:tcPr>
            <w:tcW w:w="5000" w:type="pct"/>
            <w:tcBorders>
              <w:top w:val="outset" w:sz="8" w:space="0" w:color="00CCFF"/>
              <w:left w:val="outset" w:sz="8" w:space="0" w:color="00CCFF"/>
              <w:bottom w:val="outset" w:sz="8" w:space="0" w:color="00CCFF"/>
              <w:right w:val="outset" w:sz="8" w:space="0" w:color="00CCFF"/>
            </w:tcBorders>
            <w:shd w:val="clear" w:color="auto" w:fill="006699"/>
            <w:tcMar>
              <w:top w:w="45" w:type="dxa"/>
              <w:left w:w="45" w:type="dxa"/>
              <w:bottom w:w="45" w:type="dxa"/>
              <w:right w:w="45" w:type="dxa"/>
            </w:tcMar>
            <w:vAlign w:val="center"/>
          </w:tcPr>
          <w:p w:rsidR="000278A5" w:rsidRPr="000278A5" w:rsidRDefault="000278A5" w:rsidP="000278A5">
            <w:pPr>
              <w:jc w:val="center"/>
              <w:rPr>
                <w:rFonts w:asciiTheme="majorHAnsi" w:hAnsiTheme="majorHAnsi"/>
                <w:color w:val="FFFFFF" w:themeColor="background1"/>
                <w:sz w:val="22"/>
                <w:szCs w:val="22"/>
              </w:rPr>
            </w:pPr>
            <w:r w:rsidRPr="000278A5">
              <w:rPr>
                <w:rFonts w:asciiTheme="majorHAnsi" w:hAnsiTheme="majorHAnsi"/>
                <w:b/>
                <w:bCs/>
                <w:color w:val="FFFFFF" w:themeColor="background1"/>
                <w:sz w:val="36"/>
                <w:szCs w:val="22"/>
              </w:rPr>
              <w:t>2. Registration</w:t>
            </w:r>
          </w:p>
        </w:tc>
      </w:tr>
    </w:tbl>
    <w:p w:rsidR="000278A5" w:rsidRPr="000278A5" w:rsidRDefault="000278A5" w:rsidP="000278A5">
      <w:pPr>
        <w:rPr>
          <w:rFonts w:asciiTheme="majorHAnsi" w:hAnsiTheme="majorHAnsi"/>
          <w:sz w:val="22"/>
          <w:szCs w:val="22"/>
        </w:rPr>
      </w:pPr>
      <w:r w:rsidRPr="000278A5">
        <w:rPr>
          <w:rFonts w:asciiTheme="majorHAnsi" w:hAnsiTheme="majorHAnsi"/>
          <w:sz w:val="22"/>
          <w:szCs w:val="22"/>
        </w:rPr>
        <w:t> </w:t>
      </w:r>
    </w:p>
    <w:p w:rsidR="000278A5" w:rsidRPr="000278A5" w:rsidRDefault="000278A5" w:rsidP="000278A5">
      <w:pPr>
        <w:rPr>
          <w:rFonts w:asciiTheme="majorHAnsi" w:hAnsiTheme="majorHAnsi"/>
          <w:sz w:val="22"/>
          <w:szCs w:val="22"/>
        </w:rPr>
      </w:pPr>
      <w:r w:rsidRPr="000278A5">
        <w:rPr>
          <w:rFonts w:asciiTheme="majorHAnsi" w:hAnsiTheme="majorHAnsi"/>
          <w:b/>
          <w:bCs/>
          <w:sz w:val="22"/>
          <w:szCs w:val="22"/>
        </w:rPr>
        <w:t>2.1</w:t>
      </w:r>
      <w:r w:rsidRPr="000278A5">
        <w:rPr>
          <w:rFonts w:asciiTheme="majorHAnsi" w:hAnsiTheme="majorHAnsi"/>
          <w:sz w:val="22"/>
          <w:szCs w:val="22"/>
        </w:rPr>
        <w:t xml:space="preserve">     Every person liable for paying the service tax shall make an application to the concerned </w:t>
      </w:r>
      <w:r w:rsidRPr="000278A5">
        <w:rPr>
          <w:rFonts w:asciiTheme="majorHAnsi" w:hAnsiTheme="majorHAnsi"/>
          <w:b/>
          <w:sz w:val="22"/>
          <w:szCs w:val="22"/>
        </w:rPr>
        <w:t xml:space="preserve">Superintendent of Central Excise in Form ST-1 </w:t>
      </w:r>
      <w:r w:rsidRPr="000278A5">
        <w:rPr>
          <w:rFonts w:asciiTheme="majorHAnsi" w:hAnsiTheme="majorHAnsi"/>
          <w:sz w:val="22"/>
          <w:szCs w:val="22"/>
        </w:rPr>
        <w:t xml:space="preserve">for registration within a period of </w:t>
      </w:r>
      <w:r w:rsidRPr="000278A5">
        <w:rPr>
          <w:rFonts w:asciiTheme="majorHAnsi" w:hAnsiTheme="majorHAnsi"/>
          <w:b/>
          <w:sz w:val="22"/>
          <w:szCs w:val="22"/>
        </w:rPr>
        <w:t>30 days</w:t>
      </w:r>
      <w:r w:rsidRPr="000278A5">
        <w:rPr>
          <w:rFonts w:asciiTheme="majorHAnsi" w:hAnsiTheme="majorHAnsi"/>
          <w:sz w:val="22"/>
          <w:szCs w:val="22"/>
        </w:rPr>
        <w:t xml:space="preserve"> from the date on which the service tax under section 66 of the Finance Act, 1994(32 of 1994) is levied:</w:t>
      </w:r>
    </w:p>
    <w:p w:rsidR="000278A5" w:rsidRPr="000278A5" w:rsidRDefault="000278A5" w:rsidP="000278A5">
      <w:pPr>
        <w:rPr>
          <w:rFonts w:asciiTheme="majorHAnsi" w:hAnsiTheme="majorHAnsi"/>
          <w:b/>
          <w:sz w:val="22"/>
          <w:szCs w:val="22"/>
          <w:u w:val="single"/>
        </w:rPr>
      </w:pPr>
      <w:r w:rsidRPr="000278A5">
        <w:rPr>
          <w:rFonts w:asciiTheme="majorHAnsi" w:hAnsiTheme="majorHAnsi"/>
          <w:b/>
          <w:sz w:val="22"/>
          <w:szCs w:val="22"/>
          <w:u w:val="single"/>
        </w:rPr>
        <w:t>Limits for registration:</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 xml:space="preserve">             Provided that where a person commences the business of providing a taxable service after such service has been levied, he shall make an application for registration within a period of </w:t>
      </w:r>
      <w:r w:rsidRPr="000278A5">
        <w:rPr>
          <w:rFonts w:asciiTheme="majorHAnsi" w:hAnsiTheme="majorHAnsi"/>
          <w:b/>
          <w:sz w:val="22"/>
          <w:szCs w:val="22"/>
        </w:rPr>
        <w:t>30</w:t>
      </w:r>
      <w:r w:rsidRPr="000278A5">
        <w:rPr>
          <w:rFonts w:asciiTheme="majorHAnsi" w:hAnsiTheme="majorHAnsi"/>
          <w:sz w:val="22"/>
          <w:szCs w:val="22"/>
        </w:rPr>
        <w:t xml:space="preserve"> </w:t>
      </w:r>
      <w:r w:rsidRPr="000278A5">
        <w:rPr>
          <w:rFonts w:asciiTheme="majorHAnsi" w:hAnsiTheme="majorHAnsi"/>
          <w:b/>
          <w:sz w:val="22"/>
          <w:szCs w:val="22"/>
        </w:rPr>
        <w:t>days</w:t>
      </w:r>
      <w:r w:rsidRPr="000278A5">
        <w:rPr>
          <w:rFonts w:asciiTheme="majorHAnsi" w:hAnsiTheme="majorHAnsi"/>
          <w:sz w:val="22"/>
          <w:szCs w:val="22"/>
        </w:rPr>
        <w:t xml:space="preserve"> </w:t>
      </w:r>
      <w:r w:rsidRPr="000278A5">
        <w:rPr>
          <w:rFonts w:asciiTheme="majorHAnsi" w:hAnsiTheme="majorHAnsi"/>
          <w:b/>
          <w:sz w:val="22"/>
          <w:szCs w:val="22"/>
        </w:rPr>
        <w:t>from the date of such commencement</w:t>
      </w:r>
      <w:r w:rsidRPr="000278A5">
        <w:rPr>
          <w:rFonts w:asciiTheme="majorHAnsi" w:hAnsiTheme="majorHAnsi"/>
          <w:sz w:val="22"/>
          <w:szCs w:val="22"/>
        </w:rPr>
        <w:t>. </w:t>
      </w:r>
      <w:r w:rsidRPr="000278A5">
        <w:rPr>
          <w:rFonts w:asciiTheme="majorHAnsi" w:hAnsiTheme="majorHAnsi"/>
          <w:i/>
          <w:iCs/>
          <w:sz w:val="22"/>
          <w:szCs w:val="22"/>
        </w:rPr>
        <w:t>(Refer section 69 of Finance Act, 1994 &amp; Rule 4 of the Service Tax Rules,1994)</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 </w:t>
      </w:r>
    </w:p>
    <w:p w:rsidR="000278A5" w:rsidRDefault="000278A5" w:rsidP="000278A5">
      <w:pPr>
        <w:rPr>
          <w:rFonts w:asciiTheme="majorHAnsi" w:hAnsiTheme="majorHAnsi"/>
          <w:sz w:val="22"/>
          <w:szCs w:val="22"/>
        </w:rPr>
      </w:pPr>
      <w:r w:rsidRPr="000278A5">
        <w:rPr>
          <w:rFonts w:asciiTheme="majorHAnsi" w:hAnsiTheme="majorHAnsi"/>
          <w:sz w:val="22"/>
          <w:szCs w:val="22"/>
        </w:rPr>
        <w:t>          Also, the following</w:t>
      </w:r>
      <w:r w:rsidRPr="000278A5">
        <w:rPr>
          <w:rFonts w:asciiTheme="majorHAnsi" w:hAnsiTheme="majorHAnsi"/>
          <w:b/>
          <w:sz w:val="22"/>
          <w:szCs w:val="22"/>
        </w:rPr>
        <w:t xml:space="preserve"> two categories of persons have been identified as ‘Special Category of Persons’ under The Service Tax (Registration of Special Category of Persons) Rules, 2005</w:t>
      </w:r>
      <w:r w:rsidRPr="000278A5">
        <w:rPr>
          <w:rFonts w:asciiTheme="majorHAnsi" w:hAnsiTheme="majorHAnsi"/>
          <w:sz w:val="22"/>
          <w:szCs w:val="22"/>
        </w:rPr>
        <w:t>:</w:t>
      </w:r>
    </w:p>
    <w:p w:rsidR="000278A5" w:rsidRPr="000278A5" w:rsidRDefault="000278A5" w:rsidP="000278A5">
      <w:pPr>
        <w:rPr>
          <w:rFonts w:asciiTheme="majorHAnsi" w:hAnsiTheme="majorHAnsi"/>
          <w:sz w:val="22"/>
          <w:szCs w:val="22"/>
        </w:rPr>
      </w:pPr>
    </w:p>
    <w:p w:rsidR="000278A5" w:rsidRPr="000278A5" w:rsidRDefault="000278A5" w:rsidP="000278A5">
      <w:pPr>
        <w:rPr>
          <w:rFonts w:asciiTheme="majorHAnsi" w:hAnsiTheme="majorHAnsi"/>
          <w:sz w:val="22"/>
          <w:szCs w:val="22"/>
        </w:rPr>
      </w:pPr>
      <w:r w:rsidRPr="000278A5">
        <w:rPr>
          <w:rFonts w:asciiTheme="majorHAnsi" w:hAnsiTheme="majorHAnsi"/>
          <w:b/>
          <w:sz w:val="22"/>
          <w:szCs w:val="22"/>
          <w:u w:val="single"/>
        </w:rPr>
        <w:t>i)     Input Service Distributor</w:t>
      </w:r>
      <w:r w:rsidRPr="000278A5">
        <w:rPr>
          <w:rFonts w:asciiTheme="majorHAnsi" w:hAnsiTheme="majorHAnsi"/>
          <w:sz w:val="22"/>
          <w:szCs w:val="22"/>
        </w:rPr>
        <w:t>;</w:t>
      </w:r>
    </w:p>
    <w:p w:rsidR="000278A5" w:rsidRPr="000278A5" w:rsidRDefault="000278A5" w:rsidP="000278A5">
      <w:pPr>
        <w:rPr>
          <w:rFonts w:asciiTheme="majorHAnsi" w:hAnsiTheme="majorHAnsi"/>
          <w:b/>
          <w:sz w:val="22"/>
          <w:szCs w:val="22"/>
        </w:rPr>
      </w:pPr>
      <w:r w:rsidRPr="000278A5">
        <w:rPr>
          <w:rFonts w:asciiTheme="majorHAnsi" w:hAnsiTheme="majorHAnsi"/>
          <w:sz w:val="22"/>
          <w:szCs w:val="22"/>
        </w:rPr>
        <w:t xml:space="preserve">ii)    Any provider of taxable service whose ‘aggregate value of taxable service’ (‘aggregate value’ has been defined in Rule 2(b) of  The Service Tax (Registration of Special Category of Persons) Rules, 2005)  in a financial year exceeds </w:t>
      </w:r>
      <w:r w:rsidRPr="000278A5">
        <w:rPr>
          <w:rFonts w:asciiTheme="majorHAnsi" w:hAnsiTheme="majorHAnsi"/>
          <w:b/>
          <w:sz w:val="22"/>
          <w:szCs w:val="22"/>
        </w:rPr>
        <w:t>9 lakh rupees.</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                   </w:t>
      </w:r>
    </w:p>
    <w:p w:rsidR="000278A5" w:rsidRPr="000278A5" w:rsidRDefault="000278A5" w:rsidP="000278A5">
      <w:pPr>
        <w:rPr>
          <w:rFonts w:asciiTheme="majorHAnsi" w:hAnsiTheme="majorHAnsi"/>
          <w:sz w:val="22"/>
          <w:szCs w:val="22"/>
        </w:rPr>
      </w:pPr>
      <w:r w:rsidRPr="000278A5">
        <w:rPr>
          <w:rFonts w:asciiTheme="majorHAnsi" w:hAnsiTheme="majorHAnsi"/>
          <w:i/>
          <w:iCs/>
          <w:szCs w:val="22"/>
          <w:u w:val="single"/>
        </w:rPr>
        <w:t>‘</w:t>
      </w:r>
      <w:r w:rsidRPr="000278A5">
        <w:rPr>
          <w:rFonts w:asciiTheme="majorHAnsi" w:hAnsiTheme="majorHAnsi"/>
          <w:b/>
          <w:i/>
          <w:iCs/>
          <w:szCs w:val="22"/>
          <w:u w:val="single"/>
        </w:rPr>
        <w:t>Input service distributor’</w:t>
      </w:r>
      <w:r w:rsidRPr="000278A5">
        <w:rPr>
          <w:rFonts w:asciiTheme="majorHAnsi" w:hAnsiTheme="majorHAnsi"/>
          <w:i/>
          <w:iCs/>
          <w:szCs w:val="22"/>
          <w:u w:val="single"/>
        </w:rPr>
        <w:t xml:space="preserve"> </w:t>
      </w:r>
      <w:r w:rsidRPr="000278A5">
        <w:rPr>
          <w:rFonts w:asciiTheme="majorHAnsi" w:hAnsiTheme="majorHAnsi"/>
          <w:i/>
          <w:iCs/>
          <w:sz w:val="22"/>
          <w:szCs w:val="22"/>
        </w:rPr>
        <w:t>as defined under Rule 2 (m) of CENVAT Rules, 2004 means an office of the manufacturer or producer of final products or provider of output service, which receives invoices issued under rule 4A of the Service Tax Rules, 1994 towards purchases of input services and issues invoice, bill or, as the case may be, challan for the purposes of distributing the credit of service tax paid on the said services to such manufacturer or producer or provider, as the case may be.</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 </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             In case a service recipient is liable to pay service tax, as detailed at para 1.1 above, he also has to obtain registration.</w:t>
      </w:r>
    </w:p>
    <w:p w:rsidR="000278A5" w:rsidRPr="000278A5" w:rsidRDefault="000278A5" w:rsidP="000278A5">
      <w:pPr>
        <w:rPr>
          <w:rFonts w:asciiTheme="majorHAnsi" w:hAnsiTheme="majorHAnsi"/>
          <w:sz w:val="22"/>
          <w:szCs w:val="22"/>
        </w:rPr>
      </w:pPr>
      <w:r w:rsidRPr="000278A5">
        <w:rPr>
          <w:rFonts w:asciiTheme="majorHAnsi" w:hAnsiTheme="majorHAnsi"/>
          <w:b/>
          <w:bCs/>
          <w:sz w:val="22"/>
          <w:szCs w:val="22"/>
        </w:rPr>
        <w:t> </w:t>
      </w:r>
    </w:p>
    <w:p w:rsidR="000278A5" w:rsidRPr="000278A5" w:rsidRDefault="000278A5" w:rsidP="000278A5">
      <w:pPr>
        <w:rPr>
          <w:rFonts w:asciiTheme="majorHAnsi" w:hAnsiTheme="majorHAnsi"/>
          <w:sz w:val="22"/>
          <w:szCs w:val="22"/>
        </w:rPr>
      </w:pPr>
      <w:r w:rsidRPr="000278A5">
        <w:rPr>
          <w:rFonts w:asciiTheme="majorHAnsi" w:hAnsiTheme="majorHAnsi"/>
          <w:b/>
          <w:bCs/>
          <w:sz w:val="22"/>
          <w:szCs w:val="22"/>
        </w:rPr>
        <w:t>2.2</w:t>
      </w:r>
      <w:r w:rsidRPr="000278A5">
        <w:rPr>
          <w:rFonts w:asciiTheme="majorHAnsi" w:hAnsiTheme="majorHAnsi"/>
          <w:sz w:val="22"/>
          <w:szCs w:val="22"/>
        </w:rPr>
        <w:t>    The service tax is administered by the Central Excise Department. The government website </w:t>
      </w:r>
      <w:hyperlink r:id="rId7" w:history="1">
        <w:r w:rsidRPr="000278A5">
          <w:rPr>
            <w:rStyle w:val="Hyperlink"/>
            <w:rFonts w:asciiTheme="majorHAnsi" w:hAnsiTheme="majorHAnsi"/>
            <w:b/>
            <w:color w:val="auto"/>
            <w:sz w:val="22"/>
            <w:szCs w:val="22"/>
          </w:rPr>
          <w:t>www.exciseandservicetax.nic.in</w:t>
        </w:r>
      </w:hyperlink>
      <w:r w:rsidRPr="000278A5">
        <w:rPr>
          <w:rFonts w:asciiTheme="majorHAnsi" w:hAnsiTheme="majorHAnsi"/>
          <w:sz w:val="22"/>
          <w:szCs w:val="22"/>
        </w:rPr>
        <w:t xml:space="preserve"> gives the details of the jurisdictional offices of the Central Excise Department, State-wise, District-wise as well as Commissionerate-wise.</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 </w:t>
      </w:r>
    </w:p>
    <w:p w:rsidR="000278A5" w:rsidRPr="000278A5" w:rsidRDefault="000278A5" w:rsidP="000278A5">
      <w:pPr>
        <w:rPr>
          <w:rFonts w:asciiTheme="majorHAnsi" w:hAnsiTheme="majorHAnsi"/>
          <w:sz w:val="22"/>
          <w:szCs w:val="22"/>
        </w:rPr>
      </w:pPr>
      <w:r w:rsidRPr="000278A5">
        <w:rPr>
          <w:rFonts w:asciiTheme="majorHAnsi" w:hAnsiTheme="majorHAnsi"/>
          <w:b/>
          <w:bCs/>
          <w:sz w:val="22"/>
          <w:szCs w:val="22"/>
        </w:rPr>
        <w:t>2.3      </w:t>
      </w:r>
      <w:r w:rsidRPr="000278A5">
        <w:rPr>
          <w:rFonts w:asciiTheme="majorHAnsi" w:hAnsiTheme="majorHAnsi"/>
          <w:sz w:val="22"/>
          <w:szCs w:val="22"/>
        </w:rPr>
        <w:t xml:space="preserve">Total 67 Central Excise &amp; Service Tax Commissionerates, 7 exclusive Service Tax Commissionerates and 5 Large Taxpayer Units administer Service tax collection in </w:t>
      </w:r>
      <w:smartTag w:uri="urn:schemas-microsoft-com:office:smarttags" w:element="country-region">
        <w:smartTag w:uri="urn:schemas-microsoft-com:office:smarttags" w:element="place">
          <w:r w:rsidRPr="000278A5">
            <w:rPr>
              <w:rFonts w:asciiTheme="majorHAnsi" w:hAnsiTheme="majorHAnsi"/>
              <w:sz w:val="22"/>
              <w:szCs w:val="22"/>
            </w:rPr>
            <w:t>India</w:t>
          </w:r>
        </w:smartTag>
      </w:smartTag>
      <w:r w:rsidRPr="000278A5">
        <w:rPr>
          <w:rFonts w:asciiTheme="majorHAnsi" w:hAnsiTheme="majorHAnsi"/>
          <w:sz w:val="22"/>
          <w:szCs w:val="22"/>
        </w:rPr>
        <w:t>.</w:t>
      </w:r>
    </w:p>
    <w:p w:rsidR="000278A5" w:rsidRPr="000278A5" w:rsidRDefault="000278A5" w:rsidP="000278A5">
      <w:pPr>
        <w:rPr>
          <w:rFonts w:asciiTheme="majorHAnsi" w:hAnsiTheme="majorHAnsi"/>
          <w:sz w:val="22"/>
          <w:szCs w:val="22"/>
        </w:rPr>
      </w:pPr>
      <w:r w:rsidRPr="000278A5">
        <w:rPr>
          <w:rFonts w:asciiTheme="majorHAnsi" w:hAnsiTheme="majorHAnsi"/>
          <w:b/>
          <w:bCs/>
          <w:sz w:val="22"/>
          <w:szCs w:val="22"/>
        </w:rPr>
        <w:t> </w:t>
      </w:r>
    </w:p>
    <w:p w:rsidR="000278A5" w:rsidRDefault="000278A5" w:rsidP="000278A5">
      <w:pPr>
        <w:rPr>
          <w:rFonts w:asciiTheme="majorHAnsi" w:hAnsiTheme="majorHAnsi"/>
          <w:b/>
          <w:bCs/>
          <w:sz w:val="22"/>
          <w:szCs w:val="22"/>
        </w:rPr>
      </w:pPr>
    </w:p>
    <w:p w:rsidR="000278A5" w:rsidRPr="000278A5" w:rsidRDefault="000278A5" w:rsidP="000278A5">
      <w:pPr>
        <w:rPr>
          <w:rFonts w:asciiTheme="majorHAnsi" w:hAnsiTheme="majorHAnsi"/>
          <w:sz w:val="22"/>
          <w:szCs w:val="22"/>
        </w:rPr>
      </w:pPr>
      <w:r w:rsidRPr="000278A5">
        <w:rPr>
          <w:rFonts w:asciiTheme="majorHAnsi" w:hAnsiTheme="majorHAnsi"/>
          <w:b/>
          <w:bCs/>
          <w:sz w:val="22"/>
          <w:szCs w:val="22"/>
        </w:rPr>
        <w:lastRenderedPageBreak/>
        <w:t>2.4      </w:t>
      </w:r>
      <w:r w:rsidRPr="000278A5">
        <w:rPr>
          <w:rFonts w:asciiTheme="majorHAnsi" w:hAnsiTheme="majorHAnsi"/>
          <w:sz w:val="22"/>
          <w:szCs w:val="22"/>
        </w:rPr>
        <w:t>Following are the 7 Service tax Commissionerates:</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1.    Mumbai-I</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2.    Mumbai-II</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3.    </w:t>
      </w:r>
      <w:smartTag w:uri="urn:schemas-microsoft-com:office:smarttags" w:element="City">
        <w:smartTag w:uri="urn:schemas-microsoft-com:office:smarttags" w:element="place">
          <w:r w:rsidRPr="000278A5">
            <w:rPr>
              <w:rFonts w:asciiTheme="majorHAnsi" w:hAnsiTheme="majorHAnsi"/>
              <w:sz w:val="22"/>
              <w:szCs w:val="22"/>
            </w:rPr>
            <w:t>Delhi</w:t>
          </w:r>
        </w:smartTag>
      </w:smartTag>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4.    Chennai</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5.    Kolkata</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6.    </w:t>
      </w:r>
      <w:smartTag w:uri="urn:schemas-microsoft-com:office:smarttags" w:element="City">
        <w:smartTag w:uri="urn:schemas-microsoft-com:office:smarttags" w:element="place">
          <w:r w:rsidRPr="000278A5">
            <w:rPr>
              <w:rFonts w:asciiTheme="majorHAnsi" w:hAnsiTheme="majorHAnsi"/>
              <w:sz w:val="22"/>
              <w:szCs w:val="22"/>
            </w:rPr>
            <w:t>Bangalore</w:t>
          </w:r>
        </w:smartTag>
      </w:smartTag>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7.    Ahmedabad</w:t>
      </w:r>
    </w:p>
    <w:p w:rsidR="000278A5" w:rsidRPr="000278A5" w:rsidRDefault="000278A5" w:rsidP="000278A5">
      <w:pPr>
        <w:rPr>
          <w:rFonts w:asciiTheme="majorHAnsi" w:hAnsiTheme="majorHAnsi"/>
          <w:sz w:val="22"/>
          <w:szCs w:val="22"/>
        </w:rPr>
      </w:pPr>
      <w:r w:rsidRPr="000278A5">
        <w:rPr>
          <w:rFonts w:asciiTheme="majorHAnsi" w:hAnsiTheme="majorHAnsi"/>
          <w:b/>
          <w:bCs/>
          <w:sz w:val="22"/>
          <w:szCs w:val="22"/>
        </w:rPr>
        <w:t> </w:t>
      </w:r>
    </w:p>
    <w:p w:rsidR="000278A5" w:rsidRPr="000278A5" w:rsidRDefault="000278A5" w:rsidP="000278A5">
      <w:pPr>
        <w:rPr>
          <w:rFonts w:asciiTheme="majorHAnsi" w:hAnsiTheme="majorHAnsi"/>
          <w:sz w:val="22"/>
          <w:szCs w:val="22"/>
        </w:rPr>
      </w:pPr>
      <w:r w:rsidRPr="000278A5">
        <w:rPr>
          <w:rFonts w:asciiTheme="majorHAnsi" w:hAnsiTheme="majorHAnsi"/>
          <w:b/>
          <w:bCs/>
          <w:sz w:val="22"/>
          <w:szCs w:val="22"/>
        </w:rPr>
        <w:t>2.5</w:t>
      </w:r>
      <w:r w:rsidRPr="000278A5">
        <w:rPr>
          <w:rFonts w:asciiTheme="majorHAnsi" w:hAnsiTheme="majorHAnsi"/>
          <w:sz w:val="22"/>
          <w:szCs w:val="22"/>
        </w:rPr>
        <w:t>     There are 5 Large Taxpayer Units (LTUs) as listed below:</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 xml:space="preserve">          1. </w:t>
      </w:r>
      <w:smartTag w:uri="urn:schemas-microsoft-com:office:smarttags" w:element="City">
        <w:smartTag w:uri="urn:schemas-microsoft-com:office:smarttags" w:element="place">
          <w:r w:rsidRPr="000278A5">
            <w:rPr>
              <w:rFonts w:asciiTheme="majorHAnsi" w:hAnsiTheme="majorHAnsi"/>
              <w:sz w:val="22"/>
              <w:szCs w:val="22"/>
            </w:rPr>
            <w:t>Bangalore</w:t>
          </w:r>
        </w:smartTag>
      </w:smartTag>
      <w:r w:rsidRPr="000278A5">
        <w:rPr>
          <w:rFonts w:asciiTheme="majorHAnsi" w:hAnsiTheme="majorHAnsi"/>
          <w:sz w:val="22"/>
          <w:szCs w:val="22"/>
        </w:rPr>
        <w:t>,</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          2. Chennai,</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          3. Mumbai,</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          4. </w:t>
      </w:r>
      <w:smartTag w:uri="urn:schemas-microsoft-com:office:smarttags" w:element="City">
        <w:smartTag w:uri="urn:schemas-microsoft-com:office:smarttags" w:element="place">
          <w:r w:rsidRPr="000278A5">
            <w:rPr>
              <w:rFonts w:asciiTheme="majorHAnsi" w:hAnsiTheme="majorHAnsi"/>
              <w:sz w:val="22"/>
              <w:szCs w:val="22"/>
            </w:rPr>
            <w:t>Delhi</w:t>
          </w:r>
        </w:smartTag>
      </w:smartTag>
      <w:r w:rsidRPr="000278A5">
        <w:rPr>
          <w:rFonts w:asciiTheme="majorHAnsi" w:hAnsiTheme="majorHAnsi"/>
          <w:sz w:val="22"/>
          <w:szCs w:val="22"/>
        </w:rPr>
        <w:t> and</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          5. Kolkata </w:t>
      </w:r>
    </w:p>
    <w:tbl>
      <w:tblPr>
        <w:tblW w:w="4486" w:type="pct"/>
        <w:tblInd w:w="787" w:type="dxa"/>
        <w:tblCellMar>
          <w:left w:w="0" w:type="dxa"/>
          <w:right w:w="0" w:type="dxa"/>
        </w:tblCellMar>
        <w:tblLook w:val="0000"/>
      </w:tblPr>
      <w:tblGrid>
        <w:gridCol w:w="9472"/>
      </w:tblGrid>
      <w:tr w:rsidR="000278A5" w:rsidRPr="000278A5" w:rsidTr="00F34292">
        <w:trPr>
          <w:trHeight w:val="715"/>
        </w:trPr>
        <w:tc>
          <w:tcPr>
            <w:tcW w:w="5000" w:type="pct"/>
            <w:tcBorders>
              <w:top w:val="outset" w:sz="8" w:space="0" w:color="00CCFF"/>
              <w:left w:val="outset" w:sz="8" w:space="0" w:color="00CCFF"/>
              <w:bottom w:val="outset" w:sz="8" w:space="0" w:color="00CCFF"/>
              <w:right w:val="outset" w:sz="8" w:space="0" w:color="00CCFF"/>
            </w:tcBorders>
            <w:shd w:val="clear" w:color="auto" w:fill="006699"/>
            <w:tcMar>
              <w:top w:w="45" w:type="dxa"/>
              <w:left w:w="45" w:type="dxa"/>
              <w:bottom w:w="45" w:type="dxa"/>
              <w:right w:w="45" w:type="dxa"/>
            </w:tcMar>
            <w:vAlign w:val="center"/>
          </w:tcPr>
          <w:p w:rsidR="000278A5" w:rsidRPr="000278A5" w:rsidRDefault="000278A5" w:rsidP="000278A5">
            <w:pPr>
              <w:jc w:val="center"/>
              <w:rPr>
                <w:rFonts w:asciiTheme="majorHAnsi" w:hAnsiTheme="majorHAnsi"/>
                <w:sz w:val="22"/>
                <w:szCs w:val="22"/>
              </w:rPr>
            </w:pPr>
            <w:r w:rsidRPr="000278A5">
              <w:rPr>
                <w:rFonts w:asciiTheme="majorHAnsi" w:hAnsiTheme="majorHAnsi"/>
                <w:b/>
                <w:bCs/>
                <w:sz w:val="40"/>
                <w:szCs w:val="22"/>
              </w:rPr>
              <w:t>3. Procedure for Registration</w:t>
            </w:r>
          </w:p>
        </w:tc>
      </w:tr>
    </w:tbl>
    <w:p w:rsidR="000278A5" w:rsidRPr="000278A5" w:rsidRDefault="000278A5" w:rsidP="000278A5">
      <w:pPr>
        <w:rPr>
          <w:rFonts w:asciiTheme="majorHAnsi" w:hAnsiTheme="majorHAnsi"/>
          <w:sz w:val="22"/>
          <w:szCs w:val="22"/>
        </w:rPr>
      </w:pPr>
      <w:r w:rsidRPr="000278A5">
        <w:rPr>
          <w:rFonts w:asciiTheme="majorHAnsi" w:hAnsiTheme="majorHAnsi"/>
          <w:b/>
          <w:bCs/>
          <w:sz w:val="22"/>
          <w:szCs w:val="22"/>
        </w:rPr>
        <w:t> </w:t>
      </w:r>
    </w:p>
    <w:p w:rsidR="000278A5" w:rsidRPr="000278A5" w:rsidRDefault="000278A5" w:rsidP="000278A5">
      <w:pPr>
        <w:rPr>
          <w:rFonts w:asciiTheme="majorHAnsi" w:hAnsiTheme="majorHAnsi"/>
          <w:sz w:val="22"/>
          <w:szCs w:val="22"/>
        </w:rPr>
      </w:pPr>
      <w:r w:rsidRPr="000278A5">
        <w:rPr>
          <w:rFonts w:asciiTheme="majorHAnsi" w:hAnsiTheme="majorHAnsi"/>
          <w:b/>
          <w:bCs/>
          <w:sz w:val="22"/>
          <w:szCs w:val="22"/>
        </w:rPr>
        <w:t>3.1</w:t>
      </w:r>
      <w:r w:rsidRPr="000278A5">
        <w:rPr>
          <w:rFonts w:asciiTheme="majorHAnsi" w:hAnsiTheme="majorHAnsi"/>
          <w:sz w:val="22"/>
          <w:szCs w:val="22"/>
        </w:rPr>
        <w:t>  Fill the Form ST-1 in duplicate. (Form ST-1 is available on the departmental website (</w:t>
      </w:r>
      <w:hyperlink r:id="rId8" w:history="1">
        <w:r w:rsidRPr="000278A5">
          <w:rPr>
            <w:rStyle w:val="Hyperlink"/>
            <w:rFonts w:asciiTheme="majorHAnsi" w:hAnsiTheme="majorHAnsi"/>
            <w:b/>
            <w:color w:val="17365D" w:themeColor="text2" w:themeShade="BF"/>
            <w:sz w:val="22"/>
            <w:szCs w:val="22"/>
          </w:rPr>
          <w:t>www.cbec.gov.in</w:t>
        </w:r>
      </w:hyperlink>
      <w:r w:rsidRPr="000278A5">
        <w:rPr>
          <w:rFonts w:asciiTheme="majorHAnsi" w:hAnsiTheme="majorHAnsi"/>
          <w:b/>
          <w:color w:val="17365D" w:themeColor="text2" w:themeShade="BF"/>
          <w:sz w:val="22"/>
          <w:szCs w:val="22"/>
        </w:rPr>
        <w:t>).</w:t>
      </w:r>
      <w:r w:rsidRPr="000278A5">
        <w:rPr>
          <w:rFonts w:asciiTheme="majorHAnsi" w:hAnsiTheme="majorHAnsi"/>
          <w:sz w:val="22"/>
          <w:szCs w:val="22"/>
        </w:rPr>
        <w:t xml:space="preserve"> Enclose photocopy of PAN card, proof of address to be registered and copy of constitution /partner ship deed etc. of the firm, if any.</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 </w:t>
      </w:r>
    </w:p>
    <w:p w:rsidR="000278A5" w:rsidRPr="000278A5" w:rsidRDefault="000278A5" w:rsidP="000278A5">
      <w:pPr>
        <w:rPr>
          <w:rFonts w:asciiTheme="majorHAnsi" w:hAnsiTheme="majorHAnsi"/>
          <w:sz w:val="22"/>
          <w:szCs w:val="22"/>
        </w:rPr>
      </w:pPr>
      <w:r w:rsidRPr="000278A5">
        <w:rPr>
          <w:rFonts w:asciiTheme="majorHAnsi" w:hAnsiTheme="majorHAnsi"/>
          <w:b/>
          <w:bCs/>
          <w:sz w:val="22"/>
          <w:szCs w:val="22"/>
        </w:rPr>
        <w:t>3.2</w:t>
      </w:r>
      <w:r w:rsidRPr="000278A5">
        <w:rPr>
          <w:rFonts w:asciiTheme="majorHAnsi" w:hAnsiTheme="majorHAnsi"/>
          <w:sz w:val="22"/>
          <w:szCs w:val="22"/>
        </w:rPr>
        <w:t> Copy of PAN card is necessary as a PAN based code (</w:t>
      </w:r>
      <w:r w:rsidRPr="000278A5">
        <w:rPr>
          <w:rFonts w:asciiTheme="majorHAnsi" w:hAnsiTheme="majorHAnsi"/>
          <w:b/>
          <w:bCs/>
          <w:sz w:val="22"/>
          <w:szCs w:val="22"/>
        </w:rPr>
        <w:t>S</w:t>
      </w:r>
      <w:r w:rsidRPr="000278A5">
        <w:rPr>
          <w:rFonts w:asciiTheme="majorHAnsi" w:hAnsiTheme="majorHAnsi"/>
          <w:sz w:val="22"/>
          <w:szCs w:val="22"/>
        </w:rPr>
        <w:t>ervice </w:t>
      </w:r>
      <w:r w:rsidRPr="000278A5">
        <w:rPr>
          <w:rFonts w:asciiTheme="majorHAnsi" w:hAnsiTheme="majorHAnsi"/>
          <w:b/>
          <w:bCs/>
          <w:sz w:val="22"/>
          <w:szCs w:val="22"/>
        </w:rPr>
        <w:t>T</w:t>
      </w:r>
      <w:r w:rsidRPr="000278A5">
        <w:rPr>
          <w:rFonts w:asciiTheme="majorHAnsi" w:hAnsiTheme="majorHAnsi"/>
          <w:sz w:val="22"/>
          <w:szCs w:val="22"/>
        </w:rPr>
        <w:t>ax </w:t>
      </w:r>
      <w:r w:rsidRPr="000278A5">
        <w:rPr>
          <w:rFonts w:asciiTheme="majorHAnsi" w:hAnsiTheme="majorHAnsi"/>
          <w:b/>
          <w:bCs/>
          <w:sz w:val="22"/>
          <w:szCs w:val="22"/>
        </w:rPr>
        <w:t>C</w:t>
      </w:r>
      <w:r w:rsidRPr="000278A5">
        <w:rPr>
          <w:rFonts w:asciiTheme="majorHAnsi" w:hAnsiTheme="majorHAnsi"/>
          <w:sz w:val="22"/>
          <w:szCs w:val="22"/>
        </w:rPr>
        <w:t>ode) is allotted to every assessee.</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 </w:t>
      </w:r>
    </w:p>
    <w:p w:rsidR="000278A5" w:rsidRPr="000278A5" w:rsidRDefault="000278A5" w:rsidP="000278A5">
      <w:pPr>
        <w:rPr>
          <w:rFonts w:asciiTheme="majorHAnsi" w:hAnsiTheme="majorHAnsi"/>
          <w:sz w:val="22"/>
          <w:szCs w:val="22"/>
        </w:rPr>
      </w:pPr>
      <w:r w:rsidRPr="000278A5">
        <w:rPr>
          <w:rFonts w:asciiTheme="majorHAnsi" w:hAnsiTheme="majorHAnsi"/>
          <w:b/>
          <w:bCs/>
          <w:sz w:val="22"/>
          <w:szCs w:val="22"/>
        </w:rPr>
        <w:t>3.3</w:t>
      </w:r>
      <w:r w:rsidRPr="000278A5">
        <w:rPr>
          <w:rFonts w:asciiTheme="majorHAnsi" w:hAnsiTheme="majorHAnsi"/>
          <w:sz w:val="22"/>
          <w:szCs w:val="22"/>
        </w:rPr>
        <w:t>     These forms are required to be submitted to the jurisdictional Central Excise office .</w:t>
      </w:r>
    </w:p>
    <w:p w:rsidR="000278A5" w:rsidRPr="000278A5" w:rsidRDefault="000278A5" w:rsidP="000278A5">
      <w:pPr>
        <w:rPr>
          <w:rFonts w:asciiTheme="majorHAnsi" w:hAnsiTheme="majorHAnsi"/>
          <w:sz w:val="22"/>
          <w:szCs w:val="22"/>
        </w:rPr>
      </w:pPr>
    </w:p>
    <w:p w:rsidR="000278A5" w:rsidRPr="000278A5" w:rsidRDefault="000278A5" w:rsidP="000278A5">
      <w:pPr>
        <w:rPr>
          <w:rFonts w:asciiTheme="majorHAnsi" w:hAnsiTheme="majorHAnsi"/>
          <w:sz w:val="22"/>
          <w:szCs w:val="22"/>
        </w:rPr>
      </w:pPr>
      <w:r w:rsidRPr="000278A5">
        <w:rPr>
          <w:rFonts w:asciiTheme="majorHAnsi" w:hAnsiTheme="majorHAnsi"/>
          <w:b/>
          <w:bCs/>
          <w:sz w:val="22"/>
          <w:szCs w:val="22"/>
        </w:rPr>
        <w:t>3.4</w:t>
      </w:r>
      <w:r w:rsidRPr="000278A5">
        <w:rPr>
          <w:rFonts w:asciiTheme="majorHAnsi" w:hAnsiTheme="majorHAnsi"/>
          <w:sz w:val="22"/>
          <w:szCs w:val="22"/>
        </w:rPr>
        <w:t>    A person liable to pay service tax should file an application for registration within </w:t>
      </w:r>
      <w:r w:rsidRPr="000278A5">
        <w:rPr>
          <w:rFonts w:asciiTheme="majorHAnsi" w:hAnsiTheme="majorHAnsi"/>
          <w:b/>
          <w:bCs/>
          <w:sz w:val="22"/>
          <w:szCs w:val="22"/>
        </w:rPr>
        <w:t>30 days</w:t>
      </w:r>
      <w:r w:rsidRPr="000278A5">
        <w:rPr>
          <w:rFonts w:asciiTheme="majorHAnsi" w:hAnsiTheme="majorHAnsi"/>
          <w:sz w:val="22"/>
          <w:szCs w:val="22"/>
        </w:rPr>
        <w:t> from the date on which the service tax on particular taxable service comes into effect or within thirty days from the commencement of his activity.</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 </w:t>
      </w:r>
    </w:p>
    <w:p w:rsidR="000278A5" w:rsidRPr="000278A5" w:rsidRDefault="000278A5" w:rsidP="000278A5">
      <w:pPr>
        <w:rPr>
          <w:rFonts w:asciiTheme="majorHAnsi" w:hAnsiTheme="majorHAnsi"/>
          <w:sz w:val="22"/>
          <w:szCs w:val="22"/>
        </w:rPr>
      </w:pPr>
      <w:r w:rsidRPr="000278A5">
        <w:rPr>
          <w:rFonts w:asciiTheme="majorHAnsi" w:hAnsiTheme="majorHAnsi"/>
          <w:b/>
          <w:bCs/>
          <w:sz w:val="22"/>
          <w:szCs w:val="22"/>
        </w:rPr>
        <w:t>3.5</w:t>
      </w:r>
      <w:r w:rsidRPr="000278A5">
        <w:rPr>
          <w:rFonts w:asciiTheme="majorHAnsi" w:hAnsiTheme="majorHAnsi"/>
          <w:sz w:val="22"/>
          <w:szCs w:val="22"/>
        </w:rPr>
        <w:t>     Where a person, liable for paying service tax on a taxable service,</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(i)           provides such service from more than one premises or offices; or </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(ii)         receives such service in more than one premises or offices; or,  </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iii)           is having more than one premises or offices, which are engaged in relation to such service in any other manner, making such person liable for paying service tax,</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  </w:t>
      </w:r>
    </w:p>
    <w:p w:rsidR="000278A5" w:rsidRPr="000278A5" w:rsidRDefault="000278A5" w:rsidP="000278A5">
      <w:pPr>
        <w:rPr>
          <w:rFonts w:asciiTheme="majorHAnsi" w:hAnsiTheme="majorHAnsi"/>
          <w:sz w:val="22"/>
          <w:szCs w:val="22"/>
        </w:rPr>
      </w:pPr>
      <w:r w:rsidRPr="000278A5">
        <w:rPr>
          <w:rFonts w:asciiTheme="majorHAnsi" w:hAnsiTheme="majorHAnsi"/>
          <w:b/>
          <w:bCs/>
          <w:sz w:val="22"/>
          <w:szCs w:val="22"/>
        </w:rPr>
        <w:t>3.6</w:t>
      </w:r>
      <w:r w:rsidRPr="000278A5">
        <w:rPr>
          <w:rFonts w:asciiTheme="majorHAnsi" w:hAnsiTheme="majorHAnsi"/>
          <w:sz w:val="22"/>
          <w:szCs w:val="22"/>
        </w:rPr>
        <w:t>     A </w:t>
      </w:r>
      <w:r w:rsidRPr="000278A5">
        <w:rPr>
          <w:rFonts w:asciiTheme="majorHAnsi" w:hAnsiTheme="majorHAnsi"/>
          <w:b/>
          <w:bCs/>
          <w:sz w:val="22"/>
          <w:szCs w:val="22"/>
        </w:rPr>
        <w:t>single registration</w:t>
      </w:r>
      <w:r w:rsidRPr="000278A5">
        <w:rPr>
          <w:rFonts w:asciiTheme="majorHAnsi" w:hAnsiTheme="majorHAnsi"/>
          <w:sz w:val="22"/>
          <w:szCs w:val="22"/>
        </w:rPr>
        <w:t> is sufficient even when an assessee is providing more than one taxable services. However, he has to mention all the services being provided by him in the application for registration and the field office shall make suitable entries/endorsements in the registration certificate.</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 </w:t>
      </w:r>
    </w:p>
    <w:p w:rsidR="000278A5" w:rsidRPr="000278A5" w:rsidRDefault="000278A5" w:rsidP="000278A5">
      <w:pPr>
        <w:rPr>
          <w:rFonts w:asciiTheme="majorHAnsi" w:hAnsiTheme="majorHAnsi"/>
          <w:sz w:val="22"/>
          <w:szCs w:val="22"/>
        </w:rPr>
      </w:pPr>
      <w:r w:rsidRPr="000278A5">
        <w:rPr>
          <w:rFonts w:asciiTheme="majorHAnsi" w:hAnsiTheme="majorHAnsi"/>
          <w:b/>
          <w:bCs/>
          <w:sz w:val="22"/>
          <w:szCs w:val="22"/>
        </w:rPr>
        <w:t>3.7</w:t>
      </w:r>
      <w:r w:rsidRPr="000278A5">
        <w:rPr>
          <w:rFonts w:asciiTheme="majorHAnsi" w:hAnsiTheme="majorHAnsi"/>
          <w:sz w:val="22"/>
          <w:szCs w:val="22"/>
        </w:rPr>
        <w:t>     An assessee should get the registration certificate (registration number) within </w:t>
      </w:r>
      <w:r w:rsidRPr="000278A5">
        <w:rPr>
          <w:rFonts w:asciiTheme="majorHAnsi" w:hAnsiTheme="majorHAnsi"/>
          <w:b/>
          <w:bCs/>
          <w:sz w:val="22"/>
          <w:szCs w:val="22"/>
        </w:rPr>
        <w:t>7 days </w:t>
      </w:r>
      <w:r w:rsidRPr="000278A5">
        <w:rPr>
          <w:rFonts w:asciiTheme="majorHAnsi" w:hAnsiTheme="majorHAnsi"/>
          <w:sz w:val="22"/>
          <w:szCs w:val="22"/>
        </w:rPr>
        <w:t>from the date of submission of form S.T.1, under normal circumstances.</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 </w:t>
      </w:r>
    </w:p>
    <w:p w:rsidR="000278A5" w:rsidRPr="000278A5" w:rsidRDefault="000278A5" w:rsidP="000278A5">
      <w:pPr>
        <w:rPr>
          <w:rFonts w:asciiTheme="majorHAnsi" w:hAnsiTheme="majorHAnsi"/>
          <w:sz w:val="22"/>
          <w:szCs w:val="22"/>
        </w:rPr>
      </w:pPr>
      <w:r w:rsidRPr="000278A5">
        <w:rPr>
          <w:rFonts w:asciiTheme="majorHAnsi" w:hAnsiTheme="majorHAnsi"/>
          <w:b/>
          <w:bCs/>
          <w:sz w:val="22"/>
          <w:szCs w:val="22"/>
        </w:rPr>
        <w:t>3.8</w:t>
      </w:r>
      <w:r w:rsidRPr="000278A5">
        <w:rPr>
          <w:rFonts w:asciiTheme="majorHAnsi" w:hAnsiTheme="majorHAnsi"/>
          <w:sz w:val="22"/>
          <w:szCs w:val="22"/>
        </w:rPr>
        <w:t>     A fresh registration is required to be obtained in case of transfer of business to another person.</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 </w:t>
      </w:r>
    </w:p>
    <w:p w:rsidR="000278A5" w:rsidRPr="000278A5" w:rsidRDefault="000278A5" w:rsidP="000278A5">
      <w:pPr>
        <w:rPr>
          <w:rFonts w:asciiTheme="majorHAnsi" w:hAnsiTheme="majorHAnsi"/>
          <w:sz w:val="22"/>
          <w:szCs w:val="22"/>
        </w:rPr>
      </w:pPr>
      <w:r w:rsidRPr="000278A5">
        <w:rPr>
          <w:rFonts w:asciiTheme="majorHAnsi" w:hAnsiTheme="majorHAnsi"/>
          <w:b/>
          <w:bCs/>
          <w:sz w:val="22"/>
          <w:szCs w:val="22"/>
        </w:rPr>
        <w:t>3.9</w:t>
      </w:r>
      <w:r w:rsidRPr="000278A5">
        <w:rPr>
          <w:rFonts w:asciiTheme="majorHAnsi" w:hAnsiTheme="majorHAnsi"/>
          <w:sz w:val="22"/>
          <w:szCs w:val="22"/>
        </w:rPr>
        <w:t>     Any registered assessee when ceases to provide the taxable service shall surrender the  registration certificate immediately.</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(Refer Rule 4 (7) of Service Tax Rules, 1994)</w:t>
      </w:r>
    </w:p>
    <w:p w:rsidR="000278A5" w:rsidRPr="000278A5" w:rsidRDefault="000278A5" w:rsidP="000278A5">
      <w:pPr>
        <w:rPr>
          <w:rFonts w:asciiTheme="majorHAnsi" w:hAnsiTheme="majorHAnsi"/>
          <w:sz w:val="22"/>
          <w:szCs w:val="22"/>
        </w:rPr>
      </w:pPr>
      <w:r w:rsidRPr="000278A5">
        <w:rPr>
          <w:rFonts w:asciiTheme="majorHAnsi" w:hAnsiTheme="majorHAnsi"/>
          <w:sz w:val="22"/>
          <w:szCs w:val="22"/>
        </w:rPr>
        <w:t> </w:t>
      </w:r>
    </w:p>
    <w:p w:rsidR="000278A5" w:rsidRDefault="000278A5" w:rsidP="000278A5">
      <w:pPr>
        <w:rPr>
          <w:rFonts w:asciiTheme="majorHAnsi" w:hAnsiTheme="majorHAnsi"/>
          <w:sz w:val="22"/>
          <w:szCs w:val="22"/>
        </w:rPr>
      </w:pPr>
      <w:r w:rsidRPr="000278A5">
        <w:rPr>
          <w:rFonts w:asciiTheme="majorHAnsi" w:hAnsiTheme="majorHAnsi"/>
          <w:b/>
          <w:bCs/>
          <w:sz w:val="22"/>
          <w:szCs w:val="22"/>
        </w:rPr>
        <w:t>3.10</w:t>
      </w:r>
      <w:r w:rsidRPr="000278A5">
        <w:rPr>
          <w:rFonts w:asciiTheme="majorHAnsi" w:hAnsiTheme="majorHAnsi"/>
          <w:sz w:val="22"/>
          <w:szCs w:val="22"/>
        </w:rPr>
        <w:t>    In case a registered assessee starts providing any new service from the same premises, he need not apply for a fresh registration. He can simply fill in the Form S.T.1 for necessary amendments he desires to make in his existing information. The new form may be submitted to the jurisdictional Superintendent for necessary endorsement of the new service category in his Registration certificate.</w:t>
      </w:r>
    </w:p>
    <w:p w:rsidR="00512338" w:rsidRDefault="00512338" w:rsidP="000278A5">
      <w:pPr>
        <w:rPr>
          <w:rFonts w:asciiTheme="majorHAnsi" w:hAnsiTheme="majorHAnsi"/>
          <w:sz w:val="22"/>
          <w:szCs w:val="22"/>
        </w:rPr>
      </w:pPr>
    </w:p>
    <w:p w:rsidR="00512338" w:rsidRDefault="00512338" w:rsidP="000278A5">
      <w:pPr>
        <w:rPr>
          <w:rFonts w:asciiTheme="majorHAnsi" w:hAnsiTheme="majorHAnsi"/>
          <w:sz w:val="22"/>
          <w:szCs w:val="22"/>
        </w:rPr>
      </w:pPr>
    </w:p>
    <w:p w:rsidR="00512338" w:rsidRPr="000278A5" w:rsidRDefault="00512338" w:rsidP="000278A5">
      <w:pPr>
        <w:rPr>
          <w:rFonts w:asciiTheme="majorHAnsi" w:hAnsiTheme="majorHAnsi"/>
          <w:sz w:val="22"/>
          <w:szCs w:val="22"/>
        </w:rPr>
      </w:pPr>
    </w:p>
    <w:p w:rsidR="000278A5" w:rsidRDefault="000278A5">
      <w:pPr>
        <w:rPr>
          <w:rFonts w:asciiTheme="majorHAnsi" w:hAnsiTheme="majorHAnsi"/>
          <w:sz w:val="22"/>
          <w:szCs w:val="22"/>
        </w:rPr>
      </w:pPr>
    </w:p>
    <w:tbl>
      <w:tblPr>
        <w:tblW w:w="4310" w:type="pct"/>
        <w:tblInd w:w="757" w:type="dxa"/>
        <w:tblCellMar>
          <w:left w:w="0" w:type="dxa"/>
          <w:right w:w="0" w:type="dxa"/>
        </w:tblCellMar>
        <w:tblLook w:val="0000"/>
      </w:tblPr>
      <w:tblGrid>
        <w:gridCol w:w="9100"/>
      </w:tblGrid>
      <w:tr w:rsidR="00512338" w:rsidRPr="00512338" w:rsidTr="00512338">
        <w:trPr>
          <w:trHeight w:val="432"/>
        </w:trPr>
        <w:tc>
          <w:tcPr>
            <w:tcW w:w="5000" w:type="pct"/>
            <w:tcBorders>
              <w:top w:val="outset" w:sz="8" w:space="0" w:color="00CCFF"/>
              <w:left w:val="outset" w:sz="8" w:space="0" w:color="00CCFF"/>
              <w:bottom w:val="outset" w:sz="8" w:space="0" w:color="00CCFF"/>
              <w:right w:val="outset" w:sz="8" w:space="0" w:color="00CCFF"/>
            </w:tcBorders>
            <w:shd w:val="clear" w:color="auto" w:fill="006699"/>
            <w:tcMar>
              <w:top w:w="45" w:type="dxa"/>
              <w:left w:w="45" w:type="dxa"/>
              <w:bottom w:w="45" w:type="dxa"/>
              <w:right w:w="45" w:type="dxa"/>
            </w:tcMar>
            <w:vAlign w:val="center"/>
          </w:tcPr>
          <w:p w:rsidR="00512338" w:rsidRPr="00512338" w:rsidRDefault="00512338" w:rsidP="00512338">
            <w:pPr>
              <w:jc w:val="center"/>
              <w:rPr>
                <w:rFonts w:asciiTheme="majorHAnsi" w:hAnsiTheme="majorHAnsi"/>
                <w:sz w:val="22"/>
                <w:szCs w:val="22"/>
              </w:rPr>
            </w:pPr>
            <w:r w:rsidRPr="00512338">
              <w:rPr>
                <w:rFonts w:asciiTheme="majorHAnsi" w:hAnsiTheme="majorHAnsi"/>
                <w:b/>
                <w:bCs/>
                <w:sz w:val="40"/>
                <w:szCs w:val="22"/>
              </w:rPr>
              <w:lastRenderedPageBreak/>
              <w:t>5. Value of Taxable Service</w:t>
            </w:r>
          </w:p>
        </w:tc>
      </w:tr>
    </w:tbl>
    <w:p w:rsidR="00512338" w:rsidRPr="00512338" w:rsidRDefault="00512338" w:rsidP="00512338">
      <w:pPr>
        <w:rPr>
          <w:rFonts w:asciiTheme="majorHAnsi" w:hAnsiTheme="majorHAnsi"/>
          <w:sz w:val="22"/>
          <w:szCs w:val="22"/>
        </w:rPr>
      </w:pPr>
      <w:r w:rsidRPr="00512338">
        <w:rPr>
          <w:rFonts w:asciiTheme="majorHAnsi" w:hAnsiTheme="majorHAnsi"/>
          <w:sz w:val="22"/>
          <w:szCs w:val="22"/>
        </w:rPr>
        <w:t> </w:t>
      </w:r>
    </w:p>
    <w:p w:rsidR="00512338" w:rsidRPr="00512338" w:rsidRDefault="00512338" w:rsidP="00512338">
      <w:pPr>
        <w:rPr>
          <w:rFonts w:asciiTheme="majorHAnsi" w:hAnsiTheme="majorHAnsi"/>
          <w:sz w:val="22"/>
          <w:szCs w:val="22"/>
        </w:rPr>
      </w:pPr>
      <w:r w:rsidRPr="00512338">
        <w:rPr>
          <w:rFonts w:asciiTheme="majorHAnsi" w:hAnsiTheme="majorHAnsi"/>
          <w:b/>
          <w:bCs/>
          <w:sz w:val="22"/>
          <w:szCs w:val="22"/>
        </w:rPr>
        <w:t>5.1</w:t>
      </w:r>
      <w:r w:rsidRPr="00512338">
        <w:rPr>
          <w:rFonts w:asciiTheme="majorHAnsi" w:hAnsiTheme="majorHAnsi"/>
          <w:sz w:val="22"/>
          <w:szCs w:val="22"/>
        </w:rPr>
        <w:t>     The valuation under service tax is governed by the provisions made under section 67 of the Finance Act, 1994</w:t>
      </w:r>
    </w:p>
    <w:p w:rsidR="00512338" w:rsidRPr="00512338" w:rsidRDefault="00512338" w:rsidP="00512338">
      <w:pPr>
        <w:rPr>
          <w:rFonts w:asciiTheme="majorHAnsi" w:hAnsiTheme="majorHAnsi"/>
          <w:sz w:val="22"/>
          <w:szCs w:val="22"/>
        </w:rPr>
      </w:pPr>
      <w:r w:rsidRPr="00512338">
        <w:rPr>
          <w:rFonts w:asciiTheme="majorHAnsi" w:hAnsiTheme="majorHAnsi"/>
          <w:sz w:val="22"/>
          <w:szCs w:val="22"/>
        </w:rPr>
        <w:t> </w:t>
      </w:r>
    </w:p>
    <w:p w:rsidR="00512338" w:rsidRPr="00512338" w:rsidRDefault="00512338" w:rsidP="00512338">
      <w:pPr>
        <w:rPr>
          <w:rFonts w:asciiTheme="majorHAnsi" w:hAnsiTheme="majorHAnsi"/>
          <w:sz w:val="22"/>
          <w:szCs w:val="22"/>
        </w:rPr>
      </w:pPr>
      <w:r w:rsidRPr="00512338">
        <w:rPr>
          <w:rFonts w:asciiTheme="majorHAnsi" w:hAnsiTheme="majorHAnsi"/>
          <w:b/>
          <w:bCs/>
          <w:sz w:val="22"/>
          <w:szCs w:val="22"/>
        </w:rPr>
        <w:t>5.2</w:t>
      </w:r>
      <w:r w:rsidRPr="00512338">
        <w:rPr>
          <w:rFonts w:asciiTheme="majorHAnsi" w:hAnsiTheme="majorHAnsi"/>
          <w:sz w:val="22"/>
          <w:szCs w:val="22"/>
        </w:rPr>
        <w:t>     Value of taxable service shall be determined on the basis of one of the following:</w:t>
      </w:r>
    </w:p>
    <w:p w:rsidR="00512338" w:rsidRPr="00512338" w:rsidRDefault="00512338" w:rsidP="00512338">
      <w:pPr>
        <w:rPr>
          <w:rFonts w:asciiTheme="majorHAnsi" w:hAnsiTheme="majorHAnsi"/>
          <w:sz w:val="22"/>
          <w:szCs w:val="22"/>
        </w:rPr>
      </w:pPr>
      <w:r w:rsidRPr="00512338">
        <w:rPr>
          <w:rFonts w:asciiTheme="majorHAnsi" w:hAnsiTheme="majorHAnsi"/>
          <w:sz w:val="22"/>
          <w:szCs w:val="22"/>
        </w:rPr>
        <w:t>a. consideration in money for providing the service.</w:t>
      </w:r>
    </w:p>
    <w:p w:rsidR="00512338" w:rsidRPr="00512338" w:rsidRDefault="00512338" w:rsidP="00512338">
      <w:pPr>
        <w:rPr>
          <w:rFonts w:asciiTheme="majorHAnsi" w:hAnsiTheme="majorHAnsi"/>
          <w:sz w:val="22"/>
          <w:szCs w:val="22"/>
        </w:rPr>
      </w:pPr>
      <w:r w:rsidRPr="00512338">
        <w:rPr>
          <w:rFonts w:asciiTheme="majorHAnsi" w:hAnsiTheme="majorHAnsi"/>
          <w:sz w:val="22"/>
          <w:szCs w:val="22"/>
        </w:rPr>
        <w:t>b. consideration in money + consideration in any other form</w:t>
      </w:r>
    </w:p>
    <w:p w:rsidR="00512338" w:rsidRPr="00512338" w:rsidRDefault="00512338" w:rsidP="00512338">
      <w:pPr>
        <w:rPr>
          <w:rFonts w:asciiTheme="majorHAnsi" w:hAnsiTheme="majorHAnsi"/>
          <w:sz w:val="22"/>
          <w:szCs w:val="22"/>
        </w:rPr>
      </w:pPr>
      <w:r w:rsidRPr="00512338">
        <w:rPr>
          <w:rFonts w:asciiTheme="majorHAnsi" w:hAnsiTheme="majorHAnsi"/>
          <w:sz w:val="22"/>
          <w:szCs w:val="22"/>
        </w:rPr>
        <w:t>c. consideration in any form other than money</w:t>
      </w:r>
    </w:p>
    <w:p w:rsidR="00512338" w:rsidRPr="00512338" w:rsidRDefault="00512338" w:rsidP="00512338">
      <w:pPr>
        <w:rPr>
          <w:rFonts w:asciiTheme="majorHAnsi" w:hAnsiTheme="majorHAnsi"/>
          <w:sz w:val="22"/>
          <w:szCs w:val="22"/>
        </w:rPr>
      </w:pPr>
      <w:r w:rsidRPr="00512338">
        <w:rPr>
          <w:rFonts w:asciiTheme="majorHAnsi" w:hAnsiTheme="majorHAnsi"/>
          <w:sz w:val="22"/>
          <w:szCs w:val="22"/>
        </w:rPr>
        <w:t>The consideration in any form other than money shall be determined in a manner as prescribed.</w:t>
      </w:r>
    </w:p>
    <w:p w:rsidR="00512338" w:rsidRPr="00512338" w:rsidRDefault="00512338" w:rsidP="00512338">
      <w:pPr>
        <w:rPr>
          <w:rFonts w:asciiTheme="majorHAnsi" w:hAnsiTheme="majorHAnsi"/>
          <w:sz w:val="22"/>
          <w:szCs w:val="22"/>
        </w:rPr>
      </w:pPr>
      <w:r w:rsidRPr="00512338">
        <w:rPr>
          <w:rFonts w:asciiTheme="majorHAnsi" w:hAnsiTheme="majorHAnsi"/>
          <w:i/>
          <w:iCs/>
          <w:sz w:val="22"/>
          <w:szCs w:val="22"/>
        </w:rPr>
        <w:t>(Refer section 67(1) of the Finance Act, 1994)</w:t>
      </w:r>
    </w:p>
    <w:p w:rsidR="00512338" w:rsidRPr="00512338" w:rsidRDefault="00512338" w:rsidP="00512338">
      <w:pPr>
        <w:rPr>
          <w:rFonts w:asciiTheme="majorHAnsi" w:hAnsiTheme="majorHAnsi"/>
          <w:sz w:val="22"/>
          <w:szCs w:val="22"/>
        </w:rPr>
      </w:pPr>
      <w:r w:rsidRPr="00512338">
        <w:rPr>
          <w:rFonts w:asciiTheme="majorHAnsi" w:hAnsiTheme="majorHAnsi"/>
          <w:sz w:val="22"/>
          <w:szCs w:val="22"/>
        </w:rPr>
        <w:t> </w:t>
      </w:r>
    </w:p>
    <w:p w:rsidR="00512338" w:rsidRPr="00512338" w:rsidRDefault="00512338" w:rsidP="00512338">
      <w:pPr>
        <w:rPr>
          <w:rFonts w:asciiTheme="majorHAnsi" w:hAnsiTheme="majorHAnsi"/>
          <w:sz w:val="22"/>
          <w:szCs w:val="22"/>
        </w:rPr>
      </w:pPr>
      <w:r w:rsidRPr="00512338">
        <w:rPr>
          <w:rFonts w:asciiTheme="majorHAnsi" w:hAnsiTheme="majorHAnsi"/>
          <w:b/>
          <w:bCs/>
          <w:sz w:val="22"/>
          <w:szCs w:val="22"/>
        </w:rPr>
        <w:t>5.3</w:t>
      </w:r>
      <w:r w:rsidRPr="00512338">
        <w:rPr>
          <w:rFonts w:asciiTheme="majorHAnsi" w:hAnsiTheme="majorHAnsi"/>
          <w:sz w:val="22"/>
          <w:szCs w:val="22"/>
        </w:rPr>
        <w:t>     Service Tax (Determination of Value) Rules, 2006 have been notified which have the following salient features:</w:t>
      </w:r>
    </w:p>
    <w:p w:rsidR="00512338" w:rsidRPr="00512338" w:rsidRDefault="00512338" w:rsidP="00512338">
      <w:pPr>
        <w:rPr>
          <w:rFonts w:asciiTheme="majorHAnsi" w:hAnsiTheme="majorHAnsi"/>
          <w:sz w:val="22"/>
          <w:szCs w:val="22"/>
        </w:rPr>
      </w:pPr>
      <w:r w:rsidRPr="00512338">
        <w:rPr>
          <w:rFonts w:asciiTheme="majorHAnsi" w:hAnsiTheme="majorHAnsi"/>
          <w:sz w:val="22"/>
          <w:szCs w:val="22"/>
        </w:rPr>
        <w:t> </w:t>
      </w:r>
    </w:p>
    <w:p w:rsidR="00512338" w:rsidRPr="00512338" w:rsidRDefault="00512338" w:rsidP="00512338">
      <w:pPr>
        <w:rPr>
          <w:rFonts w:asciiTheme="majorHAnsi" w:hAnsiTheme="majorHAnsi"/>
          <w:sz w:val="22"/>
          <w:szCs w:val="22"/>
        </w:rPr>
      </w:pPr>
      <w:r w:rsidRPr="00512338">
        <w:rPr>
          <w:rFonts w:asciiTheme="majorHAnsi" w:hAnsiTheme="majorHAnsi"/>
          <w:b/>
          <w:bCs/>
          <w:sz w:val="22"/>
          <w:szCs w:val="22"/>
        </w:rPr>
        <w:t>5.3.1</w:t>
      </w:r>
      <w:r w:rsidRPr="00512338">
        <w:rPr>
          <w:rFonts w:asciiTheme="majorHAnsi" w:hAnsiTheme="majorHAnsi"/>
          <w:sz w:val="22"/>
          <w:szCs w:val="22"/>
        </w:rPr>
        <w:t>   the value of taxable service shall be the gross amount charged for providing such service in ordinary course of trade and the gross amount charged is the sole consideration.</w:t>
      </w:r>
    </w:p>
    <w:p w:rsidR="00512338" w:rsidRPr="00512338" w:rsidRDefault="00512338" w:rsidP="00512338">
      <w:pPr>
        <w:rPr>
          <w:rFonts w:asciiTheme="majorHAnsi" w:hAnsiTheme="majorHAnsi"/>
          <w:sz w:val="22"/>
          <w:szCs w:val="22"/>
        </w:rPr>
      </w:pPr>
      <w:r w:rsidRPr="00512338">
        <w:rPr>
          <w:rFonts w:asciiTheme="majorHAnsi" w:hAnsiTheme="majorHAnsi"/>
          <w:sz w:val="22"/>
          <w:szCs w:val="22"/>
        </w:rPr>
        <w:t> </w:t>
      </w:r>
    </w:p>
    <w:p w:rsidR="00512338" w:rsidRPr="00512338" w:rsidRDefault="00512338" w:rsidP="00512338">
      <w:pPr>
        <w:rPr>
          <w:rFonts w:asciiTheme="majorHAnsi" w:hAnsiTheme="majorHAnsi"/>
          <w:sz w:val="22"/>
          <w:szCs w:val="22"/>
        </w:rPr>
      </w:pPr>
      <w:r w:rsidRPr="00512338">
        <w:rPr>
          <w:rFonts w:asciiTheme="majorHAnsi" w:hAnsiTheme="majorHAnsi"/>
          <w:b/>
          <w:bCs/>
          <w:sz w:val="22"/>
          <w:szCs w:val="22"/>
        </w:rPr>
        <w:t>5.3.2</w:t>
      </w:r>
      <w:r w:rsidRPr="00512338">
        <w:rPr>
          <w:rFonts w:asciiTheme="majorHAnsi" w:hAnsiTheme="majorHAnsi"/>
          <w:sz w:val="22"/>
          <w:szCs w:val="22"/>
        </w:rPr>
        <w:t>   when value cannot be determined by the method given at 5.3.1, then the service provider shall determine the equivalent money value  of such consideration ( which shall in no case be less than the cost of provision of such taxable service)</w:t>
      </w:r>
    </w:p>
    <w:p w:rsidR="00512338" w:rsidRPr="00512338" w:rsidRDefault="00512338" w:rsidP="00512338">
      <w:pPr>
        <w:rPr>
          <w:rFonts w:asciiTheme="majorHAnsi" w:hAnsiTheme="majorHAnsi"/>
          <w:sz w:val="22"/>
          <w:szCs w:val="22"/>
        </w:rPr>
      </w:pPr>
      <w:r w:rsidRPr="00512338">
        <w:rPr>
          <w:rFonts w:asciiTheme="majorHAnsi" w:hAnsiTheme="majorHAnsi"/>
          <w:sz w:val="22"/>
          <w:szCs w:val="22"/>
        </w:rPr>
        <w:t> </w:t>
      </w:r>
    </w:p>
    <w:p w:rsidR="00512338" w:rsidRPr="00512338" w:rsidRDefault="00512338" w:rsidP="00512338">
      <w:pPr>
        <w:rPr>
          <w:rFonts w:asciiTheme="majorHAnsi" w:hAnsiTheme="majorHAnsi"/>
          <w:sz w:val="22"/>
          <w:szCs w:val="22"/>
        </w:rPr>
      </w:pPr>
      <w:r w:rsidRPr="00512338">
        <w:rPr>
          <w:rFonts w:asciiTheme="majorHAnsi" w:hAnsiTheme="majorHAnsi"/>
          <w:b/>
          <w:bCs/>
          <w:sz w:val="22"/>
          <w:szCs w:val="22"/>
        </w:rPr>
        <w:t>5.3.3</w:t>
      </w:r>
      <w:r w:rsidRPr="00512338">
        <w:rPr>
          <w:rFonts w:asciiTheme="majorHAnsi" w:hAnsiTheme="majorHAnsi"/>
          <w:sz w:val="22"/>
          <w:szCs w:val="22"/>
        </w:rPr>
        <w:t>   if the Central Excise Officer is satisfied that the value determined by the service provider is not in accordance with the provisions of the Act or these rules, he shall issue a notice to show cause why the value of taxable service should not be fixed at the amount specified in the notice.</w:t>
      </w:r>
    </w:p>
    <w:p w:rsidR="00512338" w:rsidRPr="00512338" w:rsidRDefault="00512338" w:rsidP="00512338">
      <w:pPr>
        <w:rPr>
          <w:rFonts w:asciiTheme="majorHAnsi" w:hAnsiTheme="majorHAnsi"/>
          <w:sz w:val="22"/>
          <w:szCs w:val="22"/>
        </w:rPr>
      </w:pPr>
      <w:r w:rsidRPr="00512338">
        <w:rPr>
          <w:rFonts w:asciiTheme="majorHAnsi" w:hAnsiTheme="majorHAnsi"/>
          <w:sz w:val="22"/>
          <w:szCs w:val="22"/>
        </w:rPr>
        <w:t> </w:t>
      </w:r>
    </w:p>
    <w:p w:rsidR="00512338" w:rsidRPr="00512338" w:rsidRDefault="00512338" w:rsidP="00512338">
      <w:pPr>
        <w:rPr>
          <w:rFonts w:asciiTheme="majorHAnsi" w:hAnsiTheme="majorHAnsi"/>
          <w:sz w:val="22"/>
          <w:szCs w:val="22"/>
        </w:rPr>
      </w:pPr>
      <w:r w:rsidRPr="00512338">
        <w:rPr>
          <w:rFonts w:asciiTheme="majorHAnsi" w:hAnsiTheme="majorHAnsi"/>
          <w:b/>
          <w:bCs/>
          <w:sz w:val="22"/>
          <w:szCs w:val="22"/>
        </w:rPr>
        <w:t>5.3.4</w:t>
      </w:r>
      <w:r w:rsidRPr="00512338">
        <w:rPr>
          <w:rFonts w:asciiTheme="majorHAnsi" w:hAnsiTheme="majorHAnsi"/>
          <w:sz w:val="22"/>
          <w:szCs w:val="22"/>
        </w:rPr>
        <w:t>   Any expenditure or costs incurred by the service provider in course of providing taxable service shall be treated as consideration for the taxable service provided and shall be included in the value of taxable value.</w:t>
      </w:r>
    </w:p>
    <w:p w:rsidR="00512338" w:rsidRPr="00512338" w:rsidRDefault="00512338" w:rsidP="00512338">
      <w:pPr>
        <w:rPr>
          <w:rFonts w:asciiTheme="majorHAnsi" w:hAnsiTheme="majorHAnsi"/>
          <w:sz w:val="22"/>
          <w:szCs w:val="22"/>
        </w:rPr>
      </w:pPr>
      <w:r w:rsidRPr="00512338">
        <w:rPr>
          <w:rFonts w:asciiTheme="majorHAnsi" w:hAnsiTheme="majorHAnsi"/>
          <w:sz w:val="22"/>
          <w:szCs w:val="22"/>
        </w:rPr>
        <w:t> </w:t>
      </w:r>
    </w:p>
    <w:p w:rsidR="00512338" w:rsidRPr="00512338" w:rsidRDefault="00512338" w:rsidP="00512338">
      <w:pPr>
        <w:rPr>
          <w:rFonts w:asciiTheme="majorHAnsi" w:hAnsiTheme="majorHAnsi"/>
          <w:sz w:val="22"/>
          <w:szCs w:val="22"/>
        </w:rPr>
      </w:pPr>
      <w:r w:rsidRPr="00512338">
        <w:rPr>
          <w:rFonts w:asciiTheme="majorHAnsi" w:hAnsiTheme="majorHAnsi"/>
          <w:b/>
          <w:bCs/>
          <w:sz w:val="22"/>
          <w:szCs w:val="22"/>
        </w:rPr>
        <w:t>5.3.6</w:t>
      </w:r>
      <w:r w:rsidRPr="00512338">
        <w:rPr>
          <w:rFonts w:asciiTheme="majorHAnsi" w:hAnsiTheme="majorHAnsi"/>
          <w:sz w:val="22"/>
          <w:szCs w:val="22"/>
        </w:rPr>
        <w:t>   Specific cases in which the commission, costs, etc. shall be included or excluded are provided under rule 6 of the Service Tax (Determination of Value) Rules, 2006</w:t>
      </w:r>
    </w:p>
    <w:p w:rsidR="00512338" w:rsidRPr="00512338" w:rsidRDefault="00512338" w:rsidP="00512338">
      <w:pPr>
        <w:rPr>
          <w:rFonts w:asciiTheme="majorHAnsi" w:hAnsiTheme="majorHAnsi"/>
          <w:sz w:val="22"/>
          <w:szCs w:val="22"/>
        </w:rPr>
      </w:pPr>
      <w:r w:rsidRPr="00512338">
        <w:rPr>
          <w:rFonts w:asciiTheme="majorHAnsi" w:hAnsiTheme="majorHAnsi"/>
          <w:sz w:val="22"/>
          <w:szCs w:val="22"/>
        </w:rPr>
        <w:t>  </w:t>
      </w:r>
    </w:p>
    <w:p w:rsidR="00512338" w:rsidRPr="00512338" w:rsidRDefault="00512338" w:rsidP="00512338">
      <w:pPr>
        <w:rPr>
          <w:rFonts w:asciiTheme="majorHAnsi" w:hAnsiTheme="majorHAnsi"/>
          <w:sz w:val="22"/>
          <w:szCs w:val="22"/>
        </w:rPr>
      </w:pPr>
      <w:r w:rsidRPr="00512338">
        <w:rPr>
          <w:rFonts w:asciiTheme="majorHAnsi" w:hAnsiTheme="majorHAnsi"/>
          <w:b/>
          <w:bCs/>
          <w:sz w:val="22"/>
          <w:szCs w:val="22"/>
        </w:rPr>
        <w:t>5.4</w:t>
      </w:r>
      <w:r w:rsidRPr="00512338">
        <w:rPr>
          <w:rFonts w:asciiTheme="majorHAnsi" w:hAnsiTheme="majorHAnsi"/>
          <w:sz w:val="22"/>
          <w:szCs w:val="22"/>
        </w:rPr>
        <w:t xml:space="preserve">     The gross amount charged can be inclusive of service tax. In such a case the value shall be such amount as, with the addition of tax payable, is equal to the gross amount charged. </w:t>
      </w:r>
    </w:p>
    <w:p w:rsidR="00512338" w:rsidRPr="00512338" w:rsidRDefault="00512338" w:rsidP="00512338">
      <w:pPr>
        <w:rPr>
          <w:rFonts w:asciiTheme="majorHAnsi" w:hAnsiTheme="majorHAnsi"/>
          <w:sz w:val="22"/>
          <w:szCs w:val="22"/>
        </w:rPr>
      </w:pPr>
      <w:r w:rsidRPr="00512338">
        <w:rPr>
          <w:rFonts w:asciiTheme="majorHAnsi" w:hAnsiTheme="majorHAnsi"/>
          <w:sz w:val="22"/>
          <w:szCs w:val="22"/>
        </w:rPr>
        <w:t>( e.g. if gross amount charged, including service tax is Rs.100. Then the value of taxable service shall be Rs.90.75 and the service tax payable shall be Rs.9.07 plus Education Cess  Rs.0.18) (</w:t>
      </w:r>
      <w:r w:rsidRPr="00512338">
        <w:rPr>
          <w:rFonts w:asciiTheme="majorHAnsi" w:hAnsiTheme="majorHAnsi"/>
          <w:b/>
          <w:sz w:val="22"/>
          <w:szCs w:val="22"/>
        </w:rPr>
        <w:t>with format)</w:t>
      </w:r>
      <w:r w:rsidRPr="00512338">
        <w:rPr>
          <w:rFonts w:asciiTheme="majorHAnsi" w:hAnsiTheme="majorHAnsi"/>
          <w:sz w:val="22"/>
          <w:szCs w:val="22"/>
        </w:rPr>
        <w:t> </w:t>
      </w:r>
    </w:p>
    <w:p w:rsidR="00512338" w:rsidRPr="00512338" w:rsidRDefault="00512338" w:rsidP="00512338">
      <w:pPr>
        <w:rPr>
          <w:rFonts w:asciiTheme="majorHAnsi" w:hAnsiTheme="majorHAnsi"/>
          <w:sz w:val="22"/>
          <w:szCs w:val="22"/>
        </w:rPr>
      </w:pPr>
      <w:r w:rsidRPr="00512338">
        <w:rPr>
          <w:rFonts w:asciiTheme="majorHAnsi" w:hAnsiTheme="majorHAnsi"/>
          <w:b/>
          <w:bCs/>
          <w:sz w:val="22"/>
          <w:szCs w:val="22"/>
        </w:rPr>
        <w:t>5.5</w:t>
      </w:r>
      <w:r w:rsidRPr="00512338">
        <w:rPr>
          <w:rFonts w:asciiTheme="majorHAnsi" w:hAnsiTheme="majorHAnsi"/>
          <w:sz w:val="22"/>
          <w:szCs w:val="22"/>
        </w:rPr>
        <w:t>     The gross amount charged for taxable service shall include any amount received towards the taxable service before, during or after provision of such service.</w:t>
      </w:r>
    </w:p>
    <w:tbl>
      <w:tblPr>
        <w:tblW w:w="3460" w:type="pct"/>
        <w:tblInd w:w="727" w:type="dxa"/>
        <w:tblCellMar>
          <w:left w:w="0" w:type="dxa"/>
          <w:right w:w="0" w:type="dxa"/>
        </w:tblCellMar>
        <w:tblLook w:val="0000"/>
      </w:tblPr>
      <w:tblGrid>
        <w:gridCol w:w="7305"/>
      </w:tblGrid>
      <w:tr w:rsidR="00C4297F" w:rsidRPr="00C4297F" w:rsidTr="00F34292">
        <w:trPr>
          <w:trHeight w:val="587"/>
        </w:trPr>
        <w:tc>
          <w:tcPr>
            <w:tcW w:w="5000" w:type="pct"/>
            <w:tcBorders>
              <w:top w:val="outset" w:sz="8" w:space="0" w:color="00CCFF"/>
              <w:left w:val="outset" w:sz="8" w:space="0" w:color="00CCFF"/>
              <w:bottom w:val="outset" w:sz="8" w:space="0" w:color="00CCFF"/>
              <w:right w:val="outset" w:sz="8" w:space="0" w:color="00CCFF"/>
            </w:tcBorders>
            <w:shd w:val="clear" w:color="auto" w:fill="006699"/>
            <w:tcMar>
              <w:top w:w="45" w:type="dxa"/>
              <w:left w:w="45" w:type="dxa"/>
              <w:bottom w:w="45" w:type="dxa"/>
              <w:right w:w="45" w:type="dxa"/>
            </w:tcMar>
            <w:vAlign w:val="center"/>
          </w:tcPr>
          <w:p w:rsidR="00C4297F" w:rsidRPr="00C4297F" w:rsidRDefault="00C4297F" w:rsidP="00C4297F">
            <w:pPr>
              <w:jc w:val="center"/>
              <w:rPr>
                <w:rFonts w:asciiTheme="majorHAnsi" w:hAnsiTheme="majorHAnsi"/>
                <w:sz w:val="22"/>
                <w:szCs w:val="22"/>
              </w:rPr>
            </w:pPr>
            <w:r w:rsidRPr="00C4297F">
              <w:rPr>
                <w:rFonts w:asciiTheme="majorHAnsi" w:hAnsiTheme="majorHAnsi"/>
                <w:b/>
                <w:bCs/>
                <w:sz w:val="22"/>
                <w:szCs w:val="22"/>
              </w:rPr>
              <w:t xml:space="preserve">6. </w:t>
            </w:r>
            <w:r w:rsidRPr="00C4297F">
              <w:rPr>
                <w:rFonts w:asciiTheme="majorHAnsi" w:hAnsiTheme="majorHAnsi"/>
                <w:b/>
                <w:bCs/>
                <w:sz w:val="40"/>
                <w:szCs w:val="22"/>
              </w:rPr>
              <w:t>Payment of Service Tax</w:t>
            </w:r>
          </w:p>
        </w:tc>
      </w:tr>
    </w:tbl>
    <w:p w:rsidR="00C4297F" w:rsidRPr="00C4297F" w:rsidRDefault="00C4297F" w:rsidP="00C4297F">
      <w:pPr>
        <w:rPr>
          <w:rFonts w:asciiTheme="majorHAnsi" w:hAnsiTheme="majorHAnsi"/>
          <w:sz w:val="22"/>
          <w:szCs w:val="22"/>
        </w:rPr>
      </w:pPr>
      <w:r w:rsidRPr="00C4297F">
        <w:rPr>
          <w:rFonts w:asciiTheme="majorHAnsi" w:hAnsiTheme="majorHAnsi"/>
          <w:sz w:val="22"/>
          <w:szCs w:val="22"/>
        </w:rPr>
        <w:t> </w:t>
      </w:r>
    </w:p>
    <w:p w:rsidR="00C4297F" w:rsidRPr="00C4297F" w:rsidRDefault="00C4297F" w:rsidP="00C4297F">
      <w:pPr>
        <w:rPr>
          <w:rFonts w:asciiTheme="majorHAnsi" w:hAnsiTheme="majorHAnsi"/>
          <w:sz w:val="22"/>
          <w:szCs w:val="22"/>
        </w:rPr>
      </w:pPr>
      <w:r w:rsidRPr="00C4297F">
        <w:rPr>
          <w:rFonts w:asciiTheme="majorHAnsi" w:hAnsiTheme="majorHAnsi"/>
          <w:sz w:val="22"/>
          <w:szCs w:val="22"/>
        </w:rPr>
        <w:t>Any person providing taxable service to any person shall pay service tax at the rate specified in Sec.66 in such a manner and within such period as may be prescribed.</w:t>
      </w:r>
    </w:p>
    <w:p w:rsidR="00C4297F" w:rsidRPr="00C4297F" w:rsidRDefault="00C4297F" w:rsidP="00C4297F">
      <w:pPr>
        <w:rPr>
          <w:rFonts w:asciiTheme="majorHAnsi" w:hAnsiTheme="majorHAnsi"/>
          <w:sz w:val="22"/>
          <w:szCs w:val="22"/>
        </w:rPr>
      </w:pPr>
      <w:r w:rsidRPr="00C4297F">
        <w:rPr>
          <w:rFonts w:asciiTheme="majorHAnsi" w:hAnsiTheme="majorHAnsi"/>
          <w:sz w:val="22"/>
          <w:szCs w:val="22"/>
        </w:rPr>
        <w:t>(Sec.68 of the Finance Act, 1994)</w:t>
      </w:r>
    </w:p>
    <w:p w:rsidR="00C4297F" w:rsidRPr="00C4297F" w:rsidRDefault="00C4297F" w:rsidP="00C4297F">
      <w:pPr>
        <w:rPr>
          <w:rFonts w:asciiTheme="majorHAnsi" w:hAnsiTheme="majorHAnsi"/>
          <w:b/>
          <w:sz w:val="22"/>
          <w:szCs w:val="22"/>
        </w:rPr>
      </w:pPr>
      <w:r w:rsidRPr="00C4297F">
        <w:rPr>
          <w:rFonts w:asciiTheme="majorHAnsi" w:hAnsiTheme="majorHAnsi"/>
          <w:sz w:val="22"/>
          <w:szCs w:val="22"/>
        </w:rPr>
        <w:t xml:space="preserve">The table below shows the rate of service tax applicable at the relevant period of time. </w:t>
      </w:r>
      <w:r w:rsidRPr="00C4297F">
        <w:rPr>
          <w:rFonts w:asciiTheme="majorHAnsi" w:hAnsiTheme="majorHAnsi"/>
          <w:b/>
          <w:sz w:val="22"/>
          <w:szCs w:val="22"/>
        </w:rPr>
        <w:t>(10.30%)</w:t>
      </w:r>
    </w:p>
    <w:p w:rsidR="00C4297F" w:rsidRPr="00C4297F" w:rsidRDefault="00C4297F" w:rsidP="00C4297F">
      <w:pPr>
        <w:rPr>
          <w:rFonts w:asciiTheme="majorHAnsi" w:hAnsiTheme="majorHAnsi"/>
          <w:b/>
          <w:sz w:val="22"/>
          <w:szCs w:val="22"/>
        </w:rPr>
      </w:pPr>
      <w:r w:rsidRPr="00C4297F">
        <w:rPr>
          <w:rFonts w:asciiTheme="majorHAnsi" w:hAnsiTheme="majorHAnsi"/>
          <w:b/>
          <w:sz w:val="22"/>
          <w:szCs w:val="22"/>
        </w:rPr>
        <w:t> </w:t>
      </w:r>
    </w:p>
    <w:tbl>
      <w:tblPr>
        <w:tblW w:w="8838" w:type="dxa"/>
        <w:jc w:val="center"/>
        <w:tblCellMar>
          <w:left w:w="0" w:type="dxa"/>
          <w:right w:w="0" w:type="dxa"/>
        </w:tblCellMar>
        <w:tblLook w:val="0000"/>
      </w:tblPr>
      <w:tblGrid>
        <w:gridCol w:w="855"/>
        <w:gridCol w:w="2913"/>
        <w:gridCol w:w="1726"/>
        <w:gridCol w:w="1666"/>
        <w:gridCol w:w="1678"/>
      </w:tblGrid>
      <w:tr w:rsidR="00C4297F" w:rsidRPr="00C4297F" w:rsidTr="00F34292">
        <w:trPr>
          <w:jc w:val="center"/>
        </w:trPr>
        <w:tc>
          <w:tcPr>
            <w:tcW w:w="8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4297F" w:rsidRPr="00C4297F" w:rsidRDefault="00C4297F" w:rsidP="00C4297F">
            <w:pPr>
              <w:rPr>
                <w:rFonts w:asciiTheme="majorHAnsi" w:hAnsiTheme="majorHAnsi"/>
                <w:sz w:val="22"/>
                <w:szCs w:val="22"/>
              </w:rPr>
            </w:pPr>
            <w:r w:rsidRPr="00C4297F">
              <w:rPr>
                <w:rFonts w:asciiTheme="majorHAnsi" w:hAnsiTheme="majorHAnsi"/>
                <w:sz w:val="22"/>
                <w:szCs w:val="22"/>
              </w:rPr>
              <w:t>Sr.No.</w:t>
            </w:r>
          </w:p>
        </w:tc>
        <w:tc>
          <w:tcPr>
            <w:tcW w:w="291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4297F" w:rsidRPr="00C4297F" w:rsidRDefault="00C4297F" w:rsidP="00C4297F">
            <w:pPr>
              <w:rPr>
                <w:rFonts w:asciiTheme="majorHAnsi" w:hAnsiTheme="majorHAnsi"/>
                <w:sz w:val="22"/>
                <w:szCs w:val="22"/>
              </w:rPr>
            </w:pPr>
            <w:r w:rsidRPr="00C4297F">
              <w:rPr>
                <w:rFonts w:asciiTheme="majorHAnsi" w:hAnsiTheme="majorHAnsi"/>
                <w:sz w:val="22"/>
                <w:szCs w:val="22"/>
              </w:rPr>
              <w:t>Period</w:t>
            </w:r>
          </w:p>
        </w:tc>
        <w:tc>
          <w:tcPr>
            <w:tcW w:w="172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4297F" w:rsidRPr="00C4297F" w:rsidRDefault="00C4297F" w:rsidP="00C4297F">
            <w:pPr>
              <w:rPr>
                <w:rFonts w:asciiTheme="majorHAnsi" w:hAnsiTheme="majorHAnsi"/>
                <w:sz w:val="22"/>
                <w:szCs w:val="22"/>
              </w:rPr>
            </w:pPr>
            <w:r w:rsidRPr="00C4297F">
              <w:rPr>
                <w:rFonts w:asciiTheme="majorHAnsi" w:hAnsiTheme="majorHAnsi"/>
                <w:sz w:val="22"/>
                <w:szCs w:val="22"/>
              </w:rPr>
              <w:t>Rate of Service Tax</w:t>
            </w:r>
          </w:p>
        </w:tc>
        <w:tc>
          <w:tcPr>
            <w:tcW w:w="166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4297F" w:rsidRPr="00C4297F" w:rsidRDefault="00C4297F" w:rsidP="00C4297F">
            <w:pPr>
              <w:rPr>
                <w:rFonts w:asciiTheme="majorHAnsi" w:hAnsiTheme="majorHAnsi"/>
                <w:sz w:val="22"/>
                <w:szCs w:val="22"/>
              </w:rPr>
            </w:pPr>
            <w:r w:rsidRPr="00C4297F">
              <w:rPr>
                <w:rFonts w:asciiTheme="majorHAnsi" w:hAnsiTheme="majorHAnsi"/>
                <w:sz w:val="22"/>
                <w:szCs w:val="22"/>
              </w:rPr>
              <w:t>Rate of Education Cess</w:t>
            </w:r>
          </w:p>
        </w:tc>
        <w:tc>
          <w:tcPr>
            <w:tcW w:w="1678" w:type="dxa"/>
            <w:tcBorders>
              <w:top w:val="single" w:sz="8" w:space="0" w:color="auto"/>
              <w:left w:val="nil"/>
              <w:bottom w:val="single" w:sz="8" w:space="0" w:color="auto"/>
              <w:right w:val="single" w:sz="8" w:space="0" w:color="auto"/>
            </w:tcBorders>
          </w:tcPr>
          <w:p w:rsidR="00C4297F" w:rsidRPr="00C4297F" w:rsidRDefault="00C4297F" w:rsidP="00C4297F">
            <w:pPr>
              <w:rPr>
                <w:rFonts w:asciiTheme="majorHAnsi" w:hAnsiTheme="majorHAnsi"/>
                <w:sz w:val="22"/>
                <w:szCs w:val="22"/>
              </w:rPr>
            </w:pPr>
            <w:r w:rsidRPr="00C4297F">
              <w:rPr>
                <w:rFonts w:asciiTheme="majorHAnsi" w:hAnsiTheme="majorHAnsi"/>
                <w:sz w:val="22"/>
                <w:szCs w:val="22"/>
              </w:rPr>
              <w:t>Rate of Secondary &amp; Higher Education Cess</w:t>
            </w:r>
          </w:p>
        </w:tc>
      </w:tr>
      <w:tr w:rsidR="00C4297F" w:rsidRPr="00C4297F" w:rsidTr="00F34292">
        <w:trPr>
          <w:trHeight w:val="367"/>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4297F" w:rsidRPr="00C4297F" w:rsidRDefault="00C4297F" w:rsidP="00C4297F">
            <w:pPr>
              <w:rPr>
                <w:rFonts w:asciiTheme="majorHAnsi" w:hAnsiTheme="majorHAnsi"/>
                <w:sz w:val="22"/>
                <w:szCs w:val="22"/>
              </w:rPr>
            </w:pPr>
            <w:r w:rsidRPr="00C4297F">
              <w:rPr>
                <w:rFonts w:asciiTheme="majorHAnsi" w:hAnsiTheme="majorHAnsi"/>
                <w:sz w:val="22"/>
                <w:szCs w:val="22"/>
              </w:rPr>
              <w:t>1</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rsidR="00C4297F" w:rsidRPr="00C4297F" w:rsidRDefault="00C4297F" w:rsidP="00C4297F">
            <w:pPr>
              <w:rPr>
                <w:rFonts w:asciiTheme="majorHAnsi" w:hAnsiTheme="majorHAnsi"/>
                <w:sz w:val="22"/>
                <w:szCs w:val="22"/>
              </w:rPr>
            </w:pPr>
            <w:r w:rsidRPr="00C4297F">
              <w:rPr>
                <w:rFonts w:asciiTheme="majorHAnsi" w:hAnsiTheme="majorHAnsi"/>
                <w:sz w:val="22"/>
                <w:szCs w:val="22"/>
              </w:rPr>
              <w:t>18.04.2006 to 31.05.2007</w:t>
            </w:r>
          </w:p>
        </w:tc>
        <w:tc>
          <w:tcPr>
            <w:tcW w:w="1726" w:type="dxa"/>
            <w:tcBorders>
              <w:top w:val="nil"/>
              <w:left w:val="nil"/>
              <w:bottom w:val="single" w:sz="8" w:space="0" w:color="auto"/>
              <w:right w:val="single" w:sz="8" w:space="0" w:color="auto"/>
            </w:tcBorders>
            <w:tcMar>
              <w:top w:w="0" w:type="dxa"/>
              <w:left w:w="108" w:type="dxa"/>
              <w:bottom w:w="0" w:type="dxa"/>
              <w:right w:w="108" w:type="dxa"/>
            </w:tcMar>
          </w:tcPr>
          <w:p w:rsidR="00C4297F" w:rsidRPr="00C4297F" w:rsidRDefault="00C4297F" w:rsidP="00C4297F">
            <w:pPr>
              <w:rPr>
                <w:rFonts w:asciiTheme="majorHAnsi" w:hAnsiTheme="majorHAnsi"/>
                <w:sz w:val="22"/>
                <w:szCs w:val="22"/>
              </w:rPr>
            </w:pPr>
            <w:r w:rsidRPr="00C4297F">
              <w:rPr>
                <w:rFonts w:asciiTheme="majorHAnsi" w:hAnsiTheme="majorHAnsi"/>
                <w:sz w:val="22"/>
                <w:szCs w:val="22"/>
              </w:rPr>
              <w:t>12%</w:t>
            </w:r>
          </w:p>
        </w:tc>
        <w:tc>
          <w:tcPr>
            <w:tcW w:w="1666" w:type="dxa"/>
            <w:tcBorders>
              <w:top w:val="nil"/>
              <w:left w:val="nil"/>
              <w:bottom w:val="single" w:sz="8" w:space="0" w:color="auto"/>
              <w:right w:val="single" w:sz="8" w:space="0" w:color="auto"/>
            </w:tcBorders>
            <w:tcMar>
              <w:top w:w="0" w:type="dxa"/>
              <w:left w:w="108" w:type="dxa"/>
              <w:bottom w:w="0" w:type="dxa"/>
              <w:right w:w="108" w:type="dxa"/>
            </w:tcMar>
          </w:tcPr>
          <w:p w:rsidR="00C4297F" w:rsidRPr="00C4297F" w:rsidRDefault="00C4297F" w:rsidP="00C4297F">
            <w:pPr>
              <w:rPr>
                <w:rFonts w:asciiTheme="majorHAnsi" w:hAnsiTheme="majorHAnsi"/>
                <w:sz w:val="22"/>
                <w:szCs w:val="22"/>
              </w:rPr>
            </w:pPr>
            <w:r w:rsidRPr="00C4297F">
              <w:rPr>
                <w:rFonts w:asciiTheme="majorHAnsi" w:hAnsiTheme="majorHAnsi"/>
                <w:sz w:val="22"/>
                <w:szCs w:val="22"/>
              </w:rPr>
              <w:t>2% of the S.T.</w:t>
            </w:r>
          </w:p>
        </w:tc>
        <w:tc>
          <w:tcPr>
            <w:tcW w:w="1678" w:type="dxa"/>
            <w:tcBorders>
              <w:top w:val="nil"/>
              <w:left w:val="nil"/>
              <w:bottom w:val="single" w:sz="8" w:space="0" w:color="auto"/>
              <w:right w:val="single" w:sz="8" w:space="0" w:color="auto"/>
            </w:tcBorders>
          </w:tcPr>
          <w:p w:rsidR="00C4297F" w:rsidRPr="00C4297F" w:rsidRDefault="00C4297F" w:rsidP="00C4297F">
            <w:pPr>
              <w:rPr>
                <w:rFonts w:asciiTheme="majorHAnsi" w:hAnsiTheme="majorHAnsi"/>
                <w:sz w:val="22"/>
                <w:szCs w:val="22"/>
              </w:rPr>
            </w:pPr>
            <w:r w:rsidRPr="00C4297F">
              <w:rPr>
                <w:rFonts w:asciiTheme="majorHAnsi" w:hAnsiTheme="majorHAnsi"/>
                <w:sz w:val="22"/>
                <w:szCs w:val="22"/>
              </w:rPr>
              <w:t>Nil</w:t>
            </w:r>
          </w:p>
        </w:tc>
      </w:tr>
      <w:tr w:rsidR="00C4297F" w:rsidRPr="00C4297F" w:rsidTr="00F34292">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4297F" w:rsidRPr="00C4297F" w:rsidRDefault="00C4297F" w:rsidP="00C4297F">
            <w:pPr>
              <w:rPr>
                <w:rFonts w:asciiTheme="majorHAnsi" w:hAnsiTheme="majorHAnsi"/>
                <w:sz w:val="22"/>
                <w:szCs w:val="22"/>
              </w:rPr>
            </w:pPr>
            <w:r w:rsidRPr="00C4297F">
              <w:rPr>
                <w:rFonts w:asciiTheme="majorHAnsi" w:hAnsiTheme="majorHAnsi"/>
                <w:sz w:val="22"/>
                <w:szCs w:val="22"/>
              </w:rPr>
              <w:t>2</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rsidR="00C4297F" w:rsidRPr="00C4297F" w:rsidRDefault="00C4297F" w:rsidP="00C4297F">
            <w:pPr>
              <w:rPr>
                <w:rFonts w:asciiTheme="majorHAnsi" w:hAnsiTheme="majorHAnsi"/>
                <w:sz w:val="22"/>
                <w:szCs w:val="22"/>
              </w:rPr>
            </w:pPr>
            <w:r w:rsidRPr="00C4297F">
              <w:rPr>
                <w:rFonts w:asciiTheme="majorHAnsi" w:hAnsiTheme="majorHAnsi"/>
                <w:sz w:val="22"/>
                <w:szCs w:val="22"/>
              </w:rPr>
              <w:t>01.06.2007 to 23.02.2009</w:t>
            </w:r>
          </w:p>
        </w:tc>
        <w:tc>
          <w:tcPr>
            <w:tcW w:w="1726" w:type="dxa"/>
            <w:tcBorders>
              <w:top w:val="nil"/>
              <w:left w:val="nil"/>
              <w:bottom w:val="single" w:sz="8" w:space="0" w:color="auto"/>
              <w:right w:val="single" w:sz="8" w:space="0" w:color="auto"/>
            </w:tcBorders>
            <w:tcMar>
              <w:top w:w="0" w:type="dxa"/>
              <w:left w:w="108" w:type="dxa"/>
              <w:bottom w:w="0" w:type="dxa"/>
              <w:right w:w="108" w:type="dxa"/>
            </w:tcMar>
          </w:tcPr>
          <w:p w:rsidR="00C4297F" w:rsidRPr="00C4297F" w:rsidRDefault="00C4297F" w:rsidP="00C4297F">
            <w:pPr>
              <w:rPr>
                <w:rFonts w:asciiTheme="majorHAnsi" w:hAnsiTheme="majorHAnsi"/>
                <w:sz w:val="22"/>
                <w:szCs w:val="22"/>
              </w:rPr>
            </w:pPr>
            <w:r w:rsidRPr="00C4297F">
              <w:rPr>
                <w:rFonts w:asciiTheme="majorHAnsi" w:hAnsiTheme="majorHAnsi"/>
                <w:sz w:val="22"/>
                <w:szCs w:val="22"/>
              </w:rPr>
              <w:t>12%</w:t>
            </w:r>
          </w:p>
        </w:tc>
        <w:tc>
          <w:tcPr>
            <w:tcW w:w="1666" w:type="dxa"/>
            <w:tcBorders>
              <w:top w:val="nil"/>
              <w:left w:val="nil"/>
              <w:bottom w:val="single" w:sz="8" w:space="0" w:color="auto"/>
              <w:right w:val="single" w:sz="8" w:space="0" w:color="auto"/>
            </w:tcBorders>
            <w:tcMar>
              <w:top w:w="0" w:type="dxa"/>
              <w:left w:w="108" w:type="dxa"/>
              <w:bottom w:w="0" w:type="dxa"/>
              <w:right w:w="108" w:type="dxa"/>
            </w:tcMar>
          </w:tcPr>
          <w:p w:rsidR="00C4297F" w:rsidRPr="00C4297F" w:rsidRDefault="00C4297F" w:rsidP="00C4297F">
            <w:pPr>
              <w:rPr>
                <w:rFonts w:asciiTheme="majorHAnsi" w:hAnsiTheme="majorHAnsi"/>
                <w:sz w:val="22"/>
                <w:szCs w:val="22"/>
              </w:rPr>
            </w:pPr>
            <w:r w:rsidRPr="00C4297F">
              <w:rPr>
                <w:rFonts w:asciiTheme="majorHAnsi" w:hAnsiTheme="majorHAnsi"/>
                <w:sz w:val="22"/>
                <w:szCs w:val="22"/>
              </w:rPr>
              <w:t>2% of S.T.</w:t>
            </w:r>
          </w:p>
        </w:tc>
        <w:tc>
          <w:tcPr>
            <w:tcW w:w="1678" w:type="dxa"/>
            <w:tcBorders>
              <w:top w:val="nil"/>
              <w:left w:val="nil"/>
              <w:bottom w:val="single" w:sz="8" w:space="0" w:color="auto"/>
              <w:right w:val="single" w:sz="8" w:space="0" w:color="auto"/>
            </w:tcBorders>
          </w:tcPr>
          <w:p w:rsidR="00C4297F" w:rsidRPr="00C4297F" w:rsidRDefault="00C4297F" w:rsidP="00C4297F">
            <w:pPr>
              <w:rPr>
                <w:rFonts w:asciiTheme="majorHAnsi" w:hAnsiTheme="majorHAnsi"/>
                <w:sz w:val="22"/>
                <w:szCs w:val="22"/>
              </w:rPr>
            </w:pPr>
            <w:r w:rsidRPr="00C4297F">
              <w:rPr>
                <w:rFonts w:asciiTheme="majorHAnsi" w:hAnsiTheme="majorHAnsi"/>
                <w:sz w:val="22"/>
                <w:szCs w:val="22"/>
              </w:rPr>
              <w:t>1% of S.T.</w:t>
            </w:r>
          </w:p>
        </w:tc>
      </w:tr>
      <w:tr w:rsidR="00C4297F" w:rsidRPr="00C4297F" w:rsidTr="00F34292">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4297F" w:rsidRPr="00C4297F" w:rsidRDefault="00C4297F" w:rsidP="00C4297F">
            <w:pPr>
              <w:rPr>
                <w:rFonts w:asciiTheme="majorHAnsi" w:hAnsiTheme="majorHAnsi"/>
                <w:b/>
                <w:sz w:val="22"/>
                <w:szCs w:val="22"/>
              </w:rPr>
            </w:pPr>
            <w:r w:rsidRPr="00C4297F">
              <w:rPr>
                <w:rFonts w:asciiTheme="majorHAnsi" w:hAnsiTheme="majorHAnsi"/>
                <w:b/>
                <w:sz w:val="22"/>
                <w:szCs w:val="22"/>
              </w:rPr>
              <w:t>3</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rsidR="00C4297F" w:rsidRPr="00C4297F" w:rsidRDefault="00C4297F" w:rsidP="00C4297F">
            <w:pPr>
              <w:rPr>
                <w:rFonts w:asciiTheme="majorHAnsi" w:hAnsiTheme="majorHAnsi"/>
                <w:b/>
                <w:sz w:val="22"/>
                <w:szCs w:val="22"/>
              </w:rPr>
            </w:pPr>
            <w:r w:rsidRPr="00C4297F">
              <w:rPr>
                <w:rFonts w:asciiTheme="majorHAnsi" w:hAnsiTheme="majorHAnsi"/>
                <w:b/>
                <w:sz w:val="22"/>
                <w:szCs w:val="22"/>
              </w:rPr>
              <w:t>From 24.02.2009</w:t>
            </w:r>
          </w:p>
        </w:tc>
        <w:tc>
          <w:tcPr>
            <w:tcW w:w="1726" w:type="dxa"/>
            <w:tcBorders>
              <w:top w:val="nil"/>
              <w:left w:val="nil"/>
              <w:bottom w:val="single" w:sz="8" w:space="0" w:color="auto"/>
              <w:right w:val="single" w:sz="8" w:space="0" w:color="auto"/>
            </w:tcBorders>
            <w:tcMar>
              <w:top w:w="0" w:type="dxa"/>
              <w:left w:w="108" w:type="dxa"/>
              <w:bottom w:w="0" w:type="dxa"/>
              <w:right w:w="108" w:type="dxa"/>
            </w:tcMar>
          </w:tcPr>
          <w:p w:rsidR="00C4297F" w:rsidRPr="00C4297F" w:rsidRDefault="00C4297F" w:rsidP="00C4297F">
            <w:pPr>
              <w:rPr>
                <w:rFonts w:asciiTheme="majorHAnsi" w:hAnsiTheme="majorHAnsi"/>
                <w:b/>
                <w:sz w:val="22"/>
                <w:szCs w:val="22"/>
              </w:rPr>
            </w:pPr>
            <w:r w:rsidRPr="00C4297F">
              <w:rPr>
                <w:rFonts w:asciiTheme="majorHAnsi" w:hAnsiTheme="majorHAnsi"/>
                <w:b/>
                <w:sz w:val="22"/>
                <w:szCs w:val="22"/>
              </w:rPr>
              <w:t>10%</w:t>
            </w:r>
          </w:p>
        </w:tc>
        <w:tc>
          <w:tcPr>
            <w:tcW w:w="1666" w:type="dxa"/>
            <w:tcBorders>
              <w:top w:val="nil"/>
              <w:left w:val="nil"/>
              <w:bottom w:val="single" w:sz="8" w:space="0" w:color="auto"/>
              <w:right w:val="single" w:sz="8" w:space="0" w:color="auto"/>
            </w:tcBorders>
            <w:tcMar>
              <w:top w:w="0" w:type="dxa"/>
              <w:left w:w="108" w:type="dxa"/>
              <w:bottom w:w="0" w:type="dxa"/>
              <w:right w:w="108" w:type="dxa"/>
            </w:tcMar>
          </w:tcPr>
          <w:p w:rsidR="00C4297F" w:rsidRPr="00C4297F" w:rsidRDefault="00C4297F" w:rsidP="00C4297F">
            <w:pPr>
              <w:rPr>
                <w:rFonts w:asciiTheme="majorHAnsi" w:hAnsiTheme="majorHAnsi"/>
                <w:b/>
                <w:sz w:val="22"/>
                <w:szCs w:val="22"/>
              </w:rPr>
            </w:pPr>
            <w:r w:rsidRPr="00C4297F">
              <w:rPr>
                <w:rFonts w:asciiTheme="majorHAnsi" w:hAnsiTheme="majorHAnsi"/>
                <w:b/>
                <w:sz w:val="22"/>
                <w:szCs w:val="22"/>
              </w:rPr>
              <w:t>2% of S.T.</w:t>
            </w:r>
          </w:p>
        </w:tc>
        <w:tc>
          <w:tcPr>
            <w:tcW w:w="1678" w:type="dxa"/>
            <w:tcBorders>
              <w:top w:val="nil"/>
              <w:left w:val="nil"/>
              <w:bottom w:val="single" w:sz="8" w:space="0" w:color="auto"/>
              <w:right w:val="single" w:sz="8" w:space="0" w:color="auto"/>
            </w:tcBorders>
          </w:tcPr>
          <w:p w:rsidR="00C4297F" w:rsidRPr="00C4297F" w:rsidRDefault="00C4297F" w:rsidP="00C4297F">
            <w:pPr>
              <w:rPr>
                <w:rFonts w:asciiTheme="majorHAnsi" w:hAnsiTheme="majorHAnsi"/>
                <w:b/>
                <w:sz w:val="22"/>
                <w:szCs w:val="22"/>
              </w:rPr>
            </w:pPr>
            <w:r w:rsidRPr="00C4297F">
              <w:rPr>
                <w:rFonts w:asciiTheme="majorHAnsi" w:hAnsiTheme="majorHAnsi"/>
                <w:b/>
                <w:sz w:val="22"/>
                <w:szCs w:val="22"/>
              </w:rPr>
              <w:t>1% of S.T.</w:t>
            </w:r>
          </w:p>
        </w:tc>
      </w:tr>
    </w:tbl>
    <w:p w:rsidR="00C4297F" w:rsidRPr="00C4297F" w:rsidRDefault="00C4297F" w:rsidP="00C4297F">
      <w:pPr>
        <w:rPr>
          <w:rFonts w:asciiTheme="majorHAnsi" w:hAnsiTheme="majorHAnsi"/>
          <w:sz w:val="22"/>
          <w:szCs w:val="22"/>
        </w:rPr>
      </w:pPr>
      <w:r w:rsidRPr="00C4297F">
        <w:rPr>
          <w:rFonts w:asciiTheme="majorHAnsi" w:hAnsiTheme="majorHAnsi"/>
          <w:b/>
          <w:bCs/>
          <w:sz w:val="22"/>
          <w:szCs w:val="22"/>
        </w:rPr>
        <w:t> </w:t>
      </w:r>
    </w:p>
    <w:p w:rsidR="00C4297F" w:rsidRPr="00C4297F" w:rsidRDefault="00C4297F" w:rsidP="00C4297F">
      <w:pPr>
        <w:rPr>
          <w:rFonts w:asciiTheme="majorHAnsi" w:hAnsiTheme="majorHAnsi"/>
          <w:sz w:val="22"/>
          <w:szCs w:val="22"/>
        </w:rPr>
      </w:pPr>
      <w:r w:rsidRPr="00C4297F">
        <w:rPr>
          <w:rFonts w:asciiTheme="majorHAnsi" w:hAnsiTheme="majorHAnsi"/>
          <w:sz w:val="22"/>
          <w:szCs w:val="22"/>
        </w:rPr>
        <w:t> </w:t>
      </w:r>
    </w:p>
    <w:p w:rsidR="00C4297F" w:rsidRPr="00C4297F" w:rsidRDefault="00C4297F" w:rsidP="00C4297F">
      <w:pPr>
        <w:rPr>
          <w:rFonts w:asciiTheme="majorHAnsi" w:hAnsiTheme="majorHAnsi"/>
          <w:i/>
          <w:sz w:val="22"/>
          <w:szCs w:val="22"/>
        </w:rPr>
      </w:pPr>
      <w:r w:rsidRPr="00C4297F">
        <w:rPr>
          <w:rFonts w:asciiTheme="majorHAnsi" w:hAnsiTheme="majorHAnsi"/>
          <w:b/>
          <w:bCs/>
          <w:i/>
          <w:sz w:val="22"/>
          <w:szCs w:val="22"/>
          <w:u w:val="single"/>
        </w:rPr>
        <w:t>6.1</w:t>
      </w:r>
      <w:r w:rsidRPr="00C4297F">
        <w:rPr>
          <w:rFonts w:asciiTheme="majorHAnsi" w:hAnsiTheme="majorHAnsi"/>
          <w:b/>
          <w:i/>
          <w:sz w:val="22"/>
          <w:szCs w:val="22"/>
          <w:u w:val="single"/>
        </w:rPr>
        <w:t>     In case of Individuals or Proprietary Concerns and Partnership Firm</w:t>
      </w:r>
      <w:r w:rsidRPr="00C4297F">
        <w:rPr>
          <w:rFonts w:asciiTheme="majorHAnsi" w:hAnsiTheme="majorHAnsi"/>
          <w:i/>
          <w:sz w:val="22"/>
          <w:szCs w:val="22"/>
        </w:rPr>
        <w:t>:</w:t>
      </w:r>
    </w:p>
    <w:p w:rsidR="00C4297F" w:rsidRPr="00C4297F" w:rsidRDefault="00C4297F" w:rsidP="00C4297F">
      <w:pPr>
        <w:rPr>
          <w:rFonts w:asciiTheme="majorHAnsi" w:hAnsiTheme="majorHAnsi"/>
          <w:sz w:val="22"/>
          <w:szCs w:val="22"/>
        </w:rPr>
      </w:pPr>
      <w:r w:rsidRPr="00C4297F">
        <w:rPr>
          <w:rFonts w:asciiTheme="majorHAnsi" w:hAnsiTheme="majorHAnsi"/>
          <w:bCs/>
          <w:sz w:val="22"/>
          <w:szCs w:val="22"/>
        </w:rPr>
        <w:lastRenderedPageBreak/>
        <w:t xml:space="preserve">                           </w:t>
      </w:r>
      <w:r w:rsidRPr="00C4297F">
        <w:rPr>
          <w:rFonts w:asciiTheme="majorHAnsi" w:hAnsiTheme="majorHAnsi"/>
          <w:sz w:val="22"/>
          <w:szCs w:val="22"/>
        </w:rPr>
        <w:t>service tax is to be paid on a </w:t>
      </w:r>
      <w:r w:rsidRPr="00C4297F">
        <w:rPr>
          <w:rFonts w:asciiTheme="majorHAnsi" w:hAnsiTheme="majorHAnsi"/>
          <w:b/>
          <w:bCs/>
          <w:sz w:val="22"/>
          <w:szCs w:val="22"/>
        </w:rPr>
        <w:t>quarterly</w:t>
      </w:r>
      <w:r w:rsidRPr="00C4297F">
        <w:rPr>
          <w:rFonts w:asciiTheme="majorHAnsi" w:hAnsiTheme="majorHAnsi"/>
          <w:sz w:val="22"/>
          <w:szCs w:val="22"/>
        </w:rPr>
        <w:t> basis. The due date for payment of service tax is the </w:t>
      </w:r>
      <w:r w:rsidRPr="00C4297F">
        <w:rPr>
          <w:rFonts w:asciiTheme="majorHAnsi" w:hAnsiTheme="majorHAnsi"/>
          <w:b/>
          <w:bCs/>
          <w:sz w:val="22"/>
          <w:szCs w:val="22"/>
        </w:rPr>
        <w:t>5</w:t>
      </w:r>
      <w:r w:rsidRPr="00C4297F">
        <w:rPr>
          <w:rFonts w:asciiTheme="majorHAnsi" w:hAnsiTheme="majorHAnsi"/>
          <w:b/>
          <w:bCs/>
          <w:sz w:val="22"/>
          <w:szCs w:val="22"/>
          <w:vertAlign w:val="superscript"/>
        </w:rPr>
        <w:t>th</w:t>
      </w:r>
      <w:r w:rsidRPr="00C4297F">
        <w:rPr>
          <w:rFonts w:asciiTheme="majorHAnsi" w:hAnsiTheme="majorHAnsi"/>
          <w:sz w:val="22"/>
          <w:szCs w:val="22"/>
        </w:rPr>
        <w:t> of the month immediately following the respective quarter (</w:t>
      </w:r>
      <w:r w:rsidRPr="00C4297F">
        <w:rPr>
          <w:rFonts w:asciiTheme="majorHAnsi" w:hAnsiTheme="majorHAnsi"/>
          <w:b/>
          <w:i/>
          <w:sz w:val="22"/>
          <w:szCs w:val="22"/>
        </w:rPr>
        <w:t>in case of e-payment, by 6</w:t>
      </w:r>
      <w:r w:rsidRPr="00C4297F">
        <w:rPr>
          <w:rFonts w:asciiTheme="majorHAnsi" w:hAnsiTheme="majorHAnsi"/>
          <w:b/>
          <w:i/>
          <w:sz w:val="22"/>
          <w:szCs w:val="22"/>
          <w:vertAlign w:val="superscript"/>
        </w:rPr>
        <w:t>th</w:t>
      </w:r>
      <w:r w:rsidRPr="00C4297F">
        <w:rPr>
          <w:rFonts w:asciiTheme="majorHAnsi" w:hAnsiTheme="majorHAnsi"/>
          <w:b/>
          <w:i/>
          <w:sz w:val="22"/>
          <w:szCs w:val="22"/>
        </w:rPr>
        <w:t> of the month immediately following the respective quarter</w:t>
      </w:r>
      <w:r w:rsidRPr="00C4297F">
        <w:rPr>
          <w:rFonts w:asciiTheme="majorHAnsi" w:hAnsiTheme="majorHAnsi"/>
          <w:sz w:val="22"/>
          <w:szCs w:val="22"/>
        </w:rPr>
        <w:t>). For this purpose, quarters are: April to June, July to September, October to December and January to March. </w:t>
      </w:r>
      <w:r w:rsidRPr="00C4297F">
        <w:rPr>
          <w:rFonts w:asciiTheme="majorHAnsi" w:hAnsiTheme="majorHAnsi"/>
          <w:b/>
          <w:bCs/>
          <w:sz w:val="22"/>
          <w:szCs w:val="22"/>
        </w:rPr>
        <w:t>However, payment for the last quarter i.e. January to March is required to be made by 31</w:t>
      </w:r>
      <w:r w:rsidRPr="00C4297F">
        <w:rPr>
          <w:rFonts w:asciiTheme="majorHAnsi" w:hAnsiTheme="majorHAnsi"/>
          <w:b/>
          <w:bCs/>
          <w:sz w:val="22"/>
          <w:szCs w:val="22"/>
          <w:vertAlign w:val="superscript"/>
        </w:rPr>
        <w:t>st</w:t>
      </w:r>
      <w:r w:rsidRPr="00C4297F">
        <w:rPr>
          <w:rFonts w:asciiTheme="majorHAnsi" w:hAnsiTheme="majorHAnsi"/>
          <w:b/>
          <w:bCs/>
          <w:sz w:val="22"/>
          <w:szCs w:val="22"/>
        </w:rPr>
        <w:t> of March itself.</w:t>
      </w:r>
    </w:p>
    <w:p w:rsidR="00C4297F" w:rsidRPr="00C4297F" w:rsidRDefault="00C4297F" w:rsidP="00C4297F">
      <w:pPr>
        <w:rPr>
          <w:rFonts w:asciiTheme="majorHAnsi" w:hAnsiTheme="majorHAnsi"/>
          <w:sz w:val="22"/>
          <w:szCs w:val="22"/>
        </w:rPr>
      </w:pPr>
      <w:r w:rsidRPr="00C4297F">
        <w:rPr>
          <w:rFonts w:asciiTheme="majorHAnsi" w:hAnsiTheme="majorHAnsi"/>
          <w:sz w:val="22"/>
          <w:szCs w:val="22"/>
        </w:rPr>
        <w:t> </w:t>
      </w:r>
    </w:p>
    <w:p w:rsidR="00C4297F" w:rsidRPr="00C4297F" w:rsidRDefault="00C4297F" w:rsidP="00C4297F">
      <w:pPr>
        <w:rPr>
          <w:rFonts w:asciiTheme="majorHAnsi" w:hAnsiTheme="majorHAnsi"/>
          <w:i/>
          <w:sz w:val="22"/>
          <w:szCs w:val="22"/>
          <w:u w:val="single"/>
        </w:rPr>
      </w:pPr>
      <w:r w:rsidRPr="00C4297F">
        <w:rPr>
          <w:rFonts w:asciiTheme="majorHAnsi" w:hAnsiTheme="majorHAnsi"/>
          <w:b/>
          <w:bCs/>
          <w:i/>
          <w:sz w:val="22"/>
          <w:szCs w:val="22"/>
          <w:u w:val="single"/>
        </w:rPr>
        <w:t>6.2</w:t>
      </w:r>
      <w:r w:rsidRPr="00C4297F">
        <w:rPr>
          <w:rFonts w:asciiTheme="majorHAnsi" w:hAnsiTheme="majorHAnsi"/>
          <w:b/>
          <w:i/>
          <w:sz w:val="22"/>
          <w:szCs w:val="22"/>
          <w:u w:val="single"/>
        </w:rPr>
        <w:t>     In case of any other category of service provider other than specified at 6.1 above:</w:t>
      </w:r>
      <w:r w:rsidRPr="00C4297F">
        <w:rPr>
          <w:rFonts w:asciiTheme="majorHAnsi" w:hAnsiTheme="majorHAnsi"/>
          <w:i/>
          <w:sz w:val="22"/>
          <w:szCs w:val="22"/>
          <w:u w:val="single"/>
        </w:rPr>
        <w:t xml:space="preserve">  </w:t>
      </w:r>
    </w:p>
    <w:p w:rsidR="00C4297F" w:rsidRPr="00C4297F" w:rsidRDefault="00C4297F" w:rsidP="00C4297F">
      <w:pPr>
        <w:rPr>
          <w:rFonts w:asciiTheme="majorHAnsi" w:hAnsiTheme="majorHAnsi"/>
          <w:sz w:val="22"/>
          <w:szCs w:val="22"/>
        </w:rPr>
      </w:pPr>
      <w:r w:rsidRPr="00C4297F">
        <w:rPr>
          <w:rFonts w:asciiTheme="majorHAnsi" w:hAnsiTheme="majorHAnsi"/>
          <w:sz w:val="22"/>
          <w:szCs w:val="22"/>
        </w:rPr>
        <w:t xml:space="preserve">                                                   service tax is to be paid on a monthly basis, by the 5th of the following month ( in case of e-payment, by 6</w:t>
      </w:r>
      <w:r w:rsidRPr="00C4297F">
        <w:rPr>
          <w:rFonts w:asciiTheme="majorHAnsi" w:hAnsiTheme="majorHAnsi"/>
          <w:sz w:val="22"/>
          <w:szCs w:val="22"/>
          <w:vertAlign w:val="superscript"/>
        </w:rPr>
        <w:t>th</w:t>
      </w:r>
      <w:r w:rsidRPr="00C4297F">
        <w:rPr>
          <w:rFonts w:asciiTheme="majorHAnsi" w:hAnsiTheme="majorHAnsi"/>
          <w:sz w:val="22"/>
          <w:szCs w:val="22"/>
        </w:rPr>
        <w:t> of the month immediately following the respective month). </w:t>
      </w:r>
      <w:r w:rsidRPr="00C4297F">
        <w:rPr>
          <w:rFonts w:asciiTheme="majorHAnsi" w:hAnsiTheme="majorHAnsi"/>
          <w:b/>
          <w:bCs/>
          <w:sz w:val="22"/>
          <w:szCs w:val="22"/>
        </w:rPr>
        <w:t>However,  payment for the month of March is required to be made by 31st of March itself.      </w:t>
      </w:r>
    </w:p>
    <w:p w:rsidR="00C4297F" w:rsidRPr="00C4297F" w:rsidRDefault="00C4297F" w:rsidP="00C4297F">
      <w:pPr>
        <w:rPr>
          <w:rFonts w:asciiTheme="majorHAnsi" w:hAnsiTheme="majorHAnsi"/>
          <w:sz w:val="22"/>
          <w:szCs w:val="22"/>
        </w:rPr>
      </w:pPr>
      <w:r w:rsidRPr="00C4297F">
        <w:rPr>
          <w:rFonts w:asciiTheme="majorHAnsi" w:hAnsiTheme="majorHAnsi"/>
          <w:i/>
          <w:iCs/>
          <w:sz w:val="22"/>
          <w:szCs w:val="22"/>
        </w:rPr>
        <w:t>( Refer Rule 6 (1) of Service Tax Rules, 1994)</w:t>
      </w:r>
    </w:p>
    <w:p w:rsidR="00C4297F" w:rsidRPr="00C4297F" w:rsidRDefault="00C4297F" w:rsidP="00C4297F">
      <w:pPr>
        <w:rPr>
          <w:rFonts w:asciiTheme="majorHAnsi" w:hAnsiTheme="majorHAnsi"/>
          <w:sz w:val="22"/>
          <w:szCs w:val="22"/>
        </w:rPr>
      </w:pPr>
      <w:r w:rsidRPr="00C4297F">
        <w:rPr>
          <w:rFonts w:asciiTheme="majorHAnsi" w:hAnsiTheme="majorHAnsi"/>
          <w:sz w:val="22"/>
          <w:szCs w:val="22"/>
        </w:rPr>
        <w:t> </w:t>
      </w:r>
    </w:p>
    <w:p w:rsidR="00C4297F" w:rsidRPr="00C4297F" w:rsidRDefault="00C4297F" w:rsidP="00C4297F">
      <w:pPr>
        <w:rPr>
          <w:rFonts w:asciiTheme="majorHAnsi" w:hAnsiTheme="majorHAnsi"/>
          <w:sz w:val="22"/>
          <w:szCs w:val="22"/>
        </w:rPr>
      </w:pPr>
      <w:r w:rsidRPr="00C4297F">
        <w:rPr>
          <w:rFonts w:asciiTheme="majorHAnsi" w:hAnsiTheme="majorHAnsi"/>
          <w:b/>
          <w:bCs/>
          <w:sz w:val="22"/>
          <w:szCs w:val="22"/>
        </w:rPr>
        <w:t>6.3</w:t>
      </w:r>
      <w:r w:rsidRPr="00C4297F">
        <w:rPr>
          <w:rFonts w:asciiTheme="majorHAnsi" w:hAnsiTheme="majorHAnsi"/>
          <w:sz w:val="22"/>
          <w:szCs w:val="22"/>
        </w:rPr>
        <w:t>     Service tax is to be paid to the Central Government in respect of service deemed to be provided as per the rules framed.     </w:t>
      </w:r>
    </w:p>
    <w:p w:rsidR="00C4297F" w:rsidRPr="00C4297F" w:rsidRDefault="00C4297F" w:rsidP="00C4297F">
      <w:pPr>
        <w:rPr>
          <w:rFonts w:asciiTheme="majorHAnsi" w:hAnsiTheme="majorHAnsi"/>
          <w:sz w:val="22"/>
          <w:szCs w:val="22"/>
        </w:rPr>
      </w:pPr>
      <w:r w:rsidRPr="00C4297F">
        <w:rPr>
          <w:rFonts w:asciiTheme="majorHAnsi" w:hAnsiTheme="majorHAnsi"/>
          <w:sz w:val="22"/>
          <w:szCs w:val="22"/>
        </w:rPr>
        <w:t> </w:t>
      </w:r>
    </w:p>
    <w:p w:rsidR="00C4297F" w:rsidRPr="00C4297F" w:rsidRDefault="00C4297F" w:rsidP="00C4297F">
      <w:pPr>
        <w:rPr>
          <w:rFonts w:asciiTheme="majorHAnsi" w:hAnsiTheme="majorHAnsi"/>
          <w:b/>
          <w:bCs/>
          <w:sz w:val="22"/>
          <w:szCs w:val="22"/>
        </w:rPr>
      </w:pPr>
    </w:p>
    <w:p w:rsidR="00C4297F" w:rsidRPr="00C4297F" w:rsidRDefault="00C4297F" w:rsidP="00C4297F">
      <w:pPr>
        <w:rPr>
          <w:rFonts w:asciiTheme="majorHAnsi" w:hAnsiTheme="majorHAnsi"/>
          <w:sz w:val="22"/>
          <w:szCs w:val="22"/>
        </w:rPr>
      </w:pPr>
      <w:r w:rsidRPr="00C4297F">
        <w:rPr>
          <w:rFonts w:asciiTheme="majorHAnsi" w:hAnsiTheme="majorHAnsi"/>
          <w:b/>
          <w:bCs/>
          <w:sz w:val="22"/>
          <w:szCs w:val="22"/>
        </w:rPr>
        <w:t>6.4</w:t>
      </w:r>
      <w:r w:rsidRPr="00C4297F">
        <w:rPr>
          <w:rFonts w:asciiTheme="majorHAnsi" w:hAnsiTheme="majorHAnsi"/>
          <w:sz w:val="22"/>
          <w:szCs w:val="22"/>
        </w:rPr>
        <w:t xml:space="preserve">      The facility of </w:t>
      </w:r>
      <w:r w:rsidRPr="00C4297F">
        <w:rPr>
          <w:rFonts w:asciiTheme="majorHAnsi" w:hAnsiTheme="majorHAnsi"/>
          <w:b/>
          <w:sz w:val="22"/>
          <w:szCs w:val="22"/>
        </w:rPr>
        <w:t>e-payment</w:t>
      </w:r>
      <w:r w:rsidRPr="00C4297F">
        <w:rPr>
          <w:rFonts w:asciiTheme="majorHAnsi" w:hAnsiTheme="majorHAnsi"/>
          <w:sz w:val="22"/>
          <w:szCs w:val="22"/>
        </w:rPr>
        <w:t xml:space="preserve"> of service tax has been introduced with effect from 11.05.2005. From </w:t>
      </w:r>
      <w:r w:rsidRPr="00C4297F">
        <w:rPr>
          <w:rFonts w:asciiTheme="majorHAnsi" w:hAnsiTheme="majorHAnsi"/>
          <w:b/>
          <w:i/>
          <w:sz w:val="22"/>
          <w:szCs w:val="22"/>
        </w:rPr>
        <w:t>1</w:t>
      </w:r>
      <w:r w:rsidRPr="00C4297F">
        <w:rPr>
          <w:rFonts w:asciiTheme="majorHAnsi" w:hAnsiTheme="majorHAnsi"/>
          <w:b/>
          <w:i/>
          <w:sz w:val="22"/>
          <w:szCs w:val="22"/>
          <w:vertAlign w:val="superscript"/>
        </w:rPr>
        <w:t>st</w:t>
      </w:r>
      <w:r w:rsidRPr="00C4297F">
        <w:rPr>
          <w:rFonts w:asciiTheme="majorHAnsi" w:hAnsiTheme="majorHAnsi"/>
          <w:b/>
          <w:i/>
          <w:sz w:val="22"/>
          <w:szCs w:val="22"/>
        </w:rPr>
        <w:t> April, 2010 e-payment of service tax has been made mandatory for the assessees who have paid service tax of Rs.10 Lakhs (cash+ cenvat) and above during the last financial year or who have paid service tax of Rs.10 Lakhs (cash + cenvat) and above during the current financial year.</w:t>
      </w:r>
      <w:r w:rsidRPr="00C4297F">
        <w:rPr>
          <w:rFonts w:asciiTheme="majorHAnsi" w:hAnsiTheme="majorHAnsi"/>
          <w:sz w:val="22"/>
          <w:szCs w:val="22"/>
        </w:rPr>
        <w:t xml:space="preserve"> The e-payment shall be made only in designated banks by 6</w:t>
      </w:r>
      <w:r w:rsidRPr="00C4297F">
        <w:rPr>
          <w:rFonts w:asciiTheme="majorHAnsi" w:hAnsiTheme="majorHAnsi"/>
          <w:sz w:val="22"/>
          <w:szCs w:val="22"/>
          <w:vertAlign w:val="superscript"/>
        </w:rPr>
        <w:t>th</w:t>
      </w:r>
      <w:r w:rsidRPr="00C4297F">
        <w:rPr>
          <w:rFonts w:asciiTheme="majorHAnsi" w:hAnsiTheme="majorHAnsi"/>
          <w:sz w:val="22"/>
          <w:szCs w:val="22"/>
        </w:rPr>
        <w:t> day of the following month.</w:t>
      </w:r>
    </w:p>
    <w:p w:rsidR="00C4297F" w:rsidRPr="00C4297F" w:rsidRDefault="00C4297F" w:rsidP="00C4297F">
      <w:pPr>
        <w:rPr>
          <w:rFonts w:asciiTheme="majorHAnsi" w:hAnsiTheme="majorHAnsi"/>
          <w:sz w:val="22"/>
          <w:szCs w:val="22"/>
        </w:rPr>
      </w:pPr>
      <w:r w:rsidRPr="00C4297F">
        <w:rPr>
          <w:rFonts w:asciiTheme="majorHAnsi" w:hAnsiTheme="majorHAnsi"/>
          <w:sz w:val="22"/>
          <w:szCs w:val="22"/>
        </w:rPr>
        <w:t> </w:t>
      </w:r>
    </w:p>
    <w:p w:rsidR="00C4297F" w:rsidRPr="00C4297F" w:rsidRDefault="00C4297F" w:rsidP="00C4297F">
      <w:pPr>
        <w:rPr>
          <w:rFonts w:asciiTheme="majorHAnsi" w:hAnsiTheme="majorHAnsi"/>
          <w:sz w:val="22"/>
          <w:szCs w:val="22"/>
        </w:rPr>
      </w:pPr>
      <w:r w:rsidRPr="00C4297F">
        <w:rPr>
          <w:rFonts w:asciiTheme="majorHAnsi" w:hAnsiTheme="majorHAnsi"/>
          <w:b/>
          <w:bCs/>
          <w:sz w:val="22"/>
          <w:szCs w:val="22"/>
        </w:rPr>
        <w:t>6.5</w:t>
      </w:r>
      <w:r w:rsidRPr="00C4297F">
        <w:rPr>
          <w:rFonts w:asciiTheme="majorHAnsi" w:hAnsiTheme="majorHAnsi"/>
          <w:sz w:val="22"/>
          <w:szCs w:val="22"/>
        </w:rPr>
        <w:t>   The assessee is required to deposit the amount of service tax in the designated banks through</w:t>
      </w:r>
      <w:r>
        <w:rPr>
          <w:rFonts w:asciiTheme="majorHAnsi" w:hAnsiTheme="majorHAnsi"/>
          <w:sz w:val="22"/>
          <w:szCs w:val="22"/>
        </w:rPr>
        <w:t xml:space="preserve">                           </w:t>
      </w:r>
      <w:r w:rsidRPr="00C4297F">
        <w:rPr>
          <w:rFonts w:asciiTheme="majorHAnsi" w:hAnsiTheme="majorHAnsi"/>
          <w:sz w:val="22"/>
          <w:szCs w:val="22"/>
        </w:rPr>
        <w:t xml:space="preserve"> </w:t>
      </w:r>
      <w:r>
        <w:rPr>
          <w:rFonts w:asciiTheme="majorHAnsi" w:hAnsiTheme="majorHAnsi"/>
          <w:sz w:val="22"/>
          <w:szCs w:val="22"/>
        </w:rPr>
        <w:t xml:space="preserve">                                                                                                                                                      </w:t>
      </w:r>
      <w:r w:rsidRPr="00C4297F">
        <w:rPr>
          <w:rFonts w:asciiTheme="majorHAnsi" w:hAnsiTheme="majorHAnsi"/>
          <w:b/>
          <w:i/>
          <w:sz w:val="22"/>
          <w:szCs w:val="22"/>
          <w:u w:val="single"/>
        </w:rPr>
        <w:t>GAR-7 challan.</w:t>
      </w:r>
      <w:r w:rsidRPr="00C4297F">
        <w:rPr>
          <w:rFonts w:asciiTheme="majorHAnsi" w:hAnsiTheme="majorHAnsi"/>
          <w:i/>
          <w:iCs/>
          <w:sz w:val="22"/>
          <w:szCs w:val="22"/>
        </w:rPr>
        <w:t> ( Assessees may contact jurisdictional office for details of the designated banks.)</w:t>
      </w:r>
    </w:p>
    <w:p w:rsidR="00C4297F" w:rsidRPr="00C4297F" w:rsidRDefault="00C4297F" w:rsidP="00C4297F">
      <w:pPr>
        <w:rPr>
          <w:rFonts w:asciiTheme="majorHAnsi" w:hAnsiTheme="majorHAnsi"/>
          <w:sz w:val="22"/>
          <w:szCs w:val="22"/>
        </w:rPr>
      </w:pPr>
      <w:r w:rsidRPr="00C4297F">
        <w:rPr>
          <w:rFonts w:asciiTheme="majorHAnsi" w:hAnsiTheme="majorHAnsi"/>
          <w:sz w:val="22"/>
          <w:szCs w:val="22"/>
        </w:rPr>
        <w:t>   </w:t>
      </w:r>
    </w:p>
    <w:p w:rsidR="00C4297F" w:rsidRPr="00C4297F" w:rsidRDefault="00C4297F" w:rsidP="00C4297F">
      <w:pPr>
        <w:rPr>
          <w:rFonts w:asciiTheme="majorHAnsi" w:hAnsiTheme="majorHAnsi"/>
          <w:sz w:val="22"/>
          <w:szCs w:val="22"/>
        </w:rPr>
      </w:pPr>
      <w:r w:rsidRPr="00C4297F">
        <w:rPr>
          <w:rFonts w:asciiTheme="majorHAnsi" w:hAnsiTheme="majorHAnsi"/>
          <w:b/>
          <w:bCs/>
          <w:sz w:val="22"/>
          <w:szCs w:val="22"/>
        </w:rPr>
        <w:t>6.6</w:t>
      </w:r>
      <w:r w:rsidRPr="00C4297F">
        <w:rPr>
          <w:rFonts w:asciiTheme="majorHAnsi" w:hAnsiTheme="majorHAnsi"/>
          <w:sz w:val="22"/>
          <w:szCs w:val="22"/>
        </w:rPr>
        <w:t>     While depositing the service tax, the appropriate ‘account head’ pertaining to the particular service category should be mentioned on the challan.</w:t>
      </w:r>
    </w:p>
    <w:p w:rsidR="00C4297F" w:rsidRPr="00C4297F" w:rsidRDefault="00C4297F" w:rsidP="00C4297F">
      <w:pPr>
        <w:rPr>
          <w:rFonts w:asciiTheme="majorHAnsi" w:hAnsiTheme="majorHAnsi"/>
          <w:sz w:val="22"/>
          <w:szCs w:val="22"/>
        </w:rPr>
      </w:pPr>
      <w:r w:rsidRPr="00C4297F">
        <w:rPr>
          <w:rFonts w:asciiTheme="majorHAnsi" w:hAnsiTheme="majorHAnsi"/>
          <w:sz w:val="22"/>
          <w:szCs w:val="22"/>
        </w:rPr>
        <w:t> </w:t>
      </w:r>
    </w:p>
    <w:p w:rsidR="00C4297F" w:rsidRDefault="00C4297F" w:rsidP="00C4297F">
      <w:pPr>
        <w:rPr>
          <w:rFonts w:asciiTheme="majorHAnsi" w:hAnsiTheme="majorHAnsi"/>
          <w:sz w:val="22"/>
          <w:szCs w:val="22"/>
        </w:rPr>
      </w:pPr>
      <w:r w:rsidRPr="00C4297F">
        <w:rPr>
          <w:rFonts w:asciiTheme="majorHAnsi" w:hAnsiTheme="majorHAnsi"/>
          <w:b/>
          <w:bCs/>
          <w:sz w:val="22"/>
          <w:szCs w:val="22"/>
        </w:rPr>
        <w:t>6.7</w:t>
      </w:r>
      <w:r w:rsidRPr="00C4297F">
        <w:rPr>
          <w:rFonts w:asciiTheme="majorHAnsi" w:hAnsiTheme="majorHAnsi"/>
          <w:sz w:val="22"/>
          <w:szCs w:val="22"/>
        </w:rPr>
        <w:t>      If the assessee deposits the amount of tax liable to be paid, by cheque, then the date of presentation of the cheque to the designated bank would be treated as the date of payment of service tax.  </w:t>
      </w:r>
    </w:p>
    <w:p w:rsidR="008965D6" w:rsidRPr="00C4297F" w:rsidRDefault="008965D6" w:rsidP="00C4297F">
      <w:pPr>
        <w:rPr>
          <w:rFonts w:asciiTheme="majorHAnsi" w:hAnsiTheme="majorHAnsi"/>
          <w:sz w:val="22"/>
          <w:szCs w:val="22"/>
        </w:rPr>
      </w:pPr>
    </w:p>
    <w:p w:rsidR="00C4297F" w:rsidRPr="00C4297F" w:rsidRDefault="00C4297F" w:rsidP="00C4297F">
      <w:pPr>
        <w:rPr>
          <w:rFonts w:asciiTheme="majorHAnsi" w:hAnsiTheme="majorHAnsi"/>
          <w:sz w:val="22"/>
          <w:szCs w:val="22"/>
        </w:rPr>
      </w:pPr>
      <w:r w:rsidRPr="00C4297F">
        <w:rPr>
          <w:rFonts w:asciiTheme="majorHAnsi" w:hAnsiTheme="majorHAnsi"/>
          <w:b/>
          <w:bCs/>
          <w:sz w:val="22"/>
          <w:szCs w:val="22"/>
        </w:rPr>
        <w:t>6.9</w:t>
      </w:r>
      <w:r w:rsidRPr="00C4297F">
        <w:rPr>
          <w:rFonts w:asciiTheme="majorHAnsi" w:hAnsiTheme="majorHAnsi"/>
          <w:sz w:val="22"/>
          <w:szCs w:val="22"/>
        </w:rPr>
        <w:t>     The assessee can opt for provisional payment of service tax in case he is not able to correctly estimate the tax liability. In such a situation he may request in writing to the jurisdictional Assistant / Deputy Commissioner for the same. </w:t>
      </w:r>
    </w:p>
    <w:p w:rsidR="00C4297F" w:rsidRDefault="00C4297F" w:rsidP="00C4297F">
      <w:pPr>
        <w:rPr>
          <w:rFonts w:asciiTheme="majorHAnsi" w:hAnsiTheme="majorHAnsi"/>
          <w:sz w:val="22"/>
          <w:szCs w:val="22"/>
        </w:rPr>
      </w:pPr>
      <w:r w:rsidRPr="00C4297F">
        <w:rPr>
          <w:rFonts w:asciiTheme="majorHAnsi" w:hAnsiTheme="majorHAnsi"/>
          <w:b/>
          <w:bCs/>
          <w:sz w:val="22"/>
          <w:szCs w:val="22"/>
        </w:rPr>
        <w:t>6.10</w:t>
      </w:r>
      <w:r w:rsidRPr="00C4297F">
        <w:rPr>
          <w:rFonts w:asciiTheme="majorHAnsi" w:hAnsiTheme="majorHAnsi"/>
          <w:sz w:val="22"/>
          <w:szCs w:val="22"/>
        </w:rPr>
        <w:t>    Service tax ( including interest, penalty, refund) is to be rounded off to the nearest rupee. 50 paise or more should be rounded off to the next rupee and less than 50 paise should be ignored.</w:t>
      </w:r>
    </w:p>
    <w:p w:rsidR="008965D6" w:rsidRPr="00C4297F" w:rsidRDefault="008965D6" w:rsidP="00C4297F">
      <w:pPr>
        <w:rPr>
          <w:rFonts w:asciiTheme="majorHAnsi" w:hAnsiTheme="majorHAnsi"/>
          <w:sz w:val="22"/>
          <w:szCs w:val="22"/>
        </w:rPr>
      </w:pPr>
    </w:p>
    <w:p w:rsidR="00C4297F" w:rsidRPr="00C4297F" w:rsidRDefault="00C4297F" w:rsidP="00C4297F">
      <w:pPr>
        <w:rPr>
          <w:rFonts w:asciiTheme="majorHAnsi" w:hAnsiTheme="majorHAnsi"/>
          <w:sz w:val="22"/>
          <w:szCs w:val="22"/>
        </w:rPr>
      </w:pPr>
      <w:r w:rsidRPr="00C4297F">
        <w:rPr>
          <w:rFonts w:asciiTheme="majorHAnsi" w:hAnsiTheme="majorHAnsi"/>
          <w:b/>
          <w:bCs/>
          <w:sz w:val="22"/>
          <w:szCs w:val="22"/>
        </w:rPr>
        <w:t>6.11</w:t>
      </w:r>
      <w:r w:rsidRPr="00C4297F">
        <w:rPr>
          <w:rFonts w:asciiTheme="majorHAnsi" w:hAnsiTheme="majorHAnsi"/>
          <w:sz w:val="22"/>
          <w:szCs w:val="22"/>
        </w:rPr>
        <w:t>    Any person who has collected any sum on account of service tax, is under obligation to pay the same to the Government. He can not retain the sum so collected with him by contending that service tax is not payable.           </w:t>
      </w:r>
    </w:p>
    <w:tbl>
      <w:tblPr>
        <w:tblW w:w="3939" w:type="pct"/>
        <w:tblInd w:w="727" w:type="dxa"/>
        <w:tblCellMar>
          <w:left w:w="0" w:type="dxa"/>
          <w:right w:w="0" w:type="dxa"/>
        </w:tblCellMar>
        <w:tblLook w:val="0000"/>
      </w:tblPr>
      <w:tblGrid>
        <w:gridCol w:w="8317"/>
      </w:tblGrid>
      <w:tr w:rsidR="00CD61B8" w:rsidRPr="00CD61B8" w:rsidTr="00CD61B8">
        <w:trPr>
          <w:trHeight w:val="416"/>
        </w:trPr>
        <w:tc>
          <w:tcPr>
            <w:tcW w:w="5000" w:type="pct"/>
            <w:tcBorders>
              <w:top w:val="outset" w:sz="8" w:space="0" w:color="00CCFF"/>
              <w:left w:val="outset" w:sz="8" w:space="0" w:color="00CCFF"/>
              <w:bottom w:val="outset" w:sz="8" w:space="0" w:color="00CCFF"/>
              <w:right w:val="outset" w:sz="8" w:space="0" w:color="00CCFF"/>
            </w:tcBorders>
            <w:shd w:val="clear" w:color="auto" w:fill="006699"/>
            <w:tcMar>
              <w:top w:w="45" w:type="dxa"/>
              <w:left w:w="45" w:type="dxa"/>
              <w:bottom w:w="45" w:type="dxa"/>
              <w:right w:w="45" w:type="dxa"/>
            </w:tcMar>
            <w:vAlign w:val="center"/>
          </w:tcPr>
          <w:p w:rsidR="00CD61B8" w:rsidRPr="00CD61B8" w:rsidRDefault="00CD61B8" w:rsidP="00CD61B8">
            <w:pPr>
              <w:jc w:val="center"/>
              <w:rPr>
                <w:rFonts w:asciiTheme="majorHAnsi" w:hAnsiTheme="majorHAnsi"/>
                <w:sz w:val="22"/>
                <w:szCs w:val="22"/>
              </w:rPr>
            </w:pPr>
            <w:r w:rsidRPr="00CD61B8">
              <w:rPr>
                <w:rFonts w:asciiTheme="majorHAnsi" w:hAnsiTheme="majorHAnsi"/>
                <w:b/>
                <w:bCs/>
                <w:sz w:val="56"/>
                <w:szCs w:val="22"/>
              </w:rPr>
              <w:t>8. Returns</w:t>
            </w:r>
          </w:p>
        </w:tc>
      </w:tr>
    </w:tbl>
    <w:p w:rsidR="00CD61B8" w:rsidRPr="00CD61B8" w:rsidRDefault="00CD61B8" w:rsidP="00CD61B8">
      <w:pPr>
        <w:rPr>
          <w:rFonts w:asciiTheme="majorHAnsi" w:hAnsiTheme="majorHAnsi"/>
          <w:sz w:val="22"/>
          <w:szCs w:val="22"/>
        </w:rPr>
      </w:pPr>
      <w:r w:rsidRPr="00CD61B8">
        <w:rPr>
          <w:rFonts w:asciiTheme="majorHAnsi" w:hAnsiTheme="majorHAnsi"/>
          <w:sz w:val="22"/>
          <w:szCs w:val="22"/>
        </w:rPr>
        <w:t> </w:t>
      </w:r>
    </w:p>
    <w:p w:rsidR="00CD61B8" w:rsidRPr="00CD61B8" w:rsidRDefault="00CD61B8" w:rsidP="00CD61B8">
      <w:pPr>
        <w:rPr>
          <w:rFonts w:asciiTheme="majorHAnsi" w:hAnsiTheme="majorHAnsi"/>
          <w:sz w:val="22"/>
          <w:szCs w:val="22"/>
        </w:rPr>
      </w:pPr>
      <w:r w:rsidRPr="00CD61B8">
        <w:rPr>
          <w:rFonts w:asciiTheme="majorHAnsi" w:hAnsiTheme="majorHAnsi"/>
          <w:b/>
          <w:bCs/>
          <w:sz w:val="22"/>
          <w:szCs w:val="22"/>
        </w:rPr>
        <w:t>8.1</w:t>
      </w:r>
      <w:r w:rsidRPr="00CD61B8">
        <w:rPr>
          <w:rFonts w:asciiTheme="majorHAnsi" w:hAnsiTheme="majorHAnsi"/>
          <w:sz w:val="22"/>
          <w:szCs w:val="22"/>
        </w:rPr>
        <w:t>     Every assessee is required to submit a half yearly return in form S.T.3 or S.T.3A (in triplicate) along with proof of payment of tax. For the purpose of filing returns half year is counted from April to September and October to March. In case the assessee has opted for provisional payment of service tax, he is required to file the service tax return in form S.T.3A.</w:t>
      </w:r>
    </w:p>
    <w:p w:rsidR="00CD61B8" w:rsidRPr="00CD61B8" w:rsidRDefault="00CD61B8" w:rsidP="00CD61B8">
      <w:pPr>
        <w:rPr>
          <w:rFonts w:asciiTheme="majorHAnsi" w:hAnsiTheme="majorHAnsi"/>
          <w:sz w:val="22"/>
          <w:szCs w:val="22"/>
        </w:rPr>
      </w:pPr>
      <w:r w:rsidRPr="00CD61B8">
        <w:rPr>
          <w:rFonts w:asciiTheme="majorHAnsi" w:hAnsiTheme="majorHAnsi"/>
          <w:sz w:val="22"/>
          <w:szCs w:val="22"/>
        </w:rPr>
        <w:t>(Rule 7(1) of Service Tax Rules, 1994)</w:t>
      </w:r>
    </w:p>
    <w:p w:rsidR="00CD61B8" w:rsidRPr="00CD61B8" w:rsidRDefault="00CD61B8" w:rsidP="00CD61B8">
      <w:pPr>
        <w:rPr>
          <w:rFonts w:asciiTheme="majorHAnsi" w:hAnsiTheme="majorHAnsi"/>
          <w:sz w:val="22"/>
          <w:szCs w:val="22"/>
        </w:rPr>
      </w:pPr>
      <w:r w:rsidRPr="00CD61B8">
        <w:rPr>
          <w:rFonts w:asciiTheme="majorHAnsi" w:hAnsiTheme="majorHAnsi"/>
          <w:sz w:val="22"/>
          <w:szCs w:val="22"/>
        </w:rPr>
        <w:t> </w:t>
      </w:r>
    </w:p>
    <w:p w:rsidR="00CD61B8" w:rsidRPr="00CD61B8" w:rsidRDefault="00CD61B8" w:rsidP="00CD61B8">
      <w:pPr>
        <w:rPr>
          <w:rFonts w:asciiTheme="majorHAnsi" w:hAnsiTheme="majorHAnsi"/>
          <w:sz w:val="22"/>
          <w:szCs w:val="22"/>
        </w:rPr>
      </w:pPr>
      <w:r w:rsidRPr="00CD61B8">
        <w:rPr>
          <w:rFonts w:asciiTheme="majorHAnsi" w:hAnsiTheme="majorHAnsi"/>
          <w:sz w:val="22"/>
          <w:szCs w:val="22"/>
        </w:rPr>
        <w:t> </w:t>
      </w:r>
      <w:r w:rsidRPr="00CD61B8">
        <w:rPr>
          <w:rFonts w:asciiTheme="majorHAnsi" w:hAnsiTheme="majorHAnsi"/>
          <w:b/>
          <w:bCs/>
          <w:sz w:val="22"/>
          <w:szCs w:val="22"/>
        </w:rPr>
        <w:t>8.2</w:t>
      </w:r>
      <w:r w:rsidRPr="00CD61B8">
        <w:rPr>
          <w:rFonts w:asciiTheme="majorHAnsi" w:hAnsiTheme="majorHAnsi"/>
          <w:sz w:val="22"/>
          <w:szCs w:val="22"/>
        </w:rPr>
        <w:t>      The ST-3 Returns can also be got prepared and filed through the ‘Service Tax Return Preparers’ (STRPs) who have been duly accredited and authorized by the Department. The Board has issued relevant provisions and guidelines in regard of Service tax Return Preparer Scheme vide Notification No.07/2009-ST dated 03.02.2009 as amended. Currently, there are 1477 STRPs functioning at various locations spread out all across the country. The service tax assesses can log on to </w:t>
      </w:r>
      <w:r w:rsidRPr="00CD61B8">
        <w:rPr>
          <w:rFonts w:asciiTheme="majorHAnsi" w:hAnsiTheme="majorHAnsi"/>
          <w:b/>
          <w:bCs/>
          <w:sz w:val="22"/>
          <w:szCs w:val="22"/>
        </w:rPr>
        <w:t>www trpscheme.com</w:t>
      </w:r>
      <w:r w:rsidRPr="00CD61B8">
        <w:rPr>
          <w:rFonts w:asciiTheme="majorHAnsi" w:hAnsiTheme="majorHAnsi"/>
          <w:sz w:val="22"/>
          <w:szCs w:val="22"/>
        </w:rPr>
        <w:t>. to know the details of the STRPs available in their area.</w:t>
      </w:r>
    </w:p>
    <w:p w:rsidR="00CD61B8" w:rsidRPr="00CD61B8" w:rsidRDefault="00CD61B8" w:rsidP="00CD61B8">
      <w:pPr>
        <w:rPr>
          <w:rFonts w:asciiTheme="majorHAnsi" w:hAnsiTheme="majorHAnsi"/>
          <w:sz w:val="22"/>
          <w:szCs w:val="22"/>
        </w:rPr>
      </w:pPr>
      <w:r w:rsidRPr="00CD61B8">
        <w:rPr>
          <w:rFonts w:asciiTheme="majorHAnsi" w:hAnsiTheme="majorHAnsi"/>
          <w:b/>
          <w:bCs/>
          <w:sz w:val="22"/>
          <w:szCs w:val="22"/>
        </w:rPr>
        <w:t>8.3</w:t>
      </w:r>
      <w:r w:rsidRPr="00CD61B8">
        <w:rPr>
          <w:rFonts w:asciiTheme="majorHAnsi" w:hAnsiTheme="majorHAnsi"/>
          <w:sz w:val="22"/>
          <w:szCs w:val="22"/>
        </w:rPr>
        <w:t>      An assessee may submit a revised return, in Form ST-3, in triplicate, to correct a mistake or omission, within a period of ninety days from the date of submission of the return under rule 7. (Rule 7B of Service Tax Rules, 1994)</w:t>
      </w:r>
    </w:p>
    <w:p w:rsidR="00CD61B8" w:rsidRPr="00CD61B8" w:rsidRDefault="00CD61B8" w:rsidP="00CD61B8">
      <w:pPr>
        <w:rPr>
          <w:rFonts w:asciiTheme="majorHAnsi" w:hAnsiTheme="majorHAnsi"/>
          <w:sz w:val="22"/>
          <w:szCs w:val="22"/>
        </w:rPr>
      </w:pPr>
      <w:r w:rsidRPr="00CD61B8">
        <w:rPr>
          <w:rFonts w:asciiTheme="majorHAnsi" w:hAnsiTheme="majorHAnsi"/>
          <w:sz w:val="22"/>
          <w:szCs w:val="22"/>
        </w:rPr>
        <w:lastRenderedPageBreak/>
        <w:t> </w:t>
      </w:r>
    </w:p>
    <w:p w:rsidR="00CD61B8" w:rsidRPr="00CD61B8" w:rsidRDefault="00CD61B8" w:rsidP="00CD61B8">
      <w:pPr>
        <w:rPr>
          <w:rFonts w:asciiTheme="majorHAnsi" w:hAnsiTheme="majorHAnsi"/>
          <w:sz w:val="22"/>
          <w:szCs w:val="22"/>
        </w:rPr>
      </w:pPr>
      <w:r w:rsidRPr="00CD61B8">
        <w:rPr>
          <w:rFonts w:asciiTheme="majorHAnsi" w:hAnsiTheme="majorHAnsi"/>
          <w:b/>
          <w:bCs/>
          <w:sz w:val="22"/>
          <w:szCs w:val="22"/>
        </w:rPr>
        <w:t>8.4</w:t>
      </w:r>
      <w:r w:rsidRPr="00CD61B8">
        <w:rPr>
          <w:rFonts w:asciiTheme="majorHAnsi" w:hAnsiTheme="majorHAnsi"/>
          <w:sz w:val="22"/>
          <w:szCs w:val="22"/>
        </w:rPr>
        <w:t>         </w:t>
      </w:r>
      <w:r w:rsidRPr="00CD61B8">
        <w:rPr>
          <w:rFonts w:asciiTheme="majorHAnsi" w:hAnsiTheme="majorHAnsi"/>
          <w:b/>
          <w:bCs/>
          <w:sz w:val="22"/>
          <w:szCs w:val="22"/>
        </w:rPr>
        <w:t>Date of filing of Returns :</w:t>
      </w:r>
      <w:r w:rsidRPr="00CD61B8">
        <w:rPr>
          <w:rFonts w:asciiTheme="majorHAnsi" w:hAnsiTheme="majorHAnsi"/>
          <w:sz w:val="22"/>
          <w:szCs w:val="22"/>
        </w:rPr>
        <w:t> The half yearly return is required to be filed by the </w:t>
      </w:r>
      <w:r w:rsidRPr="00CD61B8">
        <w:rPr>
          <w:rFonts w:asciiTheme="majorHAnsi" w:hAnsiTheme="majorHAnsi"/>
          <w:b/>
          <w:bCs/>
          <w:sz w:val="22"/>
          <w:szCs w:val="22"/>
        </w:rPr>
        <w:t>25</w:t>
      </w:r>
      <w:r w:rsidRPr="00CD61B8">
        <w:rPr>
          <w:rFonts w:asciiTheme="majorHAnsi" w:hAnsiTheme="majorHAnsi"/>
          <w:b/>
          <w:bCs/>
          <w:sz w:val="22"/>
          <w:szCs w:val="22"/>
          <w:vertAlign w:val="superscript"/>
        </w:rPr>
        <w:t>th</w:t>
      </w:r>
      <w:r w:rsidRPr="00CD61B8">
        <w:rPr>
          <w:rFonts w:asciiTheme="majorHAnsi" w:hAnsiTheme="majorHAnsi"/>
          <w:sz w:val="22"/>
          <w:szCs w:val="22"/>
        </w:rPr>
        <w:t> of the month following a particular half year.</w:t>
      </w:r>
    </w:p>
    <w:p w:rsidR="00CD61B8" w:rsidRPr="00CD61B8" w:rsidRDefault="00CD61B8" w:rsidP="00CD61B8">
      <w:pPr>
        <w:rPr>
          <w:rFonts w:asciiTheme="majorHAnsi" w:hAnsiTheme="majorHAnsi"/>
          <w:sz w:val="22"/>
          <w:szCs w:val="22"/>
        </w:rPr>
      </w:pPr>
      <w:r w:rsidRPr="00CD61B8">
        <w:rPr>
          <w:rFonts w:asciiTheme="majorHAnsi" w:hAnsiTheme="majorHAnsi"/>
          <w:b/>
          <w:bCs/>
          <w:sz w:val="22"/>
          <w:szCs w:val="22"/>
        </w:rPr>
        <w:t> </w:t>
      </w:r>
      <w:r w:rsidRPr="00CD61B8">
        <w:rPr>
          <w:rFonts w:asciiTheme="majorHAnsi" w:hAnsiTheme="majorHAnsi"/>
          <w:sz w:val="22"/>
          <w:szCs w:val="22"/>
        </w:rPr>
        <w:t>(Rule 7(2) of Service Tax Rules, 1994)</w:t>
      </w:r>
    </w:p>
    <w:p w:rsidR="00CD61B8" w:rsidRPr="00CD61B8" w:rsidRDefault="00CD61B8" w:rsidP="00CD61B8">
      <w:pPr>
        <w:rPr>
          <w:rFonts w:asciiTheme="majorHAnsi" w:hAnsiTheme="majorHAnsi"/>
          <w:sz w:val="22"/>
          <w:szCs w:val="22"/>
        </w:rPr>
      </w:pPr>
      <w:r w:rsidRPr="00CD61B8">
        <w:rPr>
          <w:rFonts w:asciiTheme="majorHAnsi" w:hAnsiTheme="majorHAnsi"/>
          <w:sz w:val="22"/>
          <w:szCs w:val="22"/>
        </w:rPr>
        <w:t> </w:t>
      </w:r>
    </w:p>
    <w:p w:rsidR="00512338" w:rsidRDefault="00CD61B8" w:rsidP="00CD61B8">
      <w:pPr>
        <w:rPr>
          <w:rFonts w:asciiTheme="majorHAnsi" w:hAnsiTheme="majorHAnsi"/>
          <w:sz w:val="22"/>
          <w:szCs w:val="22"/>
        </w:rPr>
      </w:pPr>
      <w:r w:rsidRPr="00CD61B8">
        <w:rPr>
          <w:rFonts w:asciiTheme="majorHAnsi" w:hAnsiTheme="majorHAnsi"/>
          <w:b/>
          <w:bCs/>
          <w:sz w:val="22"/>
          <w:szCs w:val="22"/>
        </w:rPr>
        <w:t>8.5       E-filing of Returns:</w:t>
      </w:r>
      <w:r w:rsidRPr="00CD61B8">
        <w:rPr>
          <w:rFonts w:asciiTheme="majorHAnsi" w:hAnsiTheme="majorHAnsi"/>
          <w:sz w:val="22"/>
          <w:szCs w:val="22"/>
        </w:rPr>
        <w:t> The department has extended the facility of filing the returns on-line (e-filing of returns). This facility is available for all the categories of service providers. However, in respect of assesses who have paid total service tax of rupees ten lakh or more including the amount paid by utilization of CENVAT credit, in the preceding financial year, electronic filing of return is mandatory.</w:t>
      </w:r>
    </w:p>
    <w:tbl>
      <w:tblPr>
        <w:tblW w:w="3463" w:type="pct"/>
        <w:tblInd w:w="832" w:type="dxa"/>
        <w:tblCellMar>
          <w:left w:w="0" w:type="dxa"/>
          <w:right w:w="0" w:type="dxa"/>
        </w:tblCellMar>
        <w:tblLook w:val="0000"/>
      </w:tblPr>
      <w:tblGrid>
        <w:gridCol w:w="7312"/>
      </w:tblGrid>
      <w:tr w:rsidR="000113F5" w:rsidRPr="000113F5" w:rsidTr="000113F5">
        <w:trPr>
          <w:trHeight w:val="383"/>
        </w:trPr>
        <w:tc>
          <w:tcPr>
            <w:tcW w:w="5000" w:type="pct"/>
            <w:tcBorders>
              <w:top w:val="outset" w:sz="8" w:space="0" w:color="00CCFF"/>
              <w:left w:val="outset" w:sz="8" w:space="0" w:color="00CCFF"/>
              <w:bottom w:val="outset" w:sz="8" w:space="0" w:color="00CCFF"/>
              <w:right w:val="outset" w:sz="8" w:space="0" w:color="00CCFF"/>
            </w:tcBorders>
            <w:shd w:val="clear" w:color="auto" w:fill="006699"/>
            <w:tcMar>
              <w:top w:w="45" w:type="dxa"/>
              <w:left w:w="45" w:type="dxa"/>
              <w:bottom w:w="45" w:type="dxa"/>
              <w:right w:w="45" w:type="dxa"/>
            </w:tcMar>
            <w:vAlign w:val="center"/>
          </w:tcPr>
          <w:p w:rsidR="000113F5" w:rsidRPr="000113F5" w:rsidRDefault="000113F5" w:rsidP="000113F5">
            <w:pPr>
              <w:jc w:val="center"/>
              <w:rPr>
                <w:rFonts w:asciiTheme="majorHAnsi" w:hAnsiTheme="majorHAnsi"/>
                <w:sz w:val="22"/>
                <w:szCs w:val="22"/>
              </w:rPr>
            </w:pPr>
            <w:r w:rsidRPr="000113F5">
              <w:rPr>
                <w:rFonts w:asciiTheme="majorHAnsi" w:hAnsiTheme="majorHAnsi"/>
                <w:b/>
                <w:bCs/>
                <w:sz w:val="40"/>
                <w:szCs w:val="22"/>
              </w:rPr>
              <w:t>9. Interest</w:t>
            </w:r>
          </w:p>
        </w:tc>
      </w:tr>
    </w:tbl>
    <w:p w:rsidR="000113F5" w:rsidRPr="000113F5" w:rsidRDefault="000113F5" w:rsidP="000113F5">
      <w:pPr>
        <w:rPr>
          <w:rFonts w:asciiTheme="majorHAnsi" w:hAnsiTheme="majorHAnsi"/>
          <w:sz w:val="22"/>
          <w:szCs w:val="22"/>
        </w:rPr>
      </w:pPr>
      <w:r w:rsidRPr="000113F5">
        <w:rPr>
          <w:rFonts w:asciiTheme="majorHAnsi" w:hAnsiTheme="majorHAnsi"/>
          <w:sz w:val="22"/>
          <w:szCs w:val="22"/>
        </w:rPr>
        <w:t> </w:t>
      </w:r>
    </w:p>
    <w:p w:rsidR="000113F5" w:rsidRPr="000113F5" w:rsidRDefault="000113F5" w:rsidP="000113F5">
      <w:pPr>
        <w:rPr>
          <w:rFonts w:asciiTheme="majorHAnsi" w:hAnsiTheme="majorHAnsi"/>
          <w:sz w:val="22"/>
          <w:szCs w:val="22"/>
        </w:rPr>
      </w:pPr>
      <w:r w:rsidRPr="000113F5">
        <w:rPr>
          <w:rFonts w:asciiTheme="majorHAnsi" w:hAnsiTheme="majorHAnsi"/>
          <w:sz w:val="22"/>
          <w:szCs w:val="22"/>
        </w:rPr>
        <w:t>         The due date for payment of service tax is 6</w:t>
      </w:r>
      <w:r w:rsidRPr="000113F5">
        <w:rPr>
          <w:rFonts w:asciiTheme="majorHAnsi" w:hAnsiTheme="majorHAnsi"/>
          <w:sz w:val="22"/>
          <w:szCs w:val="22"/>
          <w:vertAlign w:val="superscript"/>
        </w:rPr>
        <w:t>th</w:t>
      </w:r>
      <w:r w:rsidRPr="000113F5">
        <w:rPr>
          <w:rFonts w:asciiTheme="majorHAnsi" w:hAnsiTheme="majorHAnsi"/>
          <w:sz w:val="22"/>
          <w:szCs w:val="22"/>
        </w:rPr>
        <w:t> day of the month following the relevant month/quarter, if electronically paid and in other cases, 5</w:t>
      </w:r>
      <w:r w:rsidRPr="000113F5">
        <w:rPr>
          <w:rFonts w:asciiTheme="majorHAnsi" w:hAnsiTheme="majorHAnsi"/>
          <w:sz w:val="22"/>
          <w:szCs w:val="22"/>
          <w:vertAlign w:val="superscript"/>
        </w:rPr>
        <w:t>th</w:t>
      </w:r>
      <w:r w:rsidRPr="000113F5">
        <w:rPr>
          <w:rFonts w:asciiTheme="majorHAnsi" w:hAnsiTheme="majorHAnsi"/>
          <w:sz w:val="22"/>
          <w:szCs w:val="22"/>
        </w:rPr>
        <w:t> day of the month following the relevant month / quarter. It is provided under section 75 of the Finance Act, 1994 that in case of delayed payments (after due date) the assessee is required to pay simple interest at the rate prescribed. Notification No. 26/2004 dated 10.09.2004 has specified the rate of interest at 13% per annum. The table below shows the rate of interest applicable at relevant period of time.</w:t>
      </w:r>
    </w:p>
    <w:p w:rsidR="000113F5" w:rsidRPr="000113F5" w:rsidRDefault="000113F5" w:rsidP="000113F5">
      <w:pPr>
        <w:rPr>
          <w:rFonts w:asciiTheme="majorHAnsi" w:hAnsiTheme="majorHAnsi"/>
          <w:sz w:val="22"/>
          <w:szCs w:val="22"/>
        </w:rPr>
      </w:pPr>
      <w:r w:rsidRPr="000113F5">
        <w:rPr>
          <w:rFonts w:asciiTheme="majorHAnsi" w:hAnsiTheme="majorHAnsi"/>
          <w:sz w:val="22"/>
          <w:szCs w:val="22"/>
        </w:rPr>
        <w:t> </w:t>
      </w:r>
    </w:p>
    <w:tbl>
      <w:tblPr>
        <w:tblW w:w="7395" w:type="dxa"/>
        <w:jc w:val="center"/>
        <w:tblInd w:w="945" w:type="dxa"/>
        <w:tblCellMar>
          <w:left w:w="0" w:type="dxa"/>
          <w:right w:w="0" w:type="dxa"/>
        </w:tblCellMar>
        <w:tblLook w:val="0000"/>
      </w:tblPr>
      <w:tblGrid>
        <w:gridCol w:w="960"/>
        <w:gridCol w:w="3978"/>
        <w:gridCol w:w="2457"/>
      </w:tblGrid>
      <w:tr w:rsidR="000113F5" w:rsidRPr="000113F5" w:rsidTr="00F34292">
        <w:trPr>
          <w:jc w:val="center"/>
        </w:trPr>
        <w:tc>
          <w:tcPr>
            <w:tcW w:w="9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113F5" w:rsidRPr="000113F5" w:rsidRDefault="000113F5" w:rsidP="000113F5">
            <w:pPr>
              <w:rPr>
                <w:rFonts w:asciiTheme="majorHAnsi" w:hAnsiTheme="majorHAnsi"/>
                <w:sz w:val="22"/>
                <w:szCs w:val="22"/>
              </w:rPr>
            </w:pPr>
            <w:r w:rsidRPr="000113F5">
              <w:rPr>
                <w:rFonts w:asciiTheme="majorHAnsi" w:hAnsiTheme="majorHAnsi"/>
                <w:b/>
                <w:bCs/>
                <w:sz w:val="22"/>
                <w:szCs w:val="22"/>
              </w:rPr>
              <w:t>Sr.No.</w:t>
            </w:r>
          </w:p>
        </w:tc>
        <w:tc>
          <w:tcPr>
            <w:tcW w:w="397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113F5" w:rsidRPr="000113F5" w:rsidRDefault="000113F5" w:rsidP="000113F5">
            <w:pPr>
              <w:rPr>
                <w:rFonts w:asciiTheme="majorHAnsi" w:hAnsiTheme="majorHAnsi"/>
                <w:sz w:val="22"/>
                <w:szCs w:val="22"/>
              </w:rPr>
            </w:pPr>
            <w:r w:rsidRPr="000113F5">
              <w:rPr>
                <w:rFonts w:asciiTheme="majorHAnsi" w:hAnsiTheme="majorHAnsi"/>
                <w:b/>
                <w:bCs/>
                <w:sz w:val="22"/>
                <w:szCs w:val="22"/>
              </w:rPr>
              <w:t>Period</w:t>
            </w:r>
          </w:p>
        </w:tc>
        <w:tc>
          <w:tcPr>
            <w:tcW w:w="245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113F5" w:rsidRPr="000113F5" w:rsidRDefault="000113F5" w:rsidP="000113F5">
            <w:pPr>
              <w:rPr>
                <w:rFonts w:asciiTheme="majorHAnsi" w:hAnsiTheme="majorHAnsi"/>
                <w:sz w:val="22"/>
                <w:szCs w:val="22"/>
              </w:rPr>
            </w:pPr>
            <w:r w:rsidRPr="000113F5">
              <w:rPr>
                <w:rFonts w:asciiTheme="majorHAnsi" w:hAnsiTheme="majorHAnsi"/>
                <w:b/>
                <w:bCs/>
                <w:sz w:val="22"/>
                <w:szCs w:val="22"/>
              </w:rPr>
              <w:t>Rate of Interest</w:t>
            </w:r>
          </w:p>
        </w:tc>
      </w:tr>
      <w:tr w:rsidR="000113F5" w:rsidRPr="000113F5" w:rsidTr="00F34292">
        <w:trPr>
          <w:jc w:val="center"/>
        </w:trPr>
        <w:tc>
          <w:tcPr>
            <w:tcW w:w="96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113F5" w:rsidRPr="000113F5" w:rsidRDefault="000113F5" w:rsidP="000113F5">
            <w:pPr>
              <w:rPr>
                <w:rFonts w:asciiTheme="majorHAnsi" w:hAnsiTheme="majorHAnsi"/>
                <w:sz w:val="22"/>
                <w:szCs w:val="22"/>
              </w:rPr>
            </w:pPr>
            <w:r w:rsidRPr="000113F5">
              <w:rPr>
                <w:rFonts w:asciiTheme="majorHAnsi" w:hAnsiTheme="majorHAnsi"/>
                <w:sz w:val="22"/>
                <w:szCs w:val="22"/>
              </w:rPr>
              <w:t>4.</w:t>
            </w:r>
          </w:p>
        </w:tc>
        <w:tc>
          <w:tcPr>
            <w:tcW w:w="3978" w:type="dxa"/>
            <w:tcBorders>
              <w:top w:val="nil"/>
              <w:left w:val="nil"/>
              <w:bottom w:val="single" w:sz="8" w:space="0" w:color="auto"/>
              <w:right w:val="single" w:sz="8" w:space="0" w:color="auto"/>
            </w:tcBorders>
            <w:tcMar>
              <w:top w:w="0" w:type="dxa"/>
              <w:left w:w="108" w:type="dxa"/>
              <w:bottom w:w="0" w:type="dxa"/>
              <w:right w:w="108" w:type="dxa"/>
            </w:tcMar>
          </w:tcPr>
          <w:p w:rsidR="000113F5" w:rsidRPr="000113F5" w:rsidRDefault="000113F5" w:rsidP="000113F5">
            <w:pPr>
              <w:rPr>
                <w:rFonts w:asciiTheme="majorHAnsi" w:hAnsiTheme="majorHAnsi"/>
                <w:sz w:val="22"/>
                <w:szCs w:val="22"/>
              </w:rPr>
            </w:pPr>
            <w:r w:rsidRPr="000113F5">
              <w:rPr>
                <w:rFonts w:asciiTheme="majorHAnsi" w:hAnsiTheme="majorHAnsi"/>
                <w:sz w:val="22"/>
                <w:szCs w:val="22"/>
              </w:rPr>
              <w:t>From 10.09.2004 to 31.03.2011</w:t>
            </w:r>
          </w:p>
        </w:tc>
        <w:tc>
          <w:tcPr>
            <w:tcW w:w="2457" w:type="dxa"/>
            <w:tcBorders>
              <w:top w:val="nil"/>
              <w:left w:val="nil"/>
              <w:bottom w:val="single" w:sz="8" w:space="0" w:color="auto"/>
              <w:right w:val="single" w:sz="8" w:space="0" w:color="auto"/>
            </w:tcBorders>
            <w:tcMar>
              <w:top w:w="0" w:type="dxa"/>
              <w:left w:w="108" w:type="dxa"/>
              <w:bottom w:w="0" w:type="dxa"/>
              <w:right w:w="108" w:type="dxa"/>
            </w:tcMar>
          </w:tcPr>
          <w:p w:rsidR="000113F5" w:rsidRPr="000113F5" w:rsidRDefault="000113F5" w:rsidP="000113F5">
            <w:pPr>
              <w:rPr>
                <w:rFonts w:asciiTheme="majorHAnsi" w:hAnsiTheme="majorHAnsi"/>
                <w:sz w:val="22"/>
                <w:szCs w:val="22"/>
              </w:rPr>
            </w:pPr>
            <w:r w:rsidRPr="000113F5">
              <w:rPr>
                <w:rFonts w:asciiTheme="majorHAnsi" w:hAnsiTheme="majorHAnsi"/>
                <w:sz w:val="22"/>
                <w:szCs w:val="22"/>
              </w:rPr>
              <w:t>13% per annum</w:t>
            </w:r>
          </w:p>
        </w:tc>
      </w:tr>
      <w:tr w:rsidR="000113F5" w:rsidRPr="000113F5" w:rsidTr="00F34292">
        <w:trPr>
          <w:jc w:val="center"/>
        </w:trPr>
        <w:tc>
          <w:tcPr>
            <w:tcW w:w="96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113F5" w:rsidRPr="000113F5" w:rsidRDefault="000113F5" w:rsidP="000113F5">
            <w:pPr>
              <w:rPr>
                <w:rFonts w:asciiTheme="majorHAnsi" w:hAnsiTheme="majorHAnsi"/>
                <w:b/>
                <w:sz w:val="22"/>
                <w:szCs w:val="22"/>
              </w:rPr>
            </w:pPr>
            <w:r w:rsidRPr="000113F5">
              <w:rPr>
                <w:rFonts w:asciiTheme="majorHAnsi" w:hAnsiTheme="majorHAnsi"/>
                <w:b/>
                <w:sz w:val="22"/>
                <w:szCs w:val="22"/>
              </w:rPr>
              <w:t>5.</w:t>
            </w:r>
          </w:p>
        </w:tc>
        <w:tc>
          <w:tcPr>
            <w:tcW w:w="3978" w:type="dxa"/>
            <w:tcBorders>
              <w:top w:val="nil"/>
              <w:left w:val="nil"/>
              <w:bottom w:val="single" w:sz="8" w:space="0" w:color="auto"/>
              <w:right w:val="single" w:sz="8" w:space="0" w:color="auto"/>
            </w:tcBorders>
            <w:tcMar>
              <w:top w:w="0" w:type="dxa"/>
              <w:left w:w="108" w:type="dxa"/>
              <w:bottom w:w="0" w:type="dxa"/>
              <w:right w:w="108" w:type="dxa"/>
            </w:tcMar>
          </w:tcPr>
          <w:p w:rsidR="000113F5" w:rsidRPr="000113F5" w:rsidRDefault="000113F5" w:rsidP="000113F5">
            <w:pPr>
              <w:rPr>
                <w:rFonts w:asciiTheme="majorHAnsi" w:hAnsiTheme="majorHAnsi"/>
                <w:b/>
                <w:sz w:val="22"/>
                <w:szCs w:val="22"/>
              </w:rPr>
            </w:pPr>
            <w:r w:rsidRPr="000113F5">
              <w:rPr>
                <w:rFonts w:asciiTheme="majorHAnsi" w:hAnsiTheme="majorHAnsi"/>
                <w:b/>
                <w:sz w:val="22"/>
                <w:szCs w:val="22"/>
              </w:rPr>
              <w:t>From 01.04.2011</w:t>
            </w:r>
          </w:p>
        </w:tc>
        <w:tc>
          <w:tcPr>
            <w:tcW w:w="2457" w:type="dxa"/>
            <w:tcBorders>
              <w:top w:val="nil"/>
              <w:left w:val="nil"/>
              <w:bottom w:val="single" w:sz="8" w:space="0" w:color="auto"/>
              <w:right w:val="single" w:sz="8" w:space="0" w:color="auto"/>
            </w:tcBorders>
            <w:tcMar>
              <w:top w:w="0" w:type="dxa"/>
              <w:left w:w="108" w:type="dxa"/>
              <w:bottom w:w="0" w:type="dxa"/>
              <w:right w:w="108" w:type="dxa"/>
            </w:tcMar>
          </w:tcPr>
          <w:p w:rsidR="000113F5" w:rsidRPr="000113F5" w:rsidRDefault="000113F5" w:rsidP="000113F5">
            <w:pPr>
              <w:rPr>
                <w:rFonts w:asciiTheme="majorHAnsi" w:hAnsiTheme="majorHAnsi"/>
                <w:b/>
                <w:sz w:val="22"/>
                <w:szCs w:val="22"/>
              </w:rPr>
            </w:pPr>
            <w:r w:rsidRPr="000113F5">
              <w:rPr>
                <w:rFonts w:asciiTheme="majorHAnsi" w:hAnsiTheme="majorHAnsi"/>
                <w:b/>
                <w:sz w:val="22"/>
                <w:szCs w:val="22"/>
              </w:rPr>
              <w:t>18% per annum</w:t>
            </w:r>
          </w:p>
        </w:tc>
      </w:tr>
    </w:tbl>
    <w:p w:rsidR="000113F5" w:rsidRPr="000113F5" w:rsidRDefault="000113F5" w:rsidP="000113F5">
      <w:pPr>
        <w:rPr>
          <w:rFonts w:asciiTheme="majorHAnsi" w:hAnsiTheme="majorHAnsi"/>
          <w:sz w:val="22"/>
          <w:szCs w:val="22"/>
        </w:rPr>
      </w:pPr>
      <w:r w:rsidRPr="000113F5">
        <w:rPr>
          <w:rFonts w:asciiTheme="majorHAnsi" w:hAnsiTheme="majorHAnsi"/>
          <w:sz w:val="22"/>
          <w:szCs w:val="22"/>
        </w:rPr>
        <w:t> </w:t>
      </w:r>
    </w:p>
    <w:tbl>
      <w:tblPr>
        <w:tblW w:w="3785" w:type="pct"/>
        <w:tblInd w:w="697" w:type="dxa"/>
        <w:tblCellMar>
          <w:left w:w="0" w:type="dxa"/>
          <w:right w:w="0" w:type="dxa"/>
        </w:tblCellMar>
        <w:tblLook w:val="0000"/>
      </w:tblPr>
      <w:tblGrid>
        <w:gridCol w:w="7992"/>
      </w:tblGrid>
      <w:tr w:rsidR="000A1732" w:rsidRPr="000A1732" w:rsidTr="000A1732">
        <w:trPr>
          <w:trHeight w:val="434"/>
        </w:trPr>
        <w:tc>
          <w:tcPr>
            <w:tcW w:w="5000" w:type="pct"/>
            <w:tcBorders>
              <w:top w:val="outset" w:sz="8" w:space="0" w:color="00CCFF"/>
              <w:left w:val="outset" w:sz="8" w:space="0" w:color="00CCFF"/>
              <w:bottom w:val="outset" w:sz="8" w:space="0" w:color="00CCFF"/>
              <w:right w:val="outset" w:sz="8" w:space="0" w:color="00CCFF"/>
            </w:tcBorders>
            <w:shd w:val="clear" w:color="auto" w:fill="006699"/>
            <w:tcMar>
              <w:top w:w="45" w:type="dxa"/>
              <w:left w:w="45" w:type="dxa"/>
              <w:bottom w:w="45" w:type="dxa"/>
              <w:right w:w="45" w:type="dxa"/>
            </w:tcMar>
            <w:vAlign w:val="center"/>
          </w:tcPr>
          <w:p w:rsidR="000A1732" w:rsidRPr="000A1732" w:rsidRDefault="000A1732" w:rsidP="000A1732">
            <w:pPr>
              <w:jc w:val="center"/>
              <w:rPr>
                <w:rFonts w:asciiTheme="majorHAnsi" w:hAnsiTheme="majorHAnsi"/>
                <w:sz w:val="22"/>
                <w:szCs w:val="22"/>
              </w:rPr>
            </w:pPr>
            <w:r w:rsidRPr="000A1732">
              <w:rPr>
                <w:rFonts w:asciiTheme="majorHAnsi" w:hAnsiTheme="majorHAnsi"/>
                <w:b/>
                <w:bCs/>
                <w:sz w:val="32"/>
                <w:szCs w:val="22"/>
              </w:rPr>
              <w:t>11. Penalty</w:t>
            </w:r>
          </w:p>
        </w:tc>
      </w:tr>
    </w:tbl>
    <w:p w:rsidR="000A1732" w:rsidRPr="000A1732" w:rsidRDefault="000A1732" w:rsidP="000A1732">
      <w:pPr>
        <w:rPr>
          <w:rFonts w:asciiTheme="majorHAnsi" w:hAnsiTheme="majorHAnsi"/>
          <w:sz w:val="22"/>
          <w:szCs w:val="22"/>
        </w:rPr>
      </w:pPr>
      <w:r w:rsidRPr="000A1732">
        <w:rPr>
          <w:rFonts w:asciiTheme="majorHAnsi" w:hAnsiTheme="majorHAnsi"/>
          <w:sz w:val="22"/>
          <w:szCs w:val="22"/>
        </w:rPr>
        <w:t> </w:t>
      </w:r>
    </w:p>
    <w:p w:rsidR="000A1732" w:rsidRPr="000A1732" w:rsidRDefault="000A1732" w:rsidP="000A1732">
      <w:pPr>
        <w:rPr>
          <w:rFonts w:asciiTheme="majorHAnsi" w:hAnsiTheme="majorHAnsi"/>
          <w:sz w:val="22"/>
          <w:szCs w:val="22"/>
        </w:rPr>
      </w:pPr>
      <w:r w:rsidRPr="000A1732">
        <w:rPr>
          <w:rFonts w:asciiTheme="majorHAnsi" w:hAnsiTheme="majorHAnsi"/>
          <w:sz w:val="22"/>
          <w:szCs w:val="22"/>
        </w:rPr>
        <w:t>Penalties have been prescribed under different sections for different types of offences.</w:t>
      </w:r>
    </w:p>
    <w:p w:rsidR="000A1732" w:rsidRPr="000A1732" w:rsidRDefault="000A1732" w:rsidP="000A1732">
      <w:pPr>
        <w:rPr>
          <w:rFonts w:asciiTheme="majorHAnsi" w:hAnsiTheme="majorHAnsi"/>
          <w:sz w:val="22"/>
          <w:szCs w:val="22"/>
        </w:rPr>
      </w:pPr>
      <w:r w:rsidRPr="000A1732">
        <w:rPr>
          <w:rFonts w:asciiTheme="majorHAnsi" w:hAnsiTheme="majorHAnsi"/>
          <w:sz w:val="22"/>
          <w:szCs w:val="22"/>
        </w:rPr>
        <w:t> </w:t>
      </w:r>
    </w:p>
    <w:tbl>
      <w:tblPr>
        <w:tblW w:w="9468" w:type="dxa"/>
        <w:jc w:val="center"/>
        <w:tblCellMar>
          <w:left w:w="0" w:type="dxa"/>
          <w:right w:w="0" w:type="dxa"/>
        </w:tblCellMar>
        <w:tblLook w:val="0000"/>
      </w:tblPr>
      <w:tblGrid>
        <w:gridCol w:w="648"/>
        <w:gridCol w:w="1080"/>
        <w:gridCol w:w="3625"/>
        <w:gridCol w:w="4115"/>
      </w:tblGrid>
      <w:tr w:rsidR="000A1732" w:rsidRPr="000A1732" w:rsidTr="00F34292">
        <w:trPr>
          <w:jc w:val="center"/>
        </w:trPr>
        <w:tc>
          <w:tcPr>
            <w:tcW w:w="6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A1732" w:rsidRPr="000A1732" w:rsidRDefault="000A1732" w:rsidP="000A1732">
            <w:pPr>
              <w:rPr>
                <w:rFonts w:asciiTheme="majorHAnsi" w:hAnsiTheme="majorHAnsi"/>
                <w:sz w:val="22"/>
                <w:szCs w:val="22"/>
              </w:rPr>
            </w:pPr>
            <w:r w:rsidRPr="000A1732">
              <w:rPr>
                <w:rFonts w:asciiTheme="majorHAnsi" w:hAnsiTheme="majorHAnsi"/>
                <w:sz w:val="22"/>
                <w:szCs w:val="22"/>
              </w:rPr>
              <w:t>Sr.</w:t>
            </w:r>
          </w:p>
          <w:p w:rsidR="000A1732" w:rsidRPr="000A1732" w:rsidRDefault="000A1732" w:rsidP="000A1732">
            <w:pPr>
              <w:rPr>
                <w:rFonts w:asciiTheme="majorHAnsi" w:hAnsiTheme="majorHAnsi"/>
                <w:sz w:val="22"/>
                <w:szCs w:val="22"/>
              </w:rPr>
            </w:pPr>
            <w:r w:rsidRPr="000A1732">
              <w:rPr>
                <w:rFonts w:asciiTheme="majorHAnsi" w:hAnsiTheme="majorHAnsi"/>
                <w:sz w:val="22"/>
                <w:szCs w:val="22"/>
              </w:rPr>
              <w:t>No.</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A1732" w:rsidRPr="000A1732" w:rsidRDefault="000A1732" w:rsidP="000A1732">
            <w:pPr>
              <w:rPr>
                <w:rFonts w:asciiTheme="majorHAnsi" w:hAnsiTheme="majorHAnsi"/>
                <w:sz w:val="22"/>
                <w:szCs w:val="22"/>
              </w:rPr>
            </w:pPr>
            <w:r w:rsidRPr="000A1732">
              <w:rPr>
                <w:rFonts w:asciiTheme="majorHAnsi" w:hAnsiTheme="majorHAnsi"/>
                <w:sz w:val="22"/>
                <w:szCs w:val="22"/>
              </w:rPr>
              <w:t>Section</w:t>
            </w:r>
          </w:p>
        </w:tc>
        <w:tc>
          <w:tcPr>
            <w:tcW w:w="362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A1732" w:rsidRPr="000A1732" w:rsidRDefault="000A1732" w:rsidP="000A1732">
            <w:pPr>
              <w:rPr>
                <w:rFonts w:asciiTheme="majorHAnsi" w:hAnsiTheme="majorHAnsi"/>
                <w:sz w:val="22"/>
                <w:szCs w:val="22"/>
              </w:rPr>
            </w:pPr>
            <w:r w:rsidRPr="000A1732">
              <w:rPr>
                <w:rFonts w:asciiTheme="majorHAnsi" w:hAnsiTheme="majorHAnsi"/>
                <w:sz w:val="22"/>
                <w:szCs w:val="22"/>
              </w:rPr>
              <w:t>Offence</w:t>
            </w:r>
          </w:p>
        </w:tc>
        <w:tc>
          <w:tcPr>
            <w:tcW w:w="411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A1732" w:rsidRPr="000A1732" w:rsidRDefault="000A1732" w:rsidP="000A1732">
            <w:pPr>
              <w:rPr>
                <w:rFonts w:asciiTheme="majorHAnsi" w:hAnsiTheme="majorHAnsi"/>
                <w:sz w:val="22"/>
                <w:szCs w:val="22"/>
              </w:rPr>
            </w:pPr>
            <w:r w:rsidRPr="000A1732">
              <w:rPr>
                <w:rFonts w:asciiTheme="majorHAnsi" w:hAnsiTheme="majorHAnsi"/>
                <w:sz w:val="22"/>
                <w:szCs w:val="22"/>
              </w:rPr>
              <w:t>Details</w:t>
            </w:r>
          </w:p>
        </w:tc>
      </w:tr>
      <w:tr w:rsidR="000A1732" w:rsidRPr="000A1732" w:rsidTr="00F34292">
        <w:trPr>
          <w:jc w:val="center"/>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A1732" w:rsidRPr="000A1732" w:rsidRDefault="000A1732" w:rsidP="000A1732">
            <w:pPr>
              <w:rPr>
                <w:rFonts w:asciiTheme="majorHAnsi" w:hAnsiTheme="majorHAnsi"/>
                <w:sz w:val="22"/>
                <w:szCs w:val="22"/>
              </w:rPr>
            </w:pPr>
            <w:r w:rsidRPr="000A1732">
              <w:rPr>
                <w:rFonts w:asciiTheme="majorHAnsi" w:hAnsiTheme="majorHAnsi"/>
                <w:sz w:val="22"/>
                <w:szCs w:val="22"/>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0A1732" w:rsidRPr="000A1732" w:rsidRDefault="000A1732" w:rsidP="000A1732">
            <w:pPr>
              <w:rPr>
                <w:rFonts w:asciiTheme="majorHAnsi" w:hAnsiTheme="majorHAnsi"/>
                <w:sz w:val="22"/>
                <w:szCs w:val="22"/>
              </w:rPr>
            </w:pPr>
            <w:r w:rsidRPr="000A1732">
              <w:rPr>
                <w:rFonts w:asciiTheme="majorHAnsi" w:hAnsiTheme="majorHAnsi"/>
                <w:sz w:val="22"/>
                <w:szCs w:val="22"/>
              </w:rPr>
              <w:t>76</w:t>
            </w:r>
          </w:p>
        </w:tc>
        <w:tc>
          <w:tcPr>
            <w:tcW w:w="3625" w:type="dxa"/>
            <w:tcBorders>
              <w:top w:val="nil"/>
              <w:left w:val="nil"/>
              <w:bottom w:val="single" w:sz="8" w:space="0" w:color="auto"/>
              <w:right w:val="single" w:sz="8" w:space="0" w:color="auto"/>
            </w:tcBorders>
            <w:tcMar>
              <w:top w:w="0" w:type="dxa"/>
              <w:left w:w="108" w:type="dxa"/>
              <w:bottom w:w="0" w:type="dxa"/>
              <w:right w:w="108" w:type="dxa"/>
            </w:tcMar>
          </w:tcPr>
          <w:p w:rsidR="000A1732" w:rsidRPr="000A1732" w:rsidRDefault="000A1732" w:rsidP="000A1732">
            <w:pPr>
              <w:rPr>
                <w:rFonts w:asciiTheme="majorHAnsi" w:hAnsiTheme="majorHAnsi"/>
                <w:sz w:val="22"/>
                <w:szCs w:val="22"/>
              </w:rPr>
            </w:pPr>
            <w:r w:rsidRPr="000A1732">
              <w:rPr>
                <w:rFonts w:asciiTheme="majorHAnsi" w:hAnsiTheme="majorHAnsi"/>
                <w:sz w:val="22"/>
                <w:szCs w:val="22"/>
              </w:rPr>
              <w:t>Failure to pay service tax</w:t>
            </w:r>
          </w:p>
        </w:tc>
        <w:tc>
          <w:tcPr>
            <w:tcW w:w="4115" w:type="dxa"/>
            <w:tcBorders>
              <w:top w:val="nil"/>
              <w:left w:val="nil"/>
              <w:bottom w:val="single" w:sz="8" w:space="0" w:color="auto"/>
              <w:right w:val="single" w:sz="8" w:space="0" w:color="auto"/>
            </w:tcBorders>
            <w:tcMar>
              <w:top w:w="0" w:type="dxa"/>
              <w:left w:w="108" w:type="dxa"/>
              <w:bottom w:w="0" w:type="dxa"/>
              <w:right w:w="108" w:type="dxa"/>
            </w:tcMar>
          </w:tcPr>
          <w:p w:rsidR="000A1732" w:rsidRPr="000A1732" w:rsidRDefault="000A1732" w:rsidP="000A1732">
            <w:pPr>
              <w:rPr>
                <w:rFonts w:asciiTheme="majorHAnsi" w:hAnsiTheme="majorHAnsi"/>
                <w:sz w:val="22"/>
                <w:szCs w:val="22"/>
              </w:rPr>
            </w:pPr>
            <w:r w:rsidRPr="000A1732">
              <w:rPr>
                <w:rFonts w:asciiTheme="majorHAnsi" w:hAnsiTheme="majorHAnsi"/>
                <w:sz w:val="22"/>
                <w:szCs w:val="22"/>
              </w:rPr>
              <w:t>In addition to the service tax and interest, penalty not less than Rs.100/- for every day during which failure continues, or @ 1% of such tax per month, whichever is higher but shall not exceed 50% of service tax due.</w:t>
            </w:r>
          </w:p>
        </w:tc>
      </w:tr>
      <w:tr w:rsidR="000A1732" w:rsidRPr="000A1732" w:rsidTr="00F34292">
        <w:trPr>
          <w:jc w:val="center"/>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A1732" w:rsidRPr="000A1732" w:rsidRDefault="000A1732" w:rsidP="000A1732">
            <w:pPr>
              <w:rPr>
                <w:rFonts w:asciiTheme="majorHAnsi" w:hAnsiTheme="majorHAnsi"/>
                <w:sz w:val="22"/>
                <w:szCs w:val="22"/>
              </w:rPr>
            </w:pPr>
            <w:r w:rsidRPr="000A1732">
              <w:rPr>
                <w:rFonts w:asciiTheme="majorHAnsi" w:hAnsiTheme="majorHAnsi"/>
                <w:sz w:val="22"/>
                <w:szCs w:val="22"/>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0A1732" w:rsidRPr="000A1732" w:rsidRDefault="000A1732" w:rsidP="000A1732">
            <w:pPr>
              <w:rPr>
                <w:rFonts w:asciiTheme="majorHAnsi" w:hAnsiTheme="majorHAnsi"/>
                <w:sz w:val="22"/>
                <w:szCs w:val="22"/>
              </w:rPr>
            </w:pPr>
            <w:r w:rsidRPr="000A1732">
              <w:rPr>
                <w:rFonts w:asciiTheme="majorHAnsi" w:hAnsiTheme="majorHAnsi"/>
                <w:sz w:val="22"/>
                <w:szCs w:val="22"/>
              </w:rPr>
              <w:t>77</w:t>
            </w:r>
          </w:p>
        </w:tc>
        <w:tc>
          <w:tcPr>
            <w:tcW w:w="3625" w:type="dxa"/>
            <w:tcBorders>
              <w:top w:val="nil"/>
              <w:left w:val="nil"/>
              <w:bottom w:val="single" w:sz="8" w:space="0" w:color="auto"/>
              <w:right w:val="single" w:sz="8" w:space="0" w:color="auto"/>
            </w:tcBorders>
            <w:tcMar>
              <w:top w:w="0" w:type="dxa"/>
              <w:left w:w="108" w:type="dxa"/>
              <w:bottom w:w="0" w:type="dxa"/>
              <w:right w:w="108" w:type="dxa"/>
            </w:tcMar>
          </w:tcPr>
          <w:p w:rsidR="000A1732" w:rsidRPr="000A1732" w:rsidRDefault="000A1732" w:rsidP="000A1732">
            <w:pPr>
              <w:rPr>
                <w:rFonts w:asciiTheme="majorHAnsi" w:hAnsiTheme="majorHAnsi"/>
                <w:sz w:val="22"/>
                <w:szCs w:val="22"/>
              </w:rPr>
            </w:pPr>
            <w:r w:rsidRPr="000A1732">
              <w:rPr>
                <w:rFonts w:asciiTheme="majorHAnsi" w:hAnsiTheme="majorHAnsi"/>
                <w:sz w:val="22"/>
                <w:szCs w:val="22"/>
              </w:rPr>
              <w:t>General penalty for contravention of any provisions of chapter V of Finance Act, 1994 or rules made there under for which no penalty is provided</w:t>
            </w:r>
          </w:p>
        </w:tc>
        <w:tc>
          <w:tcPr>
            <w:tcW w:w="4115" w:type="dxa"/>
            <w:tcBorders>
              <w:top w:val="nil"/>
              <w:left w:val="nil"/>
              <w:bottom w:val="single" w:sz="8" w:space="0" w:color="auto"/>
              <w:right w:val="single" w:sz="8" w:space="0" w:color="auto"/>
            </w:tcBorders>
            <w:tcMar>
              <w:top w:w="0" w:type="dxa"/>
              <w:left w:w="108" w:type="dxa"/>
              <w:bottom w:w="0" w:type="dxa"/>
              <w:right w:w="108" w:type="dxa"/>
            </w:tcMar>
          </w:tcPr>
          <w:p w:rsidR="000A1732" w:rsidRPr="000A1732" w:rsidRDefault="000A1732" w:rsidP="000A1732">
            <w:pPr>
              <w:rPr>
                <w:rFonts w:asciiTheme="majorHAnsi" w:hAnsiTheme="majorHAnsi"/>
                <w:sz w:val="22"/>
                <w:szCs w:val="22"/>
              </w:rPr>
            </w:pPr>
            <w:r w:rsidRPr="000A1732">
              <w:rPr>
                <w:rFonts w:asciiTheme="majorHAnsi" w:hAnsiTheme="majorHAnsi"/>
                <w:sz w:val="22"/>
                <w:szCs w:val="22"/>
              </w:rPr>
              <w:t>a)     Failure to take registration  in accordance with Sec.69 or rules made thereunder - Rs. 10000 or Rs. 200 per day during which failure continues, whichever is higher.</w:t>
            </w:r>
          </w:p>
          <w:p w:rsidR="000A1732" w:rsidRPr="000A1732" w:rsidRDefault="000A1732" w:rsidP="000A1732">
            <w:pPr>
              <w:rPr>
                <w:rFonts w:asciiTheme="majorHAnsi" w:hAnsiTheme="majorHAnsi"/>
                <w:sz w:val="22"/>
                <w:szCs w:val="22"/>
              </w:rPr>
            </w:pPr>
            <w:r w:rsidRPr="000A1732">
              <w:rPr>
                <w:rFonts w:asciiTheme="majorHAnsi" w:hAnsiTheme="majorHAnsi"/>
                <w:sz w:val="22"/>
                <w:szCs w:val="22"/>
              </w:rPr>
              <w:t>b)     Failure to keep, maintain or retain records- Up to Rs.10000/-</w:t>
            </w:r>
          </w:p>
          <w:p w:rsidR="000A1732" w:rsidRPr="000A1732" w:rsidRDefault="000A1732" w:rsidP="000A1732">
            <w:pPr>
              <w:rPr>
                <w:rFonts w:asciiTheme="majorHAnsi" w:hAnsiTheme="majorHAnsi"/>
                <w:sz w:val="22"/>
                <w:szCs w:val="22"/>
              </w:rPr>
            </w:pPr>
            <w:r w:rsidRPr="000A1732">
              <w:rPr>
                <w:rFonts w:asciiTheme="majorHAnsi" w:hAnsiTheme="majorHAnsi"/>
                <w:sz w:val="22"/>
                <w:szCs w:val="22"/>
              </w:rPr>
              <w:t>c)     Failure to furnish information, to produce documents called for by Central Excise Officer or to appear before the Central Excise Officer- Upto Rs.10000/- or Rs. 200 per day during which failure continues.</w:t>
            </w:r>
          </w:p>
          <w:p w:rsidR="000A1732" w:rsidRPr="000A1732" w:rsidRDefault="000A1732" w:rsidP="000A1732">
            <w:pPr>
              <w:rPr>
                <w:rFonts w:asciiTheme="majorHAnsi" w:hAnsiTheme="majorHAnsi"/>
                <w:sz w:val="22"/>
                <w:szCs w:val="22"/>
              </w:rPr>
            </w:pPr>
            <w:r w:rsidRPr="000A1732">
              <w:rPr>
                <w:rFonts w:asciiTheme="majorHAnsi" w:hAnsiTheme="majorHAnsi"/>
                <w:sz w:val="22"/>
                <w:szCs w:val="22"/>
              </w:rPr>
              <w:t>d)     Failure to pay tax electronically by the person required to pay tax electronically- upto Rs.10000/-</w:t>
            </w:r>
          </w:p>
          <w:p w:rsidR="000A1732" w:rsidRPr="000A1732" w:rsidRDefault="000A1732" w:rsidP="000A1732">
            <w:pPr>
              <w:rPr>
                <w:rFonts w:asciiTheme="majorHAnsi" w:hAnsiTheme="majorHAnsi"/>
                <w:sz w:val="22"/>
                <w:szCs w:val="22"/>
              </w:rPr>
            </w:pPr>
            <w:r w:rsidRPr="000A1732">
              <w:rPr>
                <w:rFonts w:asciiTheme="majorHAnsi" w:hAnsiTheme="majorHAnsi"/>
                <w:sz w:val="22"/>
                <w:szCs w:val="22"/>
              </w:rPr>
              <w:t>e)     Failure to issue correct invoice with complete details and account for the invoice in his books of accounts_Upto Rs.10000/-</w:t>
            </w:r>
          </w:p>
          <w:p w:rsidR="000A1732" w:rsidRPr="000A1732" w:rsidRDefault="000A1732" w:rsidP="000A1732">
            <w:pPr>
              <w:rPr>
                <w:rFonts w:asciiTheme="majorHAnsi" w:hAnsiTheme="majorHAnsi"/>
                <w:sz w:val="22"/>
                <w:szCs w:val="22"/>
              </w:rPr>
            </w:pPr>
            <w:r w:rsidRPr="000A1732">
              <w:rPr>
                <w:rFonts w:asciiTheme="majorHAnsi" w:hAnsiTheme="majorHAnsi"/>
                <w:sz w:val="22"/>
                <w:szCs w:val="22"/>
              </w:rPr>
              <w:t xml:space="preserve">2. For contravention of any other provisions of the Act where no separate </w:t>
            </w:r>
            <w:r w:rsidRPr="000A1732">
              <w:rPr>
                <w:rFonts w:asciiTheme="majorHAnsi" w:hAnsiTheme="majorHAnsi"/>
                <w:sz w:val="22"/>
                <w:szCs w:val="22"/>
              </w:rPr>
              <w:lastRenderedPageBreak/>
              <w:t>penalty is provided- upto Rs.10000/-</w:t>
            </w:r>
          </w:p>
        </w:tc>
      </w:tr>
      <w:tr w:rsidR="000A1732" w:rsidRPr="000A1732" w:rsidTr="00F34292">
        <w:trPr>
          <w:jc w:val="center"/>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A1732" w:rsidRPr="000A1732" w:rsidRDefault="000A1732" w:rsidP="000A1732">
            <w:pPr>
              <w:rPr>
                <w:rFonts w:asciiTheme="majorHAnsi" w:hAnsiTheme="majorHAnsi"/>
                <w:sz w:val="22"/>
                <w:szCs w:val="22"/>
              </w:rPr>
            </w:pPr>
            <w:r w:rsidRPr="000A1732">
              <w:rPr>
                <w:rFonts w:asciiTheme="majorHAnsi" w:hAnsiTheme="majorHAnsi"/>
                <w:sz w:val="22"/>
                <w:szCs w:val="22"/>
              </w:rPr>
              <w:lastRenderedPageBreak/>
              <w:t>3</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0A1732" w:rsidRPr="000A1732" w:rsidRDefault="000A1732" w:rsidP="000A1732">
            <w:pPr>
              <w:rPr>
                <w:rFonts w:asciiTheme="majorHAnsi" w:hAnsiTheme="majorHAnsi"/>
                <w:sz w:val="22"/>
                <w:szCs w:val="22"/>
              </w:rPr>
            </w:pPr>
            <w:r w:rsidRPr="000A1732">
              <w:rPr>
                <w:rFonts w:asciiTheme="majorHAnsi" w:hAnsiTheme="majorHAnsi"/>
                <w:sz w:val="22"/>
                <w:szCs w:val="22"/>
              </w:rPr>
              <w:t>78</w:t>
            </w:r>
          </w:p>
        </w:tc>
        <w:tc>
          <w:tcPr>
            <w:tcW w:w="3625" w:type="dxa"/>
            <w:tcBorders>
              <w:top w:val="nil"/>
              <w:left w:val="nil"/>
              <w:bottom w:val="single" w:sz="8" w:space="0" w:color="auto"/>
              <w:right w:val="single" w:sz="8" w:space="0" w:color="auto"/>
            </w:tcBorders>
            <w:tcMar>
              <w:top w:w="0" w:type="dxa"/>
              <w:left w:w="108" w:type="dxa"/>
              <w:bottom w:w="0" w:type="dxa"/>
              <w:right w:w="108" w:type="dxa"/>
            </w:tcMar>
          </w:tcPr>
          <w:p w:rsidR="000A1732" w:rsidRPr="000A1732" w:rsidRDefault="000A1732" w:rsidP="000A1732">
            <w:pPr>
              <w:rPr>
                <w:rFonts w:asciiTheme="majorHAnsi" w:hAnsiTheme="majorHAnsi"/>
                <w:sz w:val="22"/>
                <w:szCs w:val="22"/>
              </w:rPr>
            </w:pPr>
            <w:r w:rsidRPr="000A1732">
              <w:rPr>
                <w:rFonts w:asciiTheme="majorHAnsi" w:hAnsiTheme="majorHAnsi"/>
                <w:sz w:val="22"/>
                <w:szCs w:val="22"/>
              </w:rPr>
              <w:t>Service tax not been levied or paid or been short-levied or short-paid or erroneously refunded by reason of fraud or collusion or willful mis-statement or suppression of facts or contravention of any of the provisions of chapter V of Finance Act, 1994 or of the rules made there under with intent to evade payment of service tax</w:t>
            </w:r>
          </w:p>
        </w:tc>
        <w:tc>
          <w:tcPr>
            <w:tcW w:w="4115" w:type="dxa"/>
            <w:tcBorders>
              <w:top w:val="nil"/>
              <w:left w:val="nil"/>
              <w:bottom w:val="single" w:sz="8" w:space="0" w:color="auto"/>
              <w:right w:val="single" w:sz="8" w:space="0" w:color="auto"/>
            </w:tcBorders>
            <w:tcMar>
              <w:top w:w="0" w:type="dxa"/>
              <w:left w:w="108" w:type="dxa"/>
              <w:bottom w:w="0" w:type="dxa"/>
              <w:right w:w="108" w:type="dxa"/>
            </w:tcMar>
          </w:tcPr>
          <w:p w:rsidR="000A1732" w:rsidRPr="000A1732" w:rsidRDefault="000A1732" w:rsidP="000A1732">
            <w:pPr>
              <w:rPr>
                <w:rFonts w:asciiTheme="majorHAnsi" w:hAnsiTheme="majorHAnsi"/>
                <w:sz w:val="22"/>
                <w:szCs w:val="22"/>
              </w:rPr>
            </w:pPr>
            <w:r w:rsidRPr="000A1732">
              <w:rPr>
                <w:rFonts w:asciiTheme="majorHAnsi" w:hAnsiTheme="majorHAnsi"/>
                <w:sz w:val="22"/>
                <w:szCs w:val="22"/>
              </w:rPr>
              <w:t>Shall in addition to the Service Tax and interest thereon, if any payable, be the amount equal to the amount of Service tax not levied or paid or short-levied or short paid or erroneously refunded. But where true accounts are available in specified records, the penalty is reduced to 50%.  Where the service tax and interest is paid within 30 days, from the date of communication of the order the penalty is 25%.  The reduced penalty is available only if the penalty is paid within 30 days of the date of communication of the order.</w:t>
            </w:r>
          </w:p>
        </w:tc>
      </w:tr>
      <w:tr w:rsidR="000A1732" w:rsidRPr="000A1732" w:rsidTr="00F34292">
        <w:trPr>
          <w:jc w:val="center"/>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A1732" w:rsidRPr="000A1732" w:rsidRDefault="000A1732" w:rsidP="000A1732">
            <w:pPr>
              <w:rPr>
                <w:rFonts w:asciiTheme="majorHAnsi" w:hAnsiTheme="majorHAnsi"/>
                <w:sz w:val="22"/>
                <w:szCs w:val="22"/>
              </w:rPr>
            </w:pPr>
            <w:r w:rsidRPr="000A1732">
              <w:rPr>
                <w:rFonts w:asciiTheme="majorHAnsi" w:hAnsiTheme="majorHAnsi"/>
                <w:sz w:val="22"/>
                <w:szCs w:val="22"/>
              </w:rPr>
              <w:t>4</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0A1732" w:rsidRPr="000A1732" w:rsidRDefault="000A1732" w:rsidP="000A1732">
            <w:pPr>
              <w:rPr>
                <w:rFonts w:asciiTheme="majorHAnsi" w:hAnsiTheme="majorHAnsi"/>
                <w:sz w:val="22"/>
                <w:szCs w:val="22"/>
              </w:rPr>
            </w:pPr>
            <w:r w:rsidRPr="000A1732">
              <w:rPr>
                <w:rFonts w:asciiTheme="majorHAnsi" w:hAnsiTheme="majorHAnsi"/>
                <w:sz w:val="22"/>
                <w:szCs w:val="22"/>
              </w:rPr>
              <w:t>70(1) &amp;</w:t>
            </w:r>
          </w:p>
          <w:p w:rsidR="000A1732" w:rsidRPr="000A1732" w:rsidRDefault="000A1732" w:rsidP="000A1732">
            <w:pPr>
              <w:rPr>
                <w:rFonts w:asciiTheme="majorHAnsi" w:hAnsiTheme="majorHAnsi"/>
                <w:sz w:val="22"/>
                <w:szCs w:val="22"/>
              </w:rPr>
            </w:pPr>
            <w:r w:rsidRPr="000A1732">
              <w:rPr>
                <w:rFonts w:asciiTheme="majorHAnsi" w:hAnsiTheme="majorHAnsi"/>
                <w:sz w:val="22"/>
                <w:szCs w:val="22"/>
              </w:rPr>
              <w:t>Rule 7C</w:t>
            </w:r>
          </w:p>
        </w:tc>
        <w:tc>
          <w:tcPr>
            <w:tcW w:w="3625" w:type="dxa"/>
            <w:tcBorders>
              <w:top w:val="nil"/>
              <w:left w:val="nil"/>
              <w:bottom w:val="single" w:sz="8" w:space="0" w:color="auto"/>
              <w:right w:val="single" w:sz="8" w:space="0" w:color="auto"/>
            </w:tcBorders>
            <w:tcMar>
              <w:top w:w="0" w:type="dxa"/>
              <w:left w:w="108" w:type="dxa"/>
              <w:bottom w:w="0" w:type="dxa"/>
              <w:right w:w="108" w:type="dxa"/>
            </w:tcMar>
          </w:tcPr>
          <w:p w:rsidR="000A1732" w:rsidRPr="000A1732" w:rsidRDefault="000A1732" w:rsidP="000A1732">
            <w:pPr>
              <w:rPr>
                <w:rFonts w:asciiTheme="majorHAnsi" w:hAnsiTheme="majorHAnsi"/>
                <w:sz w:val="22"/>
                <w:szCs w:val="22"/>
              </w:rPr>
            </w:pPr>
            <w:r w:rsidRPr="000A1732">
              <w:rPr>
                <w:rFonts w:asciiTheme="majorHAnsi" w:hAnsiTheme="majorHAnsi"/>
                <w:sz w:val="22"/>
                <w:szCs w:val="22"/>
              </w:rPr>
              <w:t>Late filing of returns</w:t>
            </w:r>
          </w:p>
        </w:tc>
        <w:tc>
          <w:tcPr>
            <w:tcW w:w="4115" w:type="dxa"/>
            <w:tcBorders>
              <w:top w:val="nil"/>
              <w:left w:val="nil"/>
              <w:bottom w:val="single" w:sz="8" w:space="0" w:color="auto"/>
              <w:right w:val="single" w:sz="8" w:space="0" w:color="auto"/>
            </w:tcBorders>
            <w:tcMar>
              <w:top w:w="0" w:type="dxa"/>
              <w:left w:w="108" w:type="dxa"/>
              <w:bottom w:w="0" w:type="dxa"/>
              <w:right w:w="108" w:type="dxa"/>
            </w:tcMar>
          </w:tcPr>
          <w:p w:rsidR="000A1732" w:rsidRPr="000A1732" w:rsidRDefault="000A1732" w:rsidP="000A1732">
            <w:pPr>
              <w:rPr>
                <w:rFonts w:asciiTheme="majorHAnsi" w:hAnsiTheme="majorHAnsi"/>
                <w:sz w:val="22"/>
                <w:szCs w:val="22"/>
              </w:rPr>
            </w:pPr>
            <w:r w:rsidRPr="000A1732">
              <w:rPr>
                <w:rFonts w:asciiTheme="majorHAnsi" w:hAnsiTheme="majorHAnsi"/>
                <w:sz w:val="22"/>
                <w:szCs w:val="22"/>
              </w:rPr>
              <w:t>Late fee upto Rs.20000/-</w:t>
            </w:r>
          </w:p>
          <w:p w:rsidR="000A1732" w:rsidRPr="000A1732" w:rsidRDefault="000A1732" w:rsidP="000A1732">
            <w:pPr>
              <w:rPr>
                <w:rFonts w:asciiTheme="majorHAnsi" w:hAnsiTheme="majorHAnsi"/>
                <w:sz w:val="22"/>
                <w:szCs w:val="22"/>
              </w:rPr>
            </w:pPr>
            <w:r w:rsidRPr="000A1732">
              <w:rPr>
                <w:rFonts w:asciiTheme="majorHAnsi" w:hAnsiTheme="majorHAnsi"/>
                <w:sz w:val="22"/>
                <w:szCs w:val="22"/>
              </w:rPr>
              <w:t> </w:t>
            </w:r>
          </w:p>
          <w:p w:rsidR="000A1732" w:rsidRPr="000A1732" w:rsidRDefault="000A1732" w:rsidP="000A1732">
            <w:pPr>
              <w:rPr>
                <w:rFonts w:asciiTheme="majorHAnsi" w:hAnsiTheme="majorHAnsi"/>
                <w:sz w:val="22"/>
                <w:szCs w:val="22"/>
              </w:rPr>
            </w:pPr>
            <w:r w:rsidRPr="000A1732">
              <w:rPr>
                <w:rFonts w:asciiTheme="majorHAnsi" w:hAnsiTheme="majorHAnsi"/>
                <w:sz w:val="22"/>
                <w:szCs w:val="22"/>
              </w:rPr>
              <w:t>a)Delay up to 15 days-Rs.500/-</w:t>
            </w:r>
          </w:p>
          <w:p w:rsidR="000A1732" w:rsidRPr="000A1732" w:rsidRDefault="000A1732" w:rsidP="000A1732">
            <w:pPr>
              <w:rPr>
                <w:rFonts w:asciiTheme="majorHAnsi" w:hAnsiTheme="majorHAnsi"/>
                <w:sz w:val="22"/>
                <w:szCs w:val="22"/>
              </w:rPr>
            </w:pPr>
            <w:r w:rsidRPr="000A1732">
              <w:rPr>
                <w:rFonts w:asciiTheme="majorHAnsi" w:hAnsiTheme="majorHAnsi"/>
                <w:sz w:val="22"/>
                <w:szCs w:val="22"/>
              </w:rPr>
              <w:t>b) Delay beyond 15 days and upto 30 days-Rs.1000/-</w:t>
            </w:r>
          </w:p>
          <w:p w:rsidR="000A1732" w:rsidRPr="000A1732" w:rsidRDefault="000A1732" w:rsidP="000A1732">
            <w:pPr>
              <w:rPr>
                <w:rFonts w:asciiTheme="majorHAnsi" w:hAnsiTheme="majorHAnsi"/>
                <w:sz w:val="22"/>
                <w:szCs w:val="22"/>
              </w:rPr>
            </w:pPr>
            <w:r w:rsidRPr="000A1732">
              <w:rPr>
                <w:rFonts w:asciiTheme="majorHAnsi" w:hAnsiTheme="majorHAnsi"/>
                <w:sz w:val="22"/>
                <w:szCs w:val="22"/>
              </w:rPr>
              <w:t>c) Delay beyond 30 days-Rs.1000/- plus Rs.100 per day of delay beyond 30 days</w:t>
            </w:r>
          </w:p>
          <w:p w:rsidR="000A1732" w:rsidRPr="000A1732" w:rsidRDefault="000A1732" w:rsidP="000A1732">
            <w:pPr>
              <w:rPr>
                <w:rFonts w:asciiTheme="majorHAnsi" w:hAnsiTheme="majorHAnsi"/>
                <w:sz w:val="22"/>
                <w:szCs w:val="22"/>
              </w:rPr>
            </w:pPr>
            <w:r w:rsidRPr="000A1732">
              <w:rPr>
                <w:rFonts w:asciiTheme="majorHAnsi" w:hAnsiTheme="majorHAnsi"/>
                <w:sz w:val="22"/>
                <w:szCs w:val="22"/>
              </w:rPr>
              <w:t>Provided the total amount payable in terms of this rule shall not exceed the amount specified in Sec.70 of the Act.</w:t>
            </w:r>
          </w:p>
          <w:p w:rsidR="000A1732" w:rsidRPr="000A1732" w:rsidRDefault="000A1732" w:rsidP="000A1732">
            <w:pPr>
              <w:rPr>
                <w:rFonts w:asciiTheme="majorHAnsi" w:hAnsiTheme="majorHAnsi"/>
                <w:sz w:val="22"/>
                <w:szCs w:val="22"/>
              </w:rPr>
            </w:pPr>
            <w:r w:rsidRPr="000A1732">
              <w:rPr>
                <w:rFonts w:asciiTheme="majorHAnsi" w:hAnsiTheme="majorHAnsi"/>
                <w:sz w:val="22"/>
                <w:szCs w:val="22"/>
              </w:rPr>
              <w:t> </w:t>
            </w:r>
          </w:p>
        </w:tc>
      </w:tr>
    </w:tbl>
    <w:p w:rsidR="000113F5" w:rsidRPr="00B5412A" w:rsidRDefault="000113F5" w:rsidP="00CD61B8">
      <w:pPr>
        <w:rPr>
          <w:rFonts w:asciiTheme="majorHAnsi" w:hAnsiTheme="majorHAnsi"/>
          <w:sz w:val="22"/>
          <w:szCs w:val="22"/>
        </w:rPr>
      </w:pPr>
    </w:p>
    <w:sectPr w:rsidR="000113F5" w:rsidRPr="00B5412A" w:rsidSect="00265DE4">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219F" w:rsidRDefault="00FF219F" w:rsidP="00512338">
      <w:r>
        <w:separator/>
      </w:r>
    </w:p>
  </w:endnote>
  <w:endnote w:type="continuationSeparator" w:id="1">
    <w:p w:rsidR="00FF219F" w:rsidRDefault="00FF219F" w:rsidP="0051233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219F" w:rsidRDefault="00FF219F" w:rsidP="00512338">
      <w:r>
        <w:separator/>
      </w:r>
    </w:p>
  </w:footnote>
  <w:footnote w:type="continuationSeparator" w:id="1">
    <w:p w:rsidR="00FF219F" w:rsidRDefault="00FF219F" w:rsidP="0051233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B5412A"/>
    <w:rsid w:val="000113F5"/>
    <w:rsid w:val="000278A5"/>
    <w:rsid w:val="000A1732"/>
    <w:rsid w:val="00265DE4"/>
    <w:rsid w:val="00512338"/>
    <w:rsid w:val="008965D6"/>
    <w:rsid w:val="00B5412A"/>
    <w:rsid w:val="00C4297F"/>
    <w:rsid w:val="00CD61B8"/>
    <w:rsid w:val="00D357D0"/>
    <w:rsid w:val="00FF21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1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5412A"/>
  </w:style>
  <w:style w:type="character" w:styleId="Hyperlink">
    <w:name w:val="Hyperlink"/>
    <w:basedOn w:val="DefaultParagraphFont"/>
    <w:uiPriority w:val="99"/>
    <w:unhideWhenUsed/>
    <w:rsid w:val="000278A5"/>
    <w:rPr>
      <w:color w:val="0000FF" w:themeColor="hyperlink"/>
      <w:u w:val="single"/>
    </w:rPr>
  </w:style>
  <w:style w:type="paragraph" w:styleId="FootnoteText">
    <w:name w:val="footnote text"/>
    <w:basedOn w:val="Normal"/>
    <w:link w:val="FootnoteTextChar"/>
    <w:uiPriority w:val="99"/>
    <w:semiHidden/>
    <w:unhideWhenUsed/>
    <w:rsid w:val="00512338"/>
    <w:rPr>
      <w:sz w:val="20"/>
      <w:szCs w:val="20"/>
    </w:rPr>
  </w:style>
  <w:style w:type="character" w:customStyle="1" w:styleId="FootnoteTextChar">
    <w:name w:val="Footnote Text Char"/>
    <w:basedOn w:val="DefaultParagraphFont"/>
    <w:link w:val="FootnoteText"/>
    <w:uiPriority w:val="99"/>
    <w:semiHidden/>
    <w:rsid w:val="0051233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1233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bec.gov.in/" TargetMode="External"/><Relationship Id="rId3" Type="http://schemas.openxmlformats.org/officeDocument/2006/relationships/settings" Target="settings.xml"/><Relationship Id="rId7" Type="http://schemas.openxmlformats.org/officeDocument/2006/relationships/hyperlink" Target="http://www.exciseandservicetax.nic.i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3E0B1-A8CF-4AFD-9115-AF8728532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2997</Words>
  <Characters>17083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avik</dc:creator>
  <cp:keywords/>
  <dc:description/>
  <cp:lastModifiedBy>avik</cp:lastModifiedBy>
  <cp:revision>7</cp:revision>
  <dcterms:created xsi:type="dcterms:W3CDTF">2004-01-01T08:11:00Z</dcterms:created>
  <dcterms:modified xsi:type="dcterms:W3CDTF">2004-01-01T10:05:00Z</dcterms:modified>
</cp:coreProperties>
</file>