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12DF7" w:rsidRDefault="00E45917" w:rsidP="00A048BD">
      <w:pPr>
        <w:jc w:val="center"/>
        <w:rPr>
          <w:rFonts w:ascii="Garamond" w:hAnsi="Garamond"/>
          <w:b/>
          <w:sz w:val="24"/>
          <w:szCs w:val="24"/>
        </w:rPr>
      </w:pPr>
      <w:r w:rsidRPr="00412DF7">
        <w:rPr>
          <w:rFonts w:ascii="Garamond" w:hAnsi="Garamond"/>
          <w:b/>
          <w:sz w:val="24"/>
          <w:szCs w:val="24"/>
        </w:rPr>
        <w:t>Reverse Charge Mechanism of Service Tax</w:t>
      </w:r>
    </w:p>
    <w:p w:rsidR="00E8227B" w:rsidRPr="00412DF7" w:rsidRDefault="00E8227B" w:rsidP="00A048BD">
      <w:pPr>
        <w:pStyle w:val="ListParagraph"/>
        <w:numPr>
          <w:ilvl w:val="0"/>
          <w:numId w:val="1"/>
        </w:numPr>
        <w:rPr>
          <w:rFonts w:ascii="Garamond" w:hAnsi="Garamond"/>
          <w:b/>
          <w:sz w:val="24"/>
          <w:szCs w:val="24"/>
        </w:rPr>
      </w:pPr>
      <w:r w:rsidRPr="00412DF7">
        <w:rPr>
          <w:rFonts w:ascii="Garamond" w:hAnsi="Garamond"/>
          <w:b/>
          <w:sz w:val="24"/>
          <w:szCs w:val="24"/>
        </w:rPr>
        <w:t xml:space="preserve">Introduction : </w:t>
      </w:r>
    </w:p>
    <w:p w:rsidR="00BC5FE1" w:rsidRPr="00412DF7" w:rsidRDefault="00BC5FE1" w:rsidP="00A048BD">
      <w:pPr>
        <w:ind w:left="720"/>
        <w:rPr>
          <w:rFonts w:ascii="Garamond" w:hAnsi="Garamond"/>
          <w:sz w:val="24"/>
          <w:szCs w:val="24"/>
        </w:rPr>
      </w:pPr>
      <w:r w:rsidRPr="00412DF7">
        <w:rPr>
          <w:rFonts w:ascii="Garamond" w:hAnsi="Garamond"/>
          <w:sz w:val="24"/>
          <w:szCs w:val="24"/>
        </w:rPr>
        <w:t>In India the in the service tax earlier there was no provision for service tax on the import of service. Earlier the service tax provider and service tax receiver are within the India then there were no issues, however if the taxable service provided outside India and received in India or vice versa then there were issue regarding taxability in the absence of specific provision in the service tax law.</w:t>
      </w:r>
      <w:r w:rsidR="00B549D6" w:rsidRPr="00412DF7">
        <w:rPr>
          <w:rFonts w:ascii="Garamond" w:hAnsi="Garamond"/>
          <w:sz w:val="24"/>
          <w:szCs w:val="24"/>
        </w:rPr>
        <w:t xml:space="preserve"> The government has introduce the reverse charged mechanism of service tax under which all the services which are received in India and provided from outside India are taxed.</w:t>
      </w:r>
    </w:p>
    <w:p w:rsidR="00E8227B" w:rsidRPr="00412DF7" w:rsidRDefault="00E8227B" w:rsidP="00A048BD">
      <w:pPr>
        <w:pStyle w:val="ListParagraph"/>
        <w:rPr>
          <w:rFonts w:ascii="Garamond" w:hAnsi="Garamond"/>
          <w:b/>
          <w:sz w:val="24"/>
          <w:szCs w:val="24"/>
        </w:rPr>
      </w:pPr>
    </w:p>
    <w:p w:rsidR="00E8227B" w:rsidRPr="00412DF7" w:rsidRDefault="00E8227B" w:rsidP="00A048BD">
      <w:pPr>
        <w:pStyle w:val="ListParagraph"/>
        <w:numPr>
          <w:ilvl w:val="0"/>
          <w:numId w:val="1"/>
        </w:numPr>
        <w:rPr>
          <w:rFonts w:ascii="Garamond" w:hAnsi="Garamond"/>
          <w:b/>
          <w:sz w:val="24"/>
          <w:szCs w:val="24"/>
        </w:rPr>
      </w:pPr>
      <w:r w:rsidRPr="00412DF7">
        <w:rPr>
          <w:rFonts w:ascii="Garamond" w:hAnsi="Garamond"/>
          <w:b/>
          <w:sz w:val="24"/>
          <w:szCs w:val="24"/>
        </w:rPr>
        <w:t>Legal Provisions :</w:t>
      </w:r>
    </w:p>
    <w:tbl>
      <w:tblPr>
        <w:tblW w:w="8834" w:type="dxa"/>
        <w:tblCellSpacing w:w="0" w:type="dxa"/>
        <w:tblInd w:w="720" w:type="dxa"/>
        <w:tblCellMar>
          <w:left w:w="0" w:type="dxa"/>
          <w:right w:w="0" w:type="dxa"/>
        </w:tblCellMar>
        <w:tblLook w:val="04A0"/>
      </w:tblPr>
      <w:tblGrid>
        <w:gridCol w:w="8834"/>
      </w:tblGrid>
      <w:tr w:rsidR="00693D00" w:rsidRPr="00693D00" w:rsidTr="00693D00">
        <w:trPr>
          <w:trHeight w:val="842"/>
          <w:tblCellSpacing w:w="0" w:type="dxa"/>
        </w:trPr>
        <w:tc>
          <w:tcPr>
            <w:tcW w:w="0" w:type="auto"/>
            <w:vAlign w:val="center"/>
            <w:hideMark/>
          </w:tcPr>
          <w:p w:rsidR="00693D00" w:rsidRPr="00693D00" w:rsidRDefault="00693D00" w:rsidP="00693D00">
            <w:pPr>
              <w:spacing w:after="0" w:line="240" w:lineRule="auto"/>
              <w:rPr>
                <w:rFonts w:ascii="Garamond" w:eastAsia="Times New Roman" w:hAnsi="Garamond" w:cs="Arial"/>
                <w:sz w:val="24"/>
                <w:szCs w:val="24"/>
              </w:rPr>
            </w:pPr>
            <w:r w:rsidRPr="00693D00">
              <w:rPr>
                <w:rFonts w:ascii="Garamond" w:eastAsia="Times New Roman" w:hAnsi="Garamond" w:cs="Arial"/>
                <w:sz w:val="24"/>
                <w:szCs w:val="24"/>
              </w:rPr>
              <w:t xml:space="preserve">The reverse charge mechanism was first introduced under the Service Tax Rules in 2002 whereby it was provided that in case of provision of service by a non-resident not having an office in India, service tax would be payable by the service recipient. </w:t>
            </w:r>
          </w:p>
        </w:tc>
      </w:tr>
      <w:tr w:rsidR="00693D00" w:rsidRPr="00693D00" w:rsidTr="00693D00">
        <w:trPr>
          <w:trHeight w:val="78"/>
          <w:tblCellSpacing w:w="0" w:type="dxa"/>
        </w:trPr>
        <w:tc>
          <w:tcPr>
            <w:tcW w:w="0" w:type="auto"/>
            <w:vAlign w:val="center"/>
            <w:hideMark/>
          </w:tcPr>
          <w:p w:rsidR="00693D00" w:rsidRPr="00693D00" w:rsidRDefault="00693D00" w:rsidP="00693D00">
            <w:pPr>
              <w:spacing w:after="0" w:line="75" w:lineRule="atLeast"/>
              <w:rPr>
                <w:rFonts w:ascii="Garamond" w:eastAsia="Times New Roman" w:hAnsi="Garamond" w:cs="Arial"/>
                <w:sz w:val="24"/>
                <w:szCs w:val="24"/>
              </w:rPr>
            </w:pPr>
            <w:r w:rsidRPr="00693D00">
              <w:rPr>
                <w:rFonts w:ascii="Garamond" w:eastAsia="Times New Roman" w:hAnsi="Garamond" w:cs="Arial"/>
                <w:sz w:val="24"/>
                <w:szCs w:val="24"/>
              </w:rPr>
              <w:t> </w:t>
            </w:r>
          </w:p>
        </w:tc>
      </w:tr>
      <w:tr w:rsidR="00693D00" w:rsidRPr="00693D00" w:rsidTr="00693D00">
        <w:trPr>
          <w:trHeight w:val="842"/>
          <w:tblCellSpacing w:w="0" w:type="dxa"/>
        </w:trPr>
        <w:tc>
          <w:tcPr>
            <w:tcW w:w="0" w:type="auto"/>
            <w:vAlign w:val="center"/>
            <w:hideMark/>
          </w:tcPr>
          <w:p w:rsidR="00693D00" w:rsidRPr="00693D00" w:rsidRDefault="00693D00" w:rsidP="00693D00">
            <w:pPr>
              <w:spacing w:after="0" w:line="240" w:lineRule="auto"/>
              <w:rPr>
                <w:rFonts w:ascii="Garamond" w:eastAsia="Times New Roman" w:hAnsi="Garamond" w:cs="Arial"/>
                <w:sz w:val="24"/>
                <w:szCs w:val="24"/>
              </w:rPr>
            </w:pPr>
            <w:r w:rsidRPr="00693D00">
              <w:rPr>
                <w:rFonts w:ascii="Garamond" w:eastAsia="Times New Roman" w:hAnsi="Garamond" w:cs="Arial"/>
                <w:sz w:val="24"/>
                <w:szCs w:val="24"/>
              </w:rPr>
              <w:t>Subsequently, an explanation to Section 65(105) brought in the concept of import of services and provided that the services provided by a person based outside India and received by a person based in India would be deemed to be taxable.</w:t>
            </w:r>
          </w:p>
        </w:tc>
      </w:tr>
    </w:tbl>
    <w:p w:rsidR="001A57E2" w:rsidRPr="00412DF7" w:rsidRDefault="00693D00" w:rsidP="00A048BD">
      <w:pPr>
        <w:pStyle w:val="NormalWeb"/>
        <w:ind w:left="720"/>
        <w:rPr>
          <w:rFonts w:ascii="Garamond" w:hAnsi="Garamond" w:cs="Arial"/>
        </w:rPr>
      </w:pPr>
      <w:r>
        <w:rPr>
          <w:rFonts w:ascii="Garamond" w:hAnsi="Garamond" w:cs="Arial"/>
        </w:rPr>
        <w:t xml:space="preserve">Subsequently, </w:t>
      </w:r>
      <w:r w:rsidR="001A57E2" w:rsidRPr="00412DF7">
        <w:rPr>
          <w:rFonts w:ascii="Garamond" w:hAnsi="Garamond" w:cs="Arial"/>
        </w:rPr>
        <w:t xml:space="preserve">Finance Act, 2006 introduced, Section 66A, a new charging section for charging service tax on imported service, along with the Taxation of Services (Provided from outside India and Received in India) Rules, 2006 ("Import Rules"). </w:t>
      </w:r>
    </w:p>
    <w:p w:rsidR="00E75D77" w:rsidRPr="00412DF7" w:rsidRDefault="001A57E2" w:rsidP="00A048BD">
      <w:pPr>
        <w:pStyle w:val="NormalWeb"/>
        <w:ind w:left="720"/>
        <w:rPr>
          <w:rFonts w:ascii="Garamond" w:hAnsi="Garamond" w:cs="Arial"/>
        </w:rPr>
      </w:pPr>
      <w:r w:rsidRPr="00412DF7">
        <w:rPr>
          <w:rFonts w:ascii="Garamond" w:hAnsi="Garamond" w:cs="Arial"/>
        </w:rPr>
        <w:t>Section 66A lays out the charge on import of service provided from a country other than India and received by a service recipient in India, for consumption in India. However, in respect of each of the notified service, the determination of whether import of service gets triggered or not has to be ascertained as per the Import Rules.</w:t>
      </w:r>
    </w:p>
    <w:p w:rsidR="001A57E2" w:rsidRPr="00412DF7" w:rsidRDefault="00E75D77" w:rsidP="00A048BD">
      <w:pPr>
        <w:pStyle w:val="NormalWeb"/>
        <w:ind w:left="720"/>
        <w:rPr>
          <w:rFonts w:ascii="Garamond" w:hAnsi="Garamond" w:cs="Arial"/>
        </w:rPr>
      </w:pPr>
      <w:r w:rsidRPr="00412DF7">
        <w:rPr>
          <w:rFonts w:ascii="Garamond" w:hAnsi="Garamond" w:cs="Arial"/>
        </w:rPr>
        <w:t xml:space="preserve"> </w:t>
      </w:r>
      <w:r w:rsidR="001A57E2" w:rsidRPr="00412DF7">
        <w:rPr>
          <w:rFonts w:ascii="Garamond" w:hAnsi="Garamond" w:cs="Arial"/>
        </w:rPr>
        <w:t xml:space="preserve">Thus, the service recipient would be liable to reverse charge and pay the service tax in respect of import of service, if the relevant conditions are satisfied. </w:t>
      </w:r>
    </w:p>
    <w:p w:rsidR="00E8227B" w:rsidRPr="00412DF7" w:rsidRDefault="00E8227B" w:rsidP="00A048BD">
      <w:pPr>
        <w:pStyle w:val="ListParagraph"/>
        <w:rPr>
          <w:rFonts w:ascii="Garamond" w:hAnsi="Garamond"/>
          <w:b/>
          <w:sz w:val="24"/>
          <w:szCs w:val="24"/>
        </w:rPr>
      </w:pPr>
    </w:p>
    <w:p w:rsidR="004F572F" w:rsidRDefault="00E8227B" w:rsidP="005046E7">
      <w:pPr>
        <w:pStyle w:val="ListParagraph"/>
        <w:numPr>
          <w:ilvl w:val="0"/>
          <w:numId w:val="1"/>
        </w:numPr>
        <w:rPr>
          <w:rFonts w:ascii="Garamond" w:hAnsi="Garamond"/>
          <w:b/>
          <w:sz w:val="24"/>
          <w:szCs w:val="24"/>
        </w:rPr>
      </w:pPr>
      <w:r w:rsidRPr="00412DF7">
        <w:rPr>
          <w:rFonts w:ascii="Garamond" w:hAnsi="Garamond"/>
          <w:b/>
          <w:sz w:val="24"/>
          <w:szCs w:val="24"/>
        </w:rPr>
        <w:t>Input Credit :</w:t>
      </w:r>
    </w:p>
    <w:p w:rsidR="005046E7" w:rsidRPr="005046E7" w:rsidRDefault="005046E7" w:rsidP="005046E7">
      <w:pPr>
        <w:pStyle w:val="ListParagraph"/>
        <w:rPr>
          <w:rFonts w:ascii="Garamond" w:hAnsi="Garamond"/>
          <w:b/>
          <w:sz w:val="24"/>
          <w:szCs w:val="24"/>
        </w:rPr>
      </w:pPr>
    </w:p>
    <w:p w:rsidR="004F572F" w:rsidRDefault="004F572F" w:rsidP="005046E7">
      <w:pPr>
        <w:pStyle w:val="ListParagraph"/>
        <w:rPr>
          <w:rFonts w:ascii="Garamond" w:hAnsi="Garamond"/>
          <w:sz w:val="24"/>
          <w:szCs w:val="24"/>
        </w:rPr>
      </w:pPr>
      <w:r w:rsidRPr="004F572F">
        <w:rPr>
          <w:rFonts w:ascii="Garamond" w:hAnsi="Garamond"/>
          <w:sz w:val="24"/>
          <w:szCs w:val="24"/>
        </w:rPr>
        <w:t>In</w:t>
      </w:r>
      <w:r>
        <w:rPr>
          <w:rFonts w:ascii="Garamond" w:hAnsi="Garamond"/>
          <w:sz w:val="24"/>
          <w:szCs w:val="24"/>
        </w:rPr>
        <w:t>stead of</w:t>
      </w:r>
      <w:r w:rsidR="005046E7">
        <w:rPr>
          <w:rFonts w:ascii="Garamond" w:hAnsi="Garamond"/>
          <w:sz w:val="24"/>
          <w:szCs w:val="24"/>
        </w:rPr>
        <w:t xml:space="preserve"> service provider collects service tax from the service tax receiver and remit the same to the government account the same work is being carried out by the service receiver himself. Therefore it is rightly be treated as input service credit and can be utilized accordingly in terms of the provision of Cenvat Credit R</w:t>
      </w:r>
      <w:r w:rsidR="005046E7" w:rsidRPr="005046E7">
        <w:rPr>
          <w:rFonts w:ascii="Garamond" w:hAnsi="Garamond"/>
          <w:sz w:val="24"/>
          <w:szCs w:val="24"/>
        </w:rPr>
        <w:t>ules.</w:t>
      </w:r>
      <w:r w:rsidR="000E3606">
        <w:rPr>
          <w:rFonts w:ascii="Garamond" w:hAnsi="Garamond"/>
          <w:sz w:val="24"/>
          <w:szCs w:val="24"/>
        </w:rPr>
        <w:t xml:space="preserve"> Remember the credit can be taken on making of payment of the value of service to the service provider and service tax to the government.</w:t>
      </w:r>
      <w:r w:rsidRPr="005046E7">
        <w:rPr>
          <w:rFonts w:ascii="Garamond" w:hAnsi="Garamond"/>
          <w:sz w:val="24"/>
          <w:szCs w:val="24"/>
        </w:rPr>
        <w:t xml:space="preserve">  </w:t>
      </w:r>
    </w:p>
    <w:p w:rsidR="005D6331" w:rsidRDefault="005D6331" w:rsidP="005046E7">
      <w:pPr>
        <w:pStyle w:val="ListParagraph"/>
        <w:rPr>
          <w:rFonts w:ascii="Garamond" w:hAnsi="Garamond"/>
          <w:sz w:val="24"/>
          <w:szCs w:val="24"/>
        </w:rPr>
      </w:pPr>
    </w:p>
    <w:p w:rsidR="005734C0" w:rsidRDefault="005734C0" w:rsidP="005046E7">
      <w:pPr>
        <w:pStyle w:val="ListParagraph"/>
        <w:rPr>
          <w:rFonts w:ascii="Garamond" w:hAnsi="Garamond"/>
          <w:sz w:val="24"/>
          <w:szCs w:val="24"/>
        </w:rPr>
      </w:pPr>
    </w:p>
    <w:p w:rsidR="005734C0" w:rsidRPr="005046E7" w:rsidRDefault="005734C0" w:rsidP="005046E7">
      <w:pPr>
        <w:pStyle w:val="ListParagraph"/>
        <w:rPr>
          <w:rFonts w:ascii="Garamond" w:hAnsi="Garamond"/>
          <w:sz w:val="24"/>
          <w:szCs w:val="24"/>
        </w:rPr>
      </w:pPr>
    </w:p>
    <w:p w:rsidR="004F572F" w:rsidRDefault="005734C0" w:rsidP="00A048BD">
      <w:pPr>
        <w:pStyle w:val="ListParagraph"/>
        <w:numPr>
          <w:ilvl w:val="0"/>
          <w:numId w:val="1"/>
        </w:numPr>
        <w:rPr>
          <w:rFonts w:ascii="Garamond" w:hAnsi="Garamond"/>
          <w:b/>
          <w:sz w:val="24"/>
          <w:szCs w:val="24"/>
        </w:rPr>
      </w:pPr>
      <w:r>
        <w:rPr>
          <w:rFonts w:ascii="Garamond" w:hAnsi="Garamond"/>
          <w:b/>
          <w:sz w:val="24"/>
          <w:szCs w:val="24"/>
        </w:rPr>
        <w:t>Basic Exemption Limit :</w:t>
      </w:r>
    </w:p>
    <w:p w:rsidR="005734C0" w:rsidRDefault="005734C0" w:rsidP="005734C0">
      <w:pPr>
        <w:pStyle w:val="ListParagraph"/>
        <w:rPr>
          <w:rFonts w:ascii="Garamond" w:hAnsi="Garamond"/>
          <w:b/>
          <w:sz w:val="24"/>
          <w:szCs w:val="24"/>
        </w:rPr>
      </w:pPr>
    </w:p>
    <w:p w:rsidR="005734C0" w:rsidRDefault="005734C0" w:rsidP="005734C0">
      <w:pPr>
        <w:pStyle w:val="ListParagraph"/>
        <w:rPr>
          <w:rFonts w:ascii="Garamond" w:hAnsi="Garamond"/>
          <w:sz w:val="24"/>
          <w:szCs w:val="24"/>
        </w:rPr>
      </w:pPr>
      <w:r w:rsidRPr="004C7970">
        <w:rPr>
          <w:rFonts w:ascii="Garamond" w:hAnsi="Garamond"/>
          <w:sz w:val="24"/>
          <w:szCs w:val="24"/>
        </w:rPr>
        <w:t>The</w:t>
      </w:r>
      <w:r>
        <w:rPr>
          <w:rFonts w:ascii="Garamond" w:hAnsi="Garamond"/>
          <w:b/>
          <w:sz w:val="24"/>
          <w:szCs w:val="24"/>
        </w:rPr>
        <w:t xml:space="preserve"> </w:t>
      </w:r>
      <w:r>
        <w:rPr>
          <w:rFonts w:ascii="Garamond" w:hAnsi="Garamond"/>
          <w:sz w:val="24"/>
          <w:szCs w:val="24"/>
        </w:rPr>
        <w:t xml:space="preserve">Service provider can avail the basic exemption limit if the aggregate value of the taxable service provided during the previous financial year has not exceeded Rs. 10 laks. A Service provider who opts to avail this benefit and also satisfied the prescribed conditions and requirements need not pay service tax during the current year on the sum total of the first consecutive payments received during that financial year towards the gross amount charged by the service provider for taxable service till the aggregate amount of such payments is equal to Rs. 10 Laks. </w:t>
      </w:r>
    </w:p>
    <w:p w:rsidR="00410A7B" w:rsidRDefault="00410A7B" w:rsidP="005734C0">
      <w:pPr>
        <w:pStyle w:val="ListParagraph"/>
        <w:rPr>
          <w:rFonts w:ascii="Garamond" w:hAnsi="Garamond"/>
          <w:sz w:val="24"/>
          <w:szCs w:val="24"/>
        </w:rPr>
      </w:pPr>
    </w:p>
    <w:p w:rsidR="00410A7B" w:rsidRDefault="00410A7B" w:rsidP="005734C0">
      <w:pPr>
        <w:pStyle w:val="ListParagraph"/>
        <w:rPr>
          <w:rFonts w:ascii="Garamond" w:hAnsi="Garamond"/>
          <w:sz w:val="24"/>
          <w:szCs w:val="24"/>
        </w:rPr>
      </w:pPr>
      <w:r>
        <w:rPr>
          <w:rFonts w:ascii="Garamond" w:hAnsi="Garamond"/>
          <w:sz w:val="24"/>
          <w:szCs w:val="24"/>
        </w:rPr>
        <w:t>The service provider using the brand name / trade name of another person and the service receiver liable to pay service tax under reverse charge mechanism are not eligible the basic exemption limit benefit.</w:t>
      </w:r>
    </w:p>
    <w:p w:rsidR="00284288" w:rsidRPr="005734C0" w:rsidRDefault="00284288" w:rsidP="005734C0">
      <w:pPr>
        <w:pStyle w:val="ListParagraph"/>
        <w:rPr>
          <w:rFonts w:ascii="Garamond" w:hAnsi="Garamond"/>
          <w:sz w:val="24"/>
          <w:szCs w:val="24"/>
        </w:rPr>
      </w:pPr>
    </w:p>
    <w:p w:rsidR="005734C0" w:rsidRDefault="00476407" w:rsidP="00A048BD">
      <w:pPr>
        <w:pStyle w:val="ListParagraph"/>
        <w:numPr>
          <w:ilvl w:val="0"/>
          <w:numId w:val="1"/>
        </w:numPr>
        <w:rPr>
          <w:rFonts w:ascii="Garamond" w:hAnsi="Garamond"/>
          <w:b/>
          <w:sz w:val="24"/>
          <w:szCs w:val="24"/>
        </w:rPr>
      </w:pPr>
      <w:r>
        <w:rPr>
          <w:rFonts w:ascii="Garamond" w:hAnsi="Garamond"/>
          <w:b/>
          <w:sz w:val="24"/>
          <w:szCs w:val="24"/>
        </w:rPr>
        <w:t>Rate of Service Tax</w:t>
      </w:r>
      <w:r w:rsidR="00891951">
        <w:rPr>
          <w:rFonts w:ascii="Garamond" w:hAnsi="Garamond"/>
          <w:b/>
          <w:sz w:val="24"/>
          <w:szCs w:val="24"/>
        </w:rPr>
        <w:t xml:space="preserve"> &amp; Service Tax Return :</w:t>
      </w:r>
    </w:p>
    <w:p w:rsidR="00E63D41" w:rsidRDefault="00E63D41" w:rsidP="00E63D41">
      <w:pPr>
        <w:pStyle w:val="ListParagraph"/>
        <w:rPr>
          <w:rFonts w:ascii="Garamond" w:hAnsi="Garamond"/>
          <w:sz w:val="24"/>
          <w:szCs w:val="24"/>
        </w:rPr>
      </w:pPr>
    </w:p>
    <w:p w:rsidR="00E63D41" w:rsidRDefault="00E63D41" w:rsidP="00E63D41">
      <w:pPr>
        <w:pStyle w:val="ListParagraph"/>
        <w:rPr>
          <w:rFonts w:ascii="Garamond" w:hAnsi="Garamond"/>
          <w:sz w:val="24"/>
          <w:szCs w:val="24"/>
        </w:rPr>
      </w:pPr>
      <w:r>
        <w:rPr>
          <w:rFonts w:ascii="Garamond" w:hAnsi="Garamond"/>
          <w:sz w:val="24"/>
          <w:szCs w:val="24"/>
        </w:rPr>
        <w:t xml:space="preserve">Rate of Service in case of reverse charged mechanism is  10% and in addition  2% Education Cess and 1% as Secondary &amp; Higher Education Cess. In the case of service tax paid by the assessee  in reverse charge method the half yearly return in Form No. ST – 3 should be file to the service tax authorities within the prescribed time limit. </w:t>
      </w:r>
    </w:p>
    <w:p w:rsidR="00E63D41" w:rsidRDefault="00E63D41" w:rsidP="00E63D41">
      <w:pPr>
        <w:pStyle w:val="ListParagraph"/>
        <w:rPr>
          <w:rFonts w:ascii="Garamond" w:hAnsi="Garamond"/>
          <w:b/>
          <w:sz w:val="24"/>
          <w:szCs w:val="24"/>
        </w:rPr>
      </w:pPr>
    </w:p>
    <w:p w:rsidR="00E63D41" w:rsidRDefault="00E63D41" w:rsidP="00A048BD">
      <w:pPr>
        <w:pStyle w:val="ListParagraph"/>
        <w:numPr>
          <w:ilvl w:val="0"/>
          <w:numId w:val="1"/>
        </w:numPr>
        <w:rPr>
          <w:rFonts w:ascii="Garamond" w:hAnsi="Garamond"/>
          <w:b/>
          <w:sz w:val="24"/>
          <w:szCs w:val="24"/>
        </w:rPr>
      </w:pPr>
      <w:r>
        <w:rPr>
          <w:rFonts w:ascii="Garamond" w:hAnsi="Garamond"/>
          <w:b/>
          <w:sz w:val="24"/>
          <w:szCs w:val="24"/>
        </w:rPr>
        <w:t>Industry Issue</w:t>
      </w:r>
      <w:r w:rsidR="00BD360C">
        <w:rPr>
          <w:rFonts w:ascii="Garamond" w:hAnsi="Garamond"/>
          <w:b/>
          <w:sz w:val="24"/>
          <w:szCs w:val="24"/>
        </w:rPr>
        <w:t xml:space="preserve"> :</w:t>
      </w:r>
    </w:p>
    <w:p w:rsidR="00E63D41" w:rsidRDefault="00E63D41" w:rsidP="00E63D41">
      <w:pPr>
        <w:pStyle w:val="ListParagraph"/>
        <w:rPr>
          <w:rFonts w:ascii="Garamond" w:hAnsi="Garamond"/>
          <w:b/>
          <w:sz w:val="24"/>
          <w:szCs w:val="24"/>
        </w:rPr>
      </w:pPr>
    </w:p>
    <w:p w:rsidR="00E63D41" w:rsidRPr="00055296" w:rsidRDefault="00E63D41" w:rsidP="00E63D41">
      <w:pPr>
        <w:pStyle w:val="ListParagraph"/>
        <w:numPr>
          <w:ilvl w:val="0"/>
          <w:numId w:val="2"/>
        </w:numPr>
        <w:rPr>
          <w:rFonts w:ascii="Garamond" w:hAnsi="Garamond"/>
          <w:sz w:val="24"/>
          <w:szCs w:val="24"/>
        </w:rPr>
      </w:pPr>
      <w:r w:rsidRPr="00055296">
        <w:rPr>
          <w:rFonts w:ascii="Garamond" w:hAnsi="Garamond"/>
          <w:sz w:val="24"/>
          <w:szCs w:val="24"/>
        </w:rPr>
        <w:t>Lack of Awareness</w:t>
      </w:r>
    </w:p>
    <w:p w:rsidR="00E63D41" w:rsidRPr="00055296" w:rsidRDefault="00E63D41" w:rsidP="00E63D41">
      <w:pPr>
        <w:pStyle w:val="ListParagraph"/>
        <w:numPr>
          <w:ilvl w:val="0"/>
          <w:numId w:val="2"/>
        </w:numPr>
        <w:rPr>
          <w:rFonts w:ascii="Garamond" w:hAnsi="Garamond"/>
          <w:sz w:val="24"/>
          <w:szCs w:val="24"/>
        </w:rPr>
      </w:pPr>
      <w:r w:rsidRPr="00055296">
        <w:rPr>
          <w:rFonts w:ascii="Garamond" w:hAnsi="Garamond"/>
          <w:sz w:val="24"/>
          <w:szCs w:val="24"/>
        </w:rPr>
        <w:t>Date of Applicability</w:t>
      </w:r>
    </w:p>
    <w:p w:rsidR="00E63D41" w:rsidRDefault="00E63D41" w:rsidP="00E63D41">
      <w:pPr>
        <w:pStyle w:val="ListParagraph"/>
        <w:numPr>
          <w:ilvl w:val="0"/>
          <w:numId w:val="2"/>
        </w:numPr>
        <w:rPr>
          <w:rFonts w:ascii="Garamond" w:hAnsi="Garamond"/>
          <w:sz w:val="24"/>
          <w:szCs w:val="24"/>
        </w:rPr>
      </w:pPr>
      <w:r w:rsidRPr="00055296">
        <w:rPr>
          <w:rFonts w:ascii="Garamond" w:hAnsi="Garamond"/>
          <w:sz w:val="24"/>
          <w:szCs w:val="24"/>
        </w:rPr>
        <w:t>The condition provided are difficult to comply with.</w:t>
      </w:r>
    </w:p>
    <w:p w:rsidR="00055296" w:rsidRPr="00055296" w:rsidRDefault="00055296" w:rsidP="00055296">
      <w:pPr>
        <w:pStyle w:val="ListParagraph"/>
        <w:ind w:left="1440"/>
        <w:rPr>
          <w:rFonts w:ascii="Garamond" w:hAnsi="Garamond"/>
          <w:sz w:val="24"/>
          <w:szCs w:val="24"/>
        </w:rPr>
      </w:pPr>
    </w:p>
    <w:p w:rsidR="00335FF1" w:rsidRDefault="00335FF1" w:rsidP="00A048BD">
      <w:pPr>
        <w:pStyle w:val="ListParagraph"/>
        <w:numPr>
          <w:ilvl w:val="0"/>
          <w:numId w:val="1"/>
        </w:numPr>
        <w:rPr>
          <w:rFonts w:ascii="Garamond" w:hAnsi="Garamond"/>
          <w:b/>
          <w:sz w:val="24"/>
          <w:szCs w:val="24"/>
        </w:rPr>
      </w:pPr>
      <w:r w:rsidRPr="00335FF1">
        <w:rPr>
          <w:rFonts w:ascii="Garamond" w:hAnsi="Garamond"/>
          <w:b/>
          <w:sz w:val="24"/>
          <w:szCs w:val="24"/>
        </w:rPr>
        <w:t>Illustration</w:t>
      </w:r>
      <w:r>
        <w:rPr>
          <w:rFonts w:ascii="Garamond" w:hAnsi="Garamond"/>
          <w:b/>
          <w:sz w:val="24"/>
          <w:szCs w:val="24"/>
        </w:rPr>
        <w:t xml:space="preserve"> :</w:t>
      </w:r>
    </w:p>
    <w:p w:rsidR="00E63D41" w:rsidRPr="00335FF1" w:rsidRDefault="00335FF1" w:rsidP="00335FF1">
      <w:pPr>
        <w:ind w:left="720"/>
        <w:rPr>
          <w:rFonts w:ascii="Garamond" w:hAnsi="Garamond"/>
          <w:sz w:val="24"/>
          <w:szCs w:val="24"/>
        </w:rPr>
      </w:pPr>
      <w:r w:rsidRPr="00335FF1">
        <w:rPr>
          <w:rFonts w:ascii="Garamond" w:hAnsi="Garamond"/>
          <w:sz w:val="24"/>
          <w:szCs w:val="24"/>
        </w:rPr>
        <w:t>Company A Limited which is registered in India has imported the Marketing Services</w:t>
      </w:r>
      <w:r w:rsidR="00E63D41" w:rsidRPr="00335FF1">
        <w:rPr>
          <w:rFonts w:ascii="Garamond" w:hAnsi="Garamond"/>
          <w:sz w:val="24"/>
          <w:szCs w:val="24"/>
        </w:rPr>
        <w:t xml:space="preserve"> </w:t>
      </w:r>
      <w:r w:rsidRPr="00335FF1">
        <w:rPr>
          <w:rFonts w:ascii="Garamond" w:hAnsi="Garamond"/>
          <w:sz w:val="24"/>
          <w:szCs w:val="24"/>
        </w:rPr>
        <w:t>from Company B Inc having registration in the USA.</w:t>
      </w:r>
      <w:r>
        <w:rPr>
          <w:rFonts w:ascii="Garamond" w:hAnsi="Garamond"/>
          <w:sz w:val="24"/>
          <w:szCs w:val="24"/>
        </w:rPr>
        <w:t xml:space="preserve"> The cost of the same service is INR 10,00,000 /-. In the given case Company A Limited is liable to pay Rs. 1,03,000/- (Rs. 10,00,000 * 10.3%) as service tax . However the company can utilized this Rs. 1,03,000/- as cenvat credit for payment of service tax.</w:t>
      </w:r>
    </w:p>
    <w:p w:rsidR="00476407" w:rsidRPr="00335FF1" w:rsidRDefault="00476407" w:rsidP="00476407">
      <w:pPr>
        <w:pStyle w:val="ListParagraph"/>
        <w:rPr>
          <w:rFonts w:ascii="Garamond" w:hAnsi="Garamond"/>
          <w:sz w:val="24"/>
          <w:szCs w:val="24"/>
        </w:rPr>
      </w:pPr>
    </w:p>
    <w:p w:rsidR="00E63D41" w:rsidRPr="00335FF1" w:rsidRDefault="00E63D41" w:rsidP="00476407">
      <w:pPr>
        <w:pStyle w:val="ListParagraph"/>
        <w:rPr>
          <w:rFonts w:ascii="Garamond" w:hAnsi="Garamond"/>
          <w:sz w:val="24"/>
          <w:szCs w:val="24"/>
        </w:rPr>
      </w:pPr>
    </w:p>
    <w:p w:rsidR="005734C0" w:rsidRPr="00335FF1" w:rsidRDefault="005734C0" w:rsidP="005734C0">
      <w:pPr>
        <w:rPr>
          <w:rFonts w:ascii="Garamond" w:hAnsi="Garamond"/>
          <w:sz w:val="24"/>
          <w:szCs w:val="24"/>
        </w:rPr>
      </w:pPr>
    </w:p>
    <w:sectPr w:rsidR="005734C0" w:rsidRPr="00335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E75D4"/>
    <w:multiLevelType w:val="hybridMultilevel"/>
    <w:tmpl w:val="1FDE1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DA6358E"/>
    <w:multiLevelType w:val="hybridMultilevel"/>
    <w:tmpl w:val="68948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34B16"/>
    <w:rsid w:val="00055296"/>
    <w:rsid w:val="000E3606"/>
    <w:rsid w:val="001A57E2"/>
    <w:rsid w:val="00284288"/>
    <w:rsid w:val="00304DFD"/>
    <w:rsid w:val="00335FF1"/>
    <w:rsid w:val="00410A7B"/>
    <w:rsid w:val="00412DF7"/>
    <w:rsid w:val="00476407"/>
    <w:rsid w:val="004C7970"/>
    <w:rsid w:val="004F572F"/>
    <w:rsid w:val="005046E7"/>
    <w:rsid w:val="00542D24"/>
    <w:rsid w:val="005734C0"/>
    <w:rsid w:val="005A0612"/>
    <w:rsid w:val="005D6331"/>
    <w:rsid w:val="00693D00"/>
    <w:rsid w:val="00891951"/>
    <w:rsid w:val="008B456E"/>
    <w:rsid w:val="008F1F68"/>
    <w:rsid w:val="00A048BD"/>
    <w:rsid w:val="00AF4E04"/>
    <w:rsid w:val="00B549D6"/>
    <w:rsid w:val="00BC5FE1"/>
    <w:rsid w:val="00BD360C"/>
    <w:rsid w:val="00C12CFE"/>
    <w:rsid w:val="00C34B16"/>
    <w:rsid w:val="00DC7435"/>
    <w:rsid w:val="00E45917"/>
    <w:rsid w:val="00E63D41"/>
    <w:rsid w:val="00E75D77"/>
    <w:rsid w:val="00E8227B"/>
    <w:rsid w:val="00F21B00"/>
    <w:rsid w:val="00F543A3"/>
    <w:rsid w:val="00FB17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27B"/>
    <w:pPr>
      <w:ind w:left="720"/>
      <w:contextualSpacing/>
    </w:pPr>
  </w:style>
  <w:style w:type="paragraph" w:styleId="NormalWeb">
    <w:name w:val="Normal (Web)"/>
    <w:basedOn w:val="Normal"/>
    <w:uiPriority w:val="99"/>
    <w:semiHidden/>
    <w:unhideWhenUsed/>
    <w:rsid w:val="001A57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4959234">
      <w:bodyDiv w:val="1"/>
      <w:marLeft w:val="0"/>
      <w:marRight w:val="0"/>
      <w:marTop w:val="0"/>
      <w:marBottom w:val="0"/>
      <w:divBdr>
        <w:top w:val="none" w:sz="0" w:space="0" w:color="auto"/>
        <w:left w:val="none" w:sz="0" w:space="0" w:color="auto"/>
        <w:bottom w:val="none" w:sz="0" w:space="0" w:color="auto"/>
        <w:right w:val="none" w:sz="0" w:space="0" w:color="auto"/>
      </w:divBdr>
      <w:divsChild>
        <w:div w:id="1153638048">
          <w:marLeft w:val="0"/>
          <w:marRight w:val="0"/>
          <w:marTop w:val="0"/>
          <w:marBottom w:val="0"/>
          <w:divBdr>
            <w:top w:val="none" w:sz="0" w:space="0" w:color="auto"/>
            <w:left w:val="none" w:sz="0" w:space="0" w:color="auto"/>
            <w:bottom w:val="none" w:sz="0" w:space="0" w:color="auto"/>
            <w:right w:val="none" w:sz="0" w:space="0" w:color="auto"/>
          </w:divBdr>
          <w:divsChild>
            <w:div w:id="30292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Javid.Patel</dc:creator>
  <cp:keywords/>
  <dc:description/>
  <cp:lastModifiedBy>Javid.Patel</cp:lastModifiedBy>
  <cp:revision>43</cp:revision>
  <dcterms:created xsi:type="dcterms:W3CDTF">2011-11-09T04:48:00Z</dcterms:created>
  <dcterms:modified xsi:type="dcterms:W3CDTF">2011-11-09T07:11:00Z</dcterms:modified>
</cp:coreProperties>
</file>