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60" w:type="dxa"/>
          <w:left w:w="60" w:type="dxa"/>
          <w:bottom w:w="60" w:type="dxa"/>
          <w:right w:w="60" w:type="dxa"/>
        </w:tblCellMar>
        <w:tblLook w:val="04A0"/>
      </w:tblPr>
      <w:tblGrid>
        <w:gridCol w:w="9480"/>
      </w:tblGrid>
      <w:tr w:rsidR="00071248" w:rsidRPr="00071248">
        <w:tc>
          <w:tcPr>
            <w:tcW w:w="0" w:type="auto"/>
            <w:tcBorders>
              <w:top w:val="nil"/>
              <w:left w:val="nil"/>
              <w:bottom w:val="nil"/>
              <w:right w:val="nil"/>
            </w:tcBorders>
            <w:shd w:val="clear" w:color="auto" w:fill="008080"/>
            <w:vAlign w:val="center"/>
            <w:hideMark/>
          </w:tcPr>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color w:val="FFFFFF"/>
                <w:sz w:val="27"/>
                <w:szCs w:val="27"/>
              </w:rPr>
              <w:t>Finance Bill 2010</w:t>
            </w:r>
          </w:p>
        </w:tc>
      </w:tr>
      <w:tr w:rsidR="00071248" w:rsidRPr="00071248">
        <w:tc>
          <w:tcPr>
            <w:tcW w:w="0" w:type="auto"/>
            <w:tcBorders>
              <w:top w:val="nil"/>
              <w:left w:val="nil"/>
              <w:bottom w:val="nil"/>
              <w:right w:val="nil"/>
            </w:tcBorders>
            <w:shd w:val="clear" w:color="auto" w:fill="B5E6E8"/>
            <w:vAlign w:val="center"/>
            <w:hideMark/>
          </w:tcPr>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rPr>
              <w:t>Service Tax – Amendments</w:t>
            </w:r>
            <w:r w:rsidRPr="00071248">
              <w:rPr>
                <w:rFonts w:ascii="Verdana" w:eastAsia="Times New Roman" w:hAnsi="Verdana" w:cs="Times New Roman"/>
                <w:b/>
                <w:bCs/>
              </w:rPr>
              <w:br/>
              <w:t>Indirect Taxes</w:t>
            </w:r>
          </w:p>
        </w:tc>
      </w:tr>
    </w:tbl>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Preamble</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sz w:val="20"/>
          <w:szCs w:val="20"/>
        </w:rPr>
        <w:t>Hon’ble</w:t>
      </w:r>
      <w:proofErr w:type="spellEnd"/>
      <w:r w:rsidRPr="00071248">
        <w:rPr>
          <w:rFonts w:ascii="Verdana" w:eastAsia="Times New Roman" w:hAnsi="Verdana" w:cs="Times New Roman"/>
          <w:sz w:val="20"/>
          <w:szCs w:val="20"/>
        </w:rPr>
        <w:t xml:space="preserve"> Finance Minister presented the Union Budget for 2010-11 on 26th February 2010. The major thrust of The </w:t>
      </w:r>
      <w:proofErr w:type="spellStart"/>
      <w:r w:rsidRPr="00071248">
        <w:rPr>
          <w:rFonts w:ascii="Verdana" w:eastAsia="Times New Roman" w:hAnsi="Verdana" w:cs="Times New Roman"/>
          <w:sz w:val="20"/>
          <w:szCs w:val="20"/>
        </w:rPr>
        <w:t>Hon’ble</w:t>
      </w:r>
      <w:proofErr w:type="spellEnd"/>
      <w:r w:rsidRPr="00071248">
        <w:rPr>
          <w:rFonts w:ascii="Verdana" w:eastAsia="Times New Roman" w:hAnsi="Verdana" w:cs="Times New Roman"/>
          <w:sz w:val="20"/>
          <w:szCs w:val="20"/>
        </w:rPr>
        <w:t xml:space="preserve"> Finance Minister was collection from indirect taxes and service tax in particular. He mentioned in budget speech that the service sector contributes nearly 60% of the GDP while service tax ratio to GDP is only around 1%. The Finance Minister brought certain new services within tax net and expanded the scope of existing services to augment the revenue. Some important Judgments are sought to be overruled and retrospective amendments are proposed to garner more revenue. These amendments have far reaching legal implications and if enacted in present form may result in significantly overshooting the target of revenue collection from service tax. The amendments to </w:t>
      </w:r>
      <w:proofErr w:type="spellStart"/>
      <w:r w:rsidRPr="00071248">
        <w:rPr>
          <w:rFonts w:ascii="Verdana" w:eastAsia="Times New Roman" w:hAnsi="Verdana" w:cs="Times New Roman"/>
          <w:sz w:val="20"/>
          <w:szCs w:val="20"/>
        </w:rPr>
        <w:t>Cenvat</w:t>
      </w:r>
      <w:proofErr w:type="spellEnd"/>
      <w:r w:rsidRPr="00071248">
        <w:rPr>
          <w:rFonts w:ascii="Verdana" w:eastAsia="Times New Roman" w:hAnsi="Verdana" w:cs="Times New Roman"/>
          <w:sz w:val="20"/>
          <w:szCs w:val="20"/>
        </w:rPr>
        <w:t xml:space="preserve"> Credit Rules, 2004 has been dealt with under “Central Excise” chapter in this publication and hence same is not discussed in this article.</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This article explains the service tax proposals in a simple and reader friendly manner. The authors have explained the implications wherever necessary. The reference to “the Act” made in this article should be read as to “Finance Act, 1994”.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 xml:space="preserve">Part I – Changes effective from 27th February 2010 </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A. Rate of service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The FM is kind enough to keep the tax rates static. The effective tax rate is 10.30% consisting of 10% Service Tax, 2% Education </w:t>
      </w:r>
      <w:proofErr w:type="spellStart"/>
      <w:r w:rsidRPr="00071248">
        <w:rPr>
          <w:rFonts w:ascii="Verdana" w:eastAsia="Times New Roman" w:hAnsi="Verdana" w:cs="Times New Roman"/>
          <w:sz w:val="20"/>
          <w:szCs w:val="20"/>
        </w:rPr>
        <w:t>Cess</w:t>
      </w:r>
      <w:proofErr w:type="spellEnd"/>
      <w:r w:rsidRPr="00071248">
        <w:rPr>
          <w:rFonts w:ascii="Verdana" w:eastAsia="Times New Roman" w:hAnsi="Verdana" w:cs="Times New Roman"/>
          <w:sz w:val="20"/>
          <w:szCs w:val="20"/>
        </w:rPr>
        <w:t xml:space="preserve"> and 1% Secondary &amp; Higher Education </w:t>
      </w:r>
      <w:proofErr w:type="spellStart"/>
      <w:r w:rsidRPr="00071248">
        <w:rPr>
          <w:rFonts w:ascii="Verdana" w:eastAsia="Times New Roman" w:hAnsi="Verdana" w:cs="Times New Roman"/>
          <w:sz w:val="20"/>
          <w:szCs w:val="20"/>
        </w:rPr>
        <w:t>Cess</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B. Export of Service Rules, 2005 and Import of Services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b/>
          <w:bCs/>
          <w:i/>
          <w:iCs/>
          <w:sz w:val="20"/>
          <w:szCs w:val="20"/>
        </w:rPr>
        <w:t>i</w:t>
      </w:r>
      <w:proofErr w:type="spellEnd"/>
      <w:r w:rsidRPr="00071248">
        <w:rPr>
          <w:rFonts w:ascii="Verdana" w:eastAsia="Times New Roman" w:hAnsi="Verdana" w:cs="Times New Roman"/>
          <w:b/>
          <w:bCs/>
          <w:i/>
          <w:iCs/>
          <w:sz w:val="20"/>
          <w:szCs w:val="20"/>
        </w:rPr>
        <w:t>) Condition of service “provided from India and used outside India” is deleted.</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The compliance of above referred condition was a pre-requisite for claiming export benefit under Export of Service Rules, 2005. The department had raised the issues as regard to the place of usage of the service. For example, when the service is provided by an Indian agent to a foreign supplier of goods in India, the question arose whether the service should be regarded as used in India or overseas. The issue was clarified in favor of exporters by CBEC vide their Circular No. 111/2009 dated 24.02.2009. However, the issue came up time and again when exporter of services applied for refund of input taxes. In recent past, petition of Microsoft Corp (I) Pvt. Ltd. vs. CCE for waiver of pre-deposit of tax demand arising out of the same issue was rejected by Delhi Tribunal [2009-TIOL-1325-CESTAT-Delhi] resulting into huge demand. The Honorable Delhi High Court also did not intervene in above referred tribunal order. This had resulted into confusion as to correct legal position.</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However above referred condition is now deleted with immediate effect by amending Export of Service Rules, 2005 vide Notification No. 06/2010-Service Tax dated 27-2-2010.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This amendment will bring an absolute clarity in respect of benefits available to exporter of the services and it is expected that quicker disposal of refund claims will follow.</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ii) Amendments in Export of Service Rules, 2005 pertaining to location based criteria:</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a) Rule 3 (1) (</w:t>
      </w:r>
      <w:proofErr w:type="spellStart"/>
      <w:r w:rsidRPr="00071248">
        <w:rPr>
          <w:rFonts w:ascii="Verdana" w:eastAsia="Times New Roman" w:hAnsi="Verdana" w:cs="Times New Roman"/>
          <w:sz w:val="20"/>
          <w:szCs w:val="20"/>
        </w:rPr>
        <w:t>i</w:t>
      </w:r>
      <w:proofErr w:type="spellEnd"/>
      <w:r w:rsidRPr="00071248">
        <w:rPr>
          <w:rFonts w:ascii="Verdana" w:eastAsia="Times New Roman" w:hAnsi="Verdana" w:cs="Times New Roman"/>
          <w:sz w:val="20"/>
          <w:szCs w:val="20"/>
        </w:rPr>
        <w:t xml:space="preserve">) and (ii) of the Export of Service Rules, 2005 are amended to shift </w:t>
      </w:r>
      <w:proofErr w:type="spellStart"/>
      <w:r w:rsidRPr="00071248">
        <w:rPr>
          <w:rFonts w:ascii="Verdana" w:eastAsia="Times New Roman" w:hAnsi="Verdana" w:cs="Times New Roman"/>
          <w:sz w:val="20"/>
          <w:szCs w:val="20"/>
        </w:rPr>
        <w:t>Mandap</w:t>
      </w:r>
      <w:proofErr w:type="spellEnd"/>
      <w:r w:rsidRPr="00071248">
        <w:rPr>
          <w:rFonts w:ascii="Verdana" w:eastAsia="Times New Roman" w:hAnsi="Verdana" w:cs="Times New Roman"/>
          <w:sz w:val="20"/>
          <w:szCs w:val="20"/>
        </w:rPr>
        <w:t xml:space="preserve"> Keeper’s Service from performance based category to the category of location of immovable property.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71248">
        <w:rPr>
          <w:rFonts w:ascii="Verdana" w:eastAsia="Times New Roman" w:hAnsi="Verdana" w:cs="Times New Roman"/>
          <w:sz w:val="20"/>
          <w:szCs w:val="20"/>
        </w:rPr>
        <w:t>b</w:t>
      </w:r>
      <w:proofErr w:type="gramEnd"/>
      <w:r w:rsidRPr="00071248">
        <w:rPr>
          <w:rFonts w:ascii="Verdana" w:eastAsia="Times New Roman" w:hAnsi="Verdana" w:cs="Times New Roman"/>
          <w:sz w:val="20"/>
          <w:szCs w:val="20"/>
        </w:rPr>
        <w:t xml:space="preserve">) Rule 3(1)(ii) of the Export of Service Rules, 2005 is amended to shift Chartered Accountant, Cost Accountant and Company Secretary’s Service from performance based category to service recipient based category (location of recipient).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This amendment is beneficial to professionals rendering services to overseas clients from India as they will not be required to prove that performance of their service has taken place outside India.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[Notification No.06/2010-Service Tax dated 27.02.2010]</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iii) Similar changes are made in Taxation of Services (provided from outside and received in India) Rules, 2006 to reflect the mirror image of export of service rules</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[Notification No.16/2010-Service Tax dated 27.02.2010]</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 xml:space="preserve">iv) The meaning of term “India” is widened Earlier, vide Notification No. 01/2002-Service Tax, service tax was applicable only to the designated areas in Continental Shelf and Exclusive Economic Zone (EEZ) of India. </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Now, for the purpose of prospecting or extraction or production of mineral oil and natural gas and supply thereof, any service provided for all activities pertaining to construction of installations, structures and vessels in the whole of Continental Shelf and Exclusive Economic Zone of India is sought to be covered. Any services of construction with respect to installations, structures and vessels to be used for the purpose of prospecting or extraction or production of mineral oil and natural gas and supply thereof will now be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With this extended definition, any service provided to such installations and vessels cannot be regarded as export of service. Any service provided by non-resident in such extended areas will be regarded as taxable for which service recipient will be liable to pay the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[Notification No. 05/2010– Service Tax (rescinding Notification No. 01/2000), 06/2010 – Service Tax, 14/2010 – Service Tax and 16/2010 – Service Tax, all dated 27-2-2010]</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C. Exemptions granted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sz w:val="20"/>
          <w:szCs w:val="20"/>
        </w:rPr>
        <w:t>i</w:t>
      </w:r>
      <w:proofErr w:type="spellEnd"/>
      <w:r w:rsidRPr="00071248">
        <w:rPr>
          <w:rFonts w:ascii="Verdana" w:eastAsia="Times New Roman" w:hAnsi="Verdana" w:cs="Times New Roman"/>
          <w:sz w:val="20"/>
          <w:szCs w:val="20"/>
        </w:rPr>
        <w:t>) Transportation of food grains or pulses by road is now exempt along with transportation of fruits, vegetables, eggs and milk by road under Goods transport Agency Service [Notification No. 04/2010 – Service Tax dated 27-2-2010].</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ii) Technical Testing &amp; Analysis Services or Technical Inspection &amp; certification services in respect of Seeds provided by Central / State Seed Testing Laboratory or Central / State Seed Certification Agency notified under the Seeds Act, 1966 to any person is now exempted [Notification No. 10/2010 – Service Tax dated 27-2-2010].</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iii) Any taxable service provided by any person to other person for transmission of electricity is exempted [Notification No. 11/2010–Service Tax dated 27-2-2010].</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iv) An Exemption is granted under the category of Erection, Commissioning or Installation Services for Mechanized food grain handling systems, equipment for setting up or substantial expansion of cold storage and machinery or equipment for initial setting up or substantial expansion of processing units for agricultural, apiary, horticultural, dairy, poultry, aquatic, marine and meat products [Notification No. 12/2010 – Service Tax dated 27.02.2010].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 xml:space="preserve">Comment </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The term, “substantial expansion” is not defined in the Act.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This notification does not apply to the services falling under “Works Contract Service” Category.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 The Services provided by News Agency which has been solely set up for the collection and distribution of news has been exempted from Service Tax under “Online Information and Database Access or Retrieval Service” and “Business Auxiliary service” categories. Only those news agencies which are specified under section 10(22B) of the Income-tax Act, 1961 and who do not distribute its income in any manner to the members are entitled to this exemption presently only PTI &amp; UNI are covered in this exemption.</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[Notification No. 13/2010– Service Tax dated 27.02.2010].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Other exemptions are discussed at appropriate place in this article.</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D. Withdrawal of exemption</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Notification No.1/2000-ST dated 9-2-2000 granted an exemption for General Insurance Services in respect of Group Personal Accident Scheme provided by Government of Rajasthan to its employees.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The said Exemption is now withdrawn vide Notification No.05/2010-Service Tax dated 27-2-2010.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E. Refund mechanism for accumulated CENVAT credit to exporters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For speedier disposal of refund claims under Notification No. 05/2006 CE (NT) dated 14.03.2006, the Government has proposed certain amendments in said notification. Circular No. 120/1/2010 dated 19.01.2010 is now given legal backing by these amendments. Some changes are made retrospectively to clear pending refund claims.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sz w:val="20"/>
          <w:szCs w:val="20"/>
        </w:rPr>
        <w:t>i</w:t>
      </w:r>
      <w:proofErr w:type="spellEnd"/>
      <w:r w:rsidRPr="00071248">
        <w:rPr>
          <w:rFonts w:ascii="Verdana" w:eastAsia="Times New Roman" w:hAnsi="Verdana" w:cs="Times New Roman"/>
          <w:sz w:val="20"/>
          <w:szCs w:val="20"/>
        </w:rPr>
        <w:t>) Retrospective amendments effective from 14-3-2006</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 xml:space="preserve">a) The definition of “inputs” and “input services” is aligned with </w:t>
      </w:r>
      <w:proofErr w:type="spellStart"/>
      <w:r w:rsidRPr="00071248">
        <w:rPr>
          <w:rFonts w:ascii="Verdana" w:eastAsia="Times New Roman" w:hAnsi="Verdana" w:cs="Times New Roman"/>
          <w:sz w:val="20"/>
          <w:szCs w:val="20"/>
        </w:rPr>
        <w:t>Cenvat</w:t>
      </w:r>
      <w:proofErr w:type="spellEnd"/>
      <w:r w:rsidRPr="00071248">
        <w:rPr>
          <w:rFonts w:ascii="Verdana" w:eastAsia="Times New Roman" w:hAnsi="Verdana" w:cs="Times New Roman"/>
          <w:sz w:val="20"/>
          <w:szCs w:val="20"/>
        </w:rPr>
        <w:t xml:space="preserve"> Credit Rules. It is clarified that not only input or input services used in export of goods or services but also goods or services used in relation to manufacture of final product or rendition of output services exported shall be eligible for refund.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b) The illustration given in condition 5 of the Appendix to the Notification which was interpreted to be an obstruction for grant of refund is now deleted.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The above changes will ensure that the refund of </w:t>
      </w:r>
      <w:proofErr w:type="spellStart"/>
      <w:r w:rsidRPr="00071248">
        <w:rPr>
          <w:rFonts w:ascii="Verdana" w:eastAsia="Times New Roman" w:hAnsi="Verdana" w:cs="Times New Roman"/>
          <w:sz w:val="20"/>
          <w:szCs w:val="20"/>
        </w:rPr>
        <w:t>Cenvat</w:t>
      </w:r>
      <w:proofErr w:type="spellEnd"/>
      <w:r w:rsidRPr="00071248">
        <w:rPr>
          <w:rFonts w:ascii="Verdana" w:eastAsia="Times New Roman" w:hAnsi="Verdana" w:cs="Times New Roman"/>
          <w:sz w:val="20"/>
          <w:szCs w:val="20"/>
        </w:rPr>
        <w:t xml:space="preserve"> credit availed in the period prior to the quarter/period for which claim made is also eligible for refund. Further, the wider term, “in relation to” is expected to remove anomaly created by the term “used in” which will make life easier for exporters to claim refunds.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 Prospective amendments with immediate effect</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a) The conditions A and B in the Annexure to the Notification (Form A) are now deleted.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b) Additional details are to be furnished in the prescribed table to be certified by following persons: </w:t>
      </w:r>
    </w:p>
    <w:tbl>
      <w:tblPr>
        <w:tblW w:w="5000" w:type="pct"/>
        <w:tblCellMar>
          <w:left w:w="0" w:type="dxa"/>
          <w:right w:w="0" w:type="dxa"/>
        </w:tblCellMar>
        <w:tblLook w:val="04A0"/>
      </w:tblPr>
      <w:tblGrid>
        <w:gridCol w:w="4678"/>
        <w:gridCol w:w="4682"/>
      </w:tblGrid>
      <w:tr w:rsidR="00071248" w:rsidRPr="00071248" w:rsidTr="005C6CD9">
        <w:trPr>
          <w:trHeight w:val="497"/>
        </w:trPr>
        <w:tc>
          <w:tcPr>
            <w:tcW w:w="2499" w:type="pct"/>
            <w:tcBorders>
              <w:top w:val="nil"/>
              <w:left w:val="nil"/>
              <w:bottom w:val="nil"/>
              <w:right w:val="nil"/>
            </w:tcBorders>
            <w:vAlign w:val="center"/>
            <w:hideMark/>
          </w:tcPr>
          <w:p w:rsidR="00071248" w:rsidRPr="00071248" w:rsidRDefault="00071248" w:rsidP="005C6CD9">
            <w:pPr>
              <w:spacing w:after="0" w:line="240" w:lineRule="auto"/>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 xml:space="preserve">Claim less than </w:t>
            </w:r>
            <w:r w:rsidRPr="00071248">
              <w:rPr>
                <w:rFonts w:ascii="Verdana" w:eastAsia="Times New Roman" w:hAnsi="Verdana" w:cs="Times New Roman"/>
                <w:b/>
                <w:bCs/>
                <w:sz w:val="20"/>
                <w:szCs w:val="20"/>
              </w:rPr>
              <w:br/>
              <w:t xml:space="preserve">Rs. 5 </w:t>
            </w:r>
            <w:proofErr w:type="spellStart"/>
            <w:r w:rsidRPr="00071248">
              <w:rPr>
                <w:rFonts w:ascii="Verdana" w:eastAsia="Times New Roman" w:hAnsi="Verdana" w:cs="Times New Roman"/>
                <w:b/>
                <w:bCs/>
                <w:sz w:val="20"/>
                <w:szCs w:val="20"/>
              </w:rPr>
              <w:t>lakhs</w:t>
            </w:r>
            <w:proofErr w:type="spellEnd"/>
            <w:r w:rsidRPr="00071248">
              <w:rPr>
                <w:rFonts w:ascii="Verdana" w:eastAsia="Times New Roman" w:hAnsi="Verdana" w:cs="Times New Roman"/>
                <w:b/>
                <w:bCs/>
                <w:sz w:val="20"/>
                <w:szCs w:val="20"/>
              </w:rPr>
              <w:t xml:space="preserve"> per quarter</w:t>
            </w:r>
          </w:p>
        </w:tc>
        <w:tc>
          <w:tcPr>
            <w:tcW w:w="2501" w:type="pct"/>
            <w:tcBorders>
              <w:top w:val="nil"/>
              <w:left w:val="nil"/>
              <w:bottom w:val="nil"/>
              <w:right w:val="nil"/>
            </w:tcBorders>
            <w:vAlign w:val="center"/>
            <w:hideMark/>
          </w:tcPr>
          <w:p w:rsidR="00071248" w:rsidRPr="00071248" w:rsidRDefault="00071248" w:rsidP="005C6CD9">
            <w:pPr>
              <w:spacing w:after="0" w:line="240" w:lineRule="auto"/>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 xml:space="preserve">Claim more than </w:t>
            </w:r>
            <w:r w:rsidRPr="00071248">
              <w:rPr>
                <w:rFonts w:ascii="Verdana" w:eastAsia="Times New Roman" w:hAnsi="Verdana" w:cs="Times New Roman"/>
                <w:b/>
                <w:bCs/>
                <w:sz w:val="20"/>
                <w:szCs w:val="20"/>
              </w:rPr>
              <w:br/>
              <w:t xml:space="preserve">Rs. 5 </w:t>
            </w:r>
            <w:proofErr w:type="spellStart"/>
            <w:r w:rsidRPr="00071248">
              <w:rPr>
                <w:rFonts w:ascii="Verdana" w:eastAsia="Times New Roman" w:hAnsi="Verdana" w:cs="Times New Roman"/>
                <w:b/>
                <w:bCs/>
                <w:sz w:val="20"/>
                <w:szCs w:val="20"/>
              </w:rPr>
              <w:t>Lakhs</w:t>
            </w:r>
            <w:proofErr w:type="spellEnd"/>
            <w:r w:rsidRPr="00071248">
              <w:rPr>
                <w:rFonts w:ascii="Verdana" w:eastAsia="Times New Roman" w:hAnsi="Verdana" w:cs="Times New Roman"/>
                <w:b/>
                <w:bCs/>
                <w:sz w:val="20"/>
                <w:szCs w:val="20"/>
              </w:rPr>
              <w:t xml:space="preserve"> per quarter</w:t>
            </w:r>
          </w:p>
        </w:tc>
      </w:tr>
      <w:tr w:rsidR="00071248" w:rsidRPr="00071248" w:rsidTr="005C6CD9">
        <w:trPr>
          <w:trHeight w:val="2518"/>
        </w:trPr>
        <w:tc>
          <w:tcPr>
            <w:tcW w:w="2499" w:type="pct"/>
            <w:tcBorders>
              <w:top w:val="nil"/>
              <w:left w:val="nil"/>
              <w:bottom w:val="nil"/>
              <w:right w:val="nil"/>
            </w:tcBorders>
            <w:vAlign w:val="center"/>
            <w:hideMark/>
          </w:tcPr>
          <w:p w:rsidR="00071248" w:rsidRPr="00071248" w:rsidRDefault="00071248" w:rsidP="005C6CD9">
            <w:pPr>
              <w:spacing w:after="0" w:line="240" w:lineRule="auto"/>
              <w:rPr>
                <w:rFonts w:ascii="Times New Roman" w:eastAsia="Times New Roman" w:hAnsi="Times New Roman" w:cs="Times New Roman"/>
                <w:sz w:val="24"/>
                <w:szCs w:val="24"/>
              </w:rPr>
            </w:pPr>
            <w:r w:rsidRPr="00071248">
              <w:rPr>
                <w:rFonts w:ascii="Verdana" w:eastAsia="Times New Roman" w:hAnsi="Verdana" w:cs="Times New Roman"/>
                <w:sz w:val="20"/>
                <w:szCs w:val="20"/>
              </w:rPr>
              <w:t>a person authorized by the Board of Directors (in the case of a limited company) or the proprietor / partner as the case may be</w:t>
            </w:r>
          </w:p>
        </w:tc>
        <w:tc>
          <w:tcPr>
            <w:tcW w:w="2501" w:type="pct"/>
            <w:tcBorders>
              <w:top w:val="nil"/>
              <w:left w:val="nil"/>
              <w:bottom w:val="nil"/>
              <w:right w:val="nil"/>
            </w:tcBorders>
            <w:vAlign w:val="center"/>
            <w:hideMark/>
          </w:tcPr>
          <w:p w:rsidR="00071248" w:rsidRPr="00071248" w:rsidRDefault="00071248" w:rsidP="005C6CD9">
            <w:pPr>
              <w:spacing w:after="0" w:line="240" w:lineRule="auto"/>
              <w:rPr>
                <w:rFonts w:ascii="Times New Roman" w:eastAsia="Times New Roman" w:hAnsi="Times New Roman" w:cs="Times New Roman"/>
                <w:sz w:val="24"/>
                <w:szCs w:val="24"/>
              </w:rPr>
            </w:pPr>
            <w:r w:rsidRPr="00071248">
              <w:rPr>
                <w:rFonts w:ascii="Verdana" w:eastAsia="Times New Roman" w:hAnsi="Verdana" w:cs="Times New Roman"/>
                <w:sz w:val="20"/>
                <w:szCs w:val="20"/>
              </w:rPr>
              <w:t>by a Chartered Accountant who audits the annual accounts of the exporter for the  purpose of Companies  Act, 1956 or the Income Tax Act, 1961, as the case may be [Notification No. 07/2010 – CE (NT) dated 27-2-2010]</w:t>
            </w:r>
          </w:p>
        </w:tc>
      </w:tr>
    </w:tbl>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Part II – Changes effective from date of enactment of Finance Bill</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Amendment in Section 73(3)</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An explanation is sought to be added in Section 73(3) to provide that if service tax along with interest is paid prior to issue of Show Cause Notice, no penalty will be levied. However in view of overriding provision of Section 73(4), this explanation does not apply in case of non-payment or short payment of tax is on account of fraud, collusion, willful misstatement, suppression of facts or contravention of any provision of the law with intent to evade the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Following situations can be envisaged for levy of penalty:</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sz w:val="20"/>
          <w:szCs w:val="20"/>
        </w:rPr>
        <w:t>i</w:t>
      </w:r>
      <w:proofErr w:type="spellEnd"/>
      <w:r w:rsidRPr="00071248">
        <w:rPr>
          <w:rFonts w:ascii="Verdana" w:eastAsia="Times New Roman" w:hAnsi="Verdana" w:cs="Times New Roman"/>
          <w:sz w:val="20"/>
          <w:szCs w:val="20"/>
        </w:rPr>
        <w:t xml:space="preserve">. If the payment of service tax along with interest is made before issue of Show Cause Notice and there is no case of fraud, collusion, willful misstatement, separation of facts or </w:t>
      </w:r>
      <w:r w:rsidRPr="00071248">
        <w:rPr>
          <w:rFonts w:ascii="Verdana" w:eastAsia="Times New Roman" w:hAnsi="Verdana" w:cs="Times New Roman"/>
          <w:sz w:val="20"/>
          <w:szCs w:val="20"/>
        </w:rPr>
        <w:lastRenderedPageBreak/>
        <w:t>contravention of any provision of law with intent to evade the tax, then, no penalty is to be levied.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 In case of such evasion etc with intent to evade payment of tax if tax is paid with interest within 30 days of issue of SCN, penalty will be restricted to 25%.</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iii. In other cases, full penalty may be levied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 xml:space="preserve">Part III – Changes effective from date to be notified after enactment of Finance Bill </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A. Introduction of new services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b/>
          <w:bCs/>
          <w:i/>
          <w:iCs/>
          <w:sz w:val="20"/>
          <w:szCs w:val="20"/>
        </w:rPr>
        <w:t>i</w:t>
      </w:r>
      <w:proofErr w:type="spellEnd"/>
      <w:r w:rsidRPr="00071248">
        <w:rPr>
          <w:rFonts w:ascii="Verdana" w:eastAsia="Times New Roman" w:hAnsi="Verdana" w:cs="Times New Roman"/>
          <w:b/>
          <w:bCs/>
          <w:i/>
          <w:iCs/>
          <w:sz w:val="20"/>
          <w:szCs w:val="20"/>
        </w:rPr>
        <w:t>) Promoting, marketing or organizing of game of chance including lottery [Section 65 (105) (</w:t>
      </w:r>
      <w:proofErr w:type="spellStart"/>
      <w:r w:rsidRPr="00071248">
        <w:rPr>
          <w:rFonts w:ascii="Verdana" w:eastAsia="Times New Roman" w:hAnsi="Verdana" w:cs="Times New Roman"/>
          <w:b/>
          <w:bCs/>
          <w:i/>
          <w:iCs/>
          <w:sz w:val="20"/>
          <w:szCs w:val="20"/>
        </w:rPr>
        <w:t>zzzzn</w:t>
      </w:r>
      <w:proofErr w:type="spellEnd"/>
      <w:r w:rsidRPr="00071248">
        <w:rPr>
          <w:rFonts w:ascii="Verdana" w:eastAsia="Times New Roman" w:hAnsi="Verdana" w:cs="Times New Roman"/>
          <w:b/>
          <w:bCs/>
          <w:i/>
          <w:iCs/>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Distributors, advertisers, promoters and sellers of lottery ticket are proposed to be covered under this category. Services provided for promotion, marketing, organizing or conducting game of chance by whatever name called, such as lotto or bingo, is proposed to be covered under this category. The tax would also be applicable to games conducted online.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This service is hitherto covered under “Business Auxiliary Service”, (BAS) by way of explanation to Section 65(19)(ii) in relation to “Promotion or Marketing of Services Provided by Client”. This explanation is proposed to be removed.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The </w:t>
      </w:r>
      <w:proofErr w:type="spellStart"/>
      <w:r w:rsidRPr="00071248">
        <w:rPr>
          <w:rFonts w:ascii="Verdana" w:eastAsia="Times New Roman" w:hAnsi="Verdana" w:cs="Times New Roman"/>
          <w:sz w:val="20"/>
          <w:szCs w:val="20"/>
        </w:rPr>
        <w:t>Hon’ble</w:t>
      </w:r>
      <w:proofErr w:type="spellEnd"/>
      <w:r w:rsidRPr="00071248">
        <w:rPr>
          <w:rFonts w:ascii="Verdana" w:eastAsia="Times New Roman" w:hAnsi="Verdana" w:cs="Times New Roman"/>
          <w:sz w:val="20"/>
          <w:szCs w:val="20"/>
        </w:rPr>
        <w:t xml:space="preserve"> Supreme Court had held in case of Sunrise </w:t>
      </w:r>
      <w:proofErr w:type="spellStart"/>
      <w:r w:rsidRPr="00071248">
        <w:rPr>
          <w:rFonts w:ascii="Verdana" w:eastAsia="Times New Roman" w:hAnsi="Verdana" w:cs="Times New Roman"/>
          <w:sz w:val="20"/>
          <w:szCs w:val="20"/>
        </w:rPr>
        <w:t>Lottaries</w:t>
      </w:r>
      <w:proofErr w:type="spellEnd"/>
      <w:r w:rsidRPr="00071248">
        <w:rPr>
          <w:rFonts w:ascii="Verdana" w:eastAsia="Times New Roman" w:hAnsi="Verdana" w:cs="Times New Roman"/>
          <w:sz w:val="20"/>
          <w:szCs w:val="20"/>
        </w:rPr>
        <w:t xml:space="preserve"> that sale of lottery is not goods. The explanation under BAS was therefore lacked the charge. Proposed amendment attempts to correct this anomaly.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 Health Services [Section 65 (105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zzzzo</w:t>
      </w:r>
      <w:proofErr w:type="spellEnd"/>
      <w:r w:rsidRPr="00071248">
        <w:rPr>
          <w:rFonts w:ascii="Verdana" w:eastAsia="Times New Roman" w:hAnsi="Verdana" w:cs="Times New Roman"/>
          <w:sz w:val="20"/>
          <w:szCs w:val="20"/>
        </w:rPr>
        <w:t>)]</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 Health check or preventive care including test of fitness level (for example, flight crew) provided by hospitals, nursing homes, multi-specialty clinic to employees of a business entity for which the payment is directly made by such business entity is proposed to be covered under this category. The business entity making such payment will be eligible for </w:t>
      </w:r>
      <w:proofErr w:type="spellStart"/>
      <w:r w:rsidRPr="00071248">
        <w:rPr>
          <w:rFonts w:ascii="Verdana" w:eastAsia="Times New Roman" w:hAnsi="Verdana" w:cs="Times New Roman"/>
          <w:sz w:val="20"/>
          <w:szCs w:val="20"/>
        </w:rPr>
        <w:t>Cenvat</w:t>
      </w:r>
      <w:proofErr w:type="spellEnd"/>
      <w:r w:rsidRPr="00071248">
        <w:rPr>
          <w:rFonts w:ascii="Verdana" w:eastAsia="Times New Roman" w:hAnsi="Verdana" w:cs="Times New Roman"/>
          <w:sz w:val="20"/>
          <w:szCs w:val="20"/>
        </w:rPr>
        <w:t xml:space="preserve"> credit of input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b) Any health checkup or treatment provided by hospitals, nursing homes, multi-specialty clinic to any person under health insurance scheme offered by insurance companies wherein the medical charges paid by insurance companies directly to the hospitals etc is proposed to be covered under this category. Cashless medical treatment will now be covered under tax net. The insurance companies making such payments to hospitals etc will be eligible for </w:t>
      </w:r>
      <w:proofErr w:type="spellStart"/>
      <w:r w:rsidRPr="00071248">
        <w:rPr>
          <w:rFonts w:ascii="Verdana" w:eastAsia="Times New Roman" w:hAnsi="Verdana" w:cs="Times New Roman"/>
          <w:sz w:val="20"/>
          <w:szCs w:val="20"/>
        </w:rPr>
        <w:t>Cenvat</w:t>
      </w:r>
      <w:proofErr w:type="spellEnd"/>
      <w:r w:rsidRPr="00071248">
        <w:rPr>
          <w:rFonts w:ascii="Verdana" w:eastAsia="Times New Roman" w:hAnsi="Verdana" w:cs="Times New Roman"/>
          <w:sz w:val="20"/>
          <w:szCs w:val="20"/>
        </w:rPr>
        <w:t xml:space="preserve"> credit of input service tax paid. However if the payment is directly made by the person to hospitals etc and then reimbursed by the insurance company, it will not be liable to service tax. Any additional amount paid by the individual to the hospital is not covered. Health services rendered to individuals not covered by health insurance scheme or employer’s health coverage are not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sz w:val="20"/>
          <w:szCs w:val="20"/>
        </w:rPr>
        <w:lastRenderedPageBreak/>
        <w:t>i</w:t>
      </w:r>
      <w:proofErr w:type="spellEnd"/>
      <w:r w:rsidRPr="00071248">
        <w:rPr>
          <w:rFonts w:ascii="Verdana" w:eastAsia="Times New Roman" w:hAnsi="Verdana" w:cs="Times New Roman"/>
          <w:sz w:val="20"/>
          <w:szCs w:val="20"/>
        </w:rPr>
        <w:t>) The hospital bill covers for bed charges, doctors’ visits, OT charge, medicines etc. It is not clear that on which amounts tax will be levied. In any case, cost of medicines (which is chargeable to VAT) can not be subjected to service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 It will be an issue that who ultimately bear service tax, the insurance company or the person covered under insurance and whether the medical cover would include service tax amount or not.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iii) The issue of </w:t>
      </w:r>
      <w:proofErr w:type="spellStart"/>
      <w:r w:rsidRPr="00071248">
        <w:rPr>
          <w:rFonts w:ascii="Verdana" w:eastAsia="Times New Roman" w:hAnsi="Verdana" w:cs="Times New Roman"/>
          <w:sz w:val="20"/>
          <w:szCs w:val="20"/>
        </w:rPr>
        <w:t>Cenvat</w:t>
      </w:r>
      <w:proofErr w:type="spellEnd"/>
      <w:r w:rsidRPr="00071248">
        <w:rPr>
          <w:rFonts w:ascii="Verdana" w:eastAsia="Times New Roman" w:hAnsi="Verdana" w:cs="Times New Roman"/>
          <w:sz w:val="20"/>
          <w:szCs w:val="20"/>
        </w:rPr>
        <w:t xml:space="preserve"> Credit by business entities may arise if the hospital bills are in the name of employees / insured.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iii) Maintenance of Medical Records of the employees [Section 65 (105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zzzzp</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Services provided by any person in relation to storing, keeping or maintaining of medical records of the employees of a business entity is proposed to be covered under this category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iv) Promotion of a brand of goods, services, event, endorsement of name [Section 65 (105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zzzzq</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Following services are proposed to be covered under this category:</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a) Service provided to any person by other person, through a business entity or otherwise under a contract for promotion or marketing of a brand of goods, service, event or endorsement of name including a trade name, logo or house mark of the business entity.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b) Appearance in advertisement, promotional event, award function, brand launching or endorsement of name etc. and carrying out any promotional activity related to brand of the brand holder or use such goods or services, in public.</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The “brand” includes symbol, monogram, label, signature or invented words which indicate connection with such goods, service or event of business entity.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Promotion or marketing of sale of goods or services provided by client is already covered under Business Auxiliary Service (BAS). Such activities continue to remain under BAS. The new service has a wider coverage. Mere promotion of a brand would now attract tax even if such promotion cannot be directly linked to promotion or marketing of a particular product or service. If the brand name/house mark is promoted by a celebrity, without reference to any specific product or service but mere establishing goodwill or adding value to a brand, would fall under this new category.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From the plain reading of provision it appears that it is not necessary that the brand promoter should be a celebrity. Any person, e.g. a model appearing in advertisement or performer in event etc may be covered. This will create undue hardship for such persons.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 Permitting commercial use or exploitation of any event [Section 65 (105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zzzzr</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Granting the right or permitting recording and broadcasting of an event relating to art, entertainment, business, sports, marriage etc for commercial exploitation is proposed to be covered under this category. Such event can be a music concert, film award night, </w:t>
      </w:r>
      <w:r w:rsidRPr="00071248">
        <w:rPr>
          <w:rFonts w:ascii="Verdana" w:eastAsia="Times New Roman" w:hAnsi="Verdana" w:cs="Times New Roman"/>
          <w:sz w:val="20"/>
          <w:szCs w:val="20"/>
        </w:rPr>
        <w:lastRenderedPageBreak/>
        <w:t>celebrities’ marriage, beauty contest etc. The consideration received by a person or an organization for granting rights or permitting commercial exploitation of such event will be liable to service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vi) Services provided by Electricity Exchanges [Section 65 (105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zzzzs</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Electricity Exchanges which are approved by Central Electricity Regulatory Commission under Electricity Act, 2003 to transact in electricity. Such exchanges recover charges in relation to trading, processing, clearing or settlement pertaining to sale or purchase of electricity. Services provided by such authorized associations will be liable to service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vii) Services in relation to copyrights hitherto not covered under IPR [Section 65 (105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zzzzt</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Presently, the Intellectual Property Right Service (IPR) excludes copyright. The copyright is defined under Section 13 of Indian Copyright Act, 1957 to include:</w:t>
      </w:r>
    </w:p>
    <w:p w:rsidR="00071248" w:rsidRPr="00071248" w:rsidRDefault="00071248" w:rsidP="00C54596">
      <w:pPr>
        <w:spacing w:before="100" w:beforeAutospacing="1" w:after="100" w:afterAutospacing="1" w:line="240" w:lineRule="auto"/>
        <w:rPr>
          <w:rFonts w:ascii="Times New Roman" w:eastAsia="Times New Roman" w:hAnsi="Times New Roman" w:cs="Times New Roman"/>
          <w:sz w:val="24"/>
          <w:szCs w:val="24"/>
        </w:rPr>
      </w:pPr>
      <w:r w:rsidRPr="00071248">
        <w:rPr>
          <w:rFonts w:ascii="Verdana" w:eastAsia="Times New Roman" w:hAnsi="Verdana" w:cs="Times New Roman"/>
          <w:sz w:val="20"/>
          <w:szCs w:val="20"/>
        </w:rPr>
        <w:t>a) Original literary, dramatic, musical and artistic work</w:t>
      </w:r>
      <w:r w:rsidRPr="00071248">
        <w:rPr>
          <w:rFonts w:ascii="Verdana" w:eastAsia="Times New Roman" w:hAnsi="Verdana" w:cs="Times New Roman"/>
          <w:sz w:val="20"/>
          <w:szCs w:val="20"/>
        </w:rPr>
        <w:br/>
        <w:t>b) Cinematographic films</w:t>
      </w:r>
      <w:r w:rsidRPr="00071248">
        <w:rPr>
          <w:rFonts w:ascii="Verdana" w:eastAsia="Times New Roman" w:hAnsi="Verdana" w:cs="Times New Roman"/>
          <w:sz w:val="20"/>
          <w:szCs w:val="20"/>
        </w:rPr>
        <w:br/>
        <w:t>c) Sound recordings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In case of original literary, dramatic, musical, lyrics, songs, artistic works, compositions etc., the consideration received for permitting use of such copy right by holder of the copy right (creator / performer) is not liable to service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Temporary transfer or use or enjoyment of copy rights stated in (b) and (c) above is proposed to be covered under this category.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Recording of cinematographic films and accompanying sound track are generally property of the producer. When such producer temporarily transfers the same or permit its use to distributor, consideration for same will be liable to service tax under this category.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The tax liability would however, depend on the nature and condition of contract.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viii) Special services provided by builder or any other person to a buyer [Section 65 (105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zzzzu</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When a builder of a residential or commercial complex or an authorized person provides a special services or facilities to buyers such as preferential location, extra amenities, internal / external development of such complex (e.g. developing / maintaining parks, power backup), etc., for separate charges, the same is proposed to be covered under this category.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Services covered under Commercial or Industrial Construction, Residential Complex Construction, Management, Maintenance or Repair categories will not be liable to tax under this category. The services in relation to parking place are excluded from the coverage of this category. Development charges paid to State Government or local body is excluded from service tax. The services provided by a Residential Welfare Association or Co-operative housing Society will not liable to tax under this category.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 xml:space="preserve">This entry is inserted by way of abundant caution. If the charges are included in consideration, e.g. floor raise charges, no further tax will be chargeable under this entry. However, any consideration for extra amenities, garden development etc will be covered under this entry. Abatement is not provided for use of material or goods for provision of such services.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B. Changes in existing services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sz w:val="20"/>
          <w:szCs w:val="20"/>
        </w:rPr>
        <w:t>i</w:t>
      </w:r>
      <w:proofErr w:type="spellEnd"/>
      <w:r w:rsidRPr="00071248">
        <w:rPr>
          <w:rFonts w:ascii="Verdana" w:eastAsia="Times New Roman" w:hAnsi="Verdana" w:cs="Times New Roman"/>
          <w:sz w:val="20"/>
          <w:szCs w:val="20"/>
        </w:rPr>
        <w:t>) Business Auxiliary Services [Section 65(19) read with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zzb</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Services provided in relation to promotion or marketing of games of chance including lottery etc are proposed to be excluded from “Business Auxiliary Services” category consequent upon introduction of new service category U/s 65(105)(</w:t>
      </w:r>
      <w:proofErr w:type="spellStart"/>
      <w:r w:rsidRPr="00071248">
        <w:rPr>
          <w:rFonts w:ascii="Verdana" w:eastAsia="Times New Roman" w:hAnsi="Verdana" w:cs="Times New Roman"/>
          <w:sz w:val="20"/>
          <w:szCs w:val="20"/>
        </w:rPr>
        <w:t>zzzzn</w:t>
      </w:r>
      <w:proofErr w:type="spellEnd"/>
      <w:r w:rsidRPr="00071248">
        <w:rPr>
          <w:rFonts w:ascii="Verdana" w:eastAsia="Times New Roman" w:hAnsi="Verdana" w:cs="Times New Roman"/>
          <w:sz w:val="20"/>
          <w:szCs w:val="20"/>
        </w:rPr>
        <w:t xml:space="preserve">) specifically to cover impugned services.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 Commercial or Industrial Construction [Section 65(25b) read with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zzq</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Applicability of service tax on sale of under construction units is a highly debatable and </w:t>
      </w:r>
      <w:proofErr w:type="spellStart"/>
      <w:r w:rsidRPr="00071248">
        <w:rPr>
          <w:rFonts w:ascii="Verdana" w:eastAsia="Times New Roman" w:hAnsi="Verdana" w:cs="Times New Roman"/>
          <w:sz w:val="20"/>
          <w:szCs w:val="20"/>
        </w:rPr>
        <w:t>litigative</w:t>
      </w:r>
      <w:proofErr w:type="spellEnd"/>
      <w:r w:rsidRPr="00071248">
        <w:rPr>
          <w:rFonts w:ascii="Verdana" w:eastAsia="Times New Roman" w:hAnsi="Verdana" w:cs="Times New Roman"/>
          <w:sz w:val="20"/>
          <w:szCs w:val="20"/>
        </w:rPr>
        <w:t xml:space="preserve"> issue. Whether builder constructs the units on his own account or he constructs it on behalf of buyers / </w:t>
      </w:r>
      <w:proofErr w:type="spellStart"/>
      <w:r w:rsidRPr="00071248">
        <w:rPr>
          <w:rFonts w:ascii="Verdana" w:eastAsia="Times New Roman" w:hAnsi="Verdana" w:cs="Times New Roman"/>
          <w:sz w:val="20"/>
          <w:szCs w:val="20"/>
        </w:rPr>
        <w:t>allottees</w:t>
      </w:r>
      <w:proofErr w:type="spellEnd"/>
      <w:r w:rsidRPr="00071248">
        <w:rPr>
          <w:rFonts w:ascii="Verdana" w:eastAsia="Times New Roman" w:hAnsi="Verdana" w:cs="Times New Roman"/>
          <w:sz w:val="20"/>
          <w:szCs w:val="20"/>
        </w:rPr>
        <w:t xml:space="preserve"> is an issue debated from inception of service tax levy on construction services. Whether such transaction is transaction for property sale or provision of service is a debatable issue.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sz w:val="20"/>
          <w:szCs w:val="20"/>
        </w:rPr>
        <w:t>Hon’ble</w:t>
      </w:r>
      <w:proofErr w:type="spellEnd"/>
      <w:r w:rsidRPr="00071248">
        <w:rPr>
          <w:rFonts w:ascii="Verdana" w:eastAsia="Times New Roman" w:hAnsi="Verdana" w:cs="Times New Roman"/>
          <w:sz w:val="20"/>
          <w:szCs w:val="20"/>
        </w:rPr>
        <w:t xml:space="preserve"> Allahabad High Court in case of </w:t>
      </w:r>
      <w:proofErr w:type="spellStart"/>
      <w:r w:rsidRPr="00071248">
        <w:rPr>
          <w:rFonts w:ascii="Verdana" w:eastAsia="Times New Roman" w:hAnsi="Verdana" w:cs="Times New Roman"/>
          <w:sz w:val="20"/>
          <w:szCs w:val="20"/>
        </w:rPr>
        <w:t>Assotech</w:t>
      </w:r>
      <w:proofErr w:type="spellEnd"/>
      <w:r w:rsidRPr="00071248">
        <w:rPr>
          <w:rFonts w:ascii="Verdana" w:eastAsia="Times New Roman" w:hAnsi="Verdana" w:cs="Times New Roman"/>
          <w:sz w:val="20"/>
          <w:szCs w:val="20"/>
        </w:rPr>
        <w:t xml:space="preserve"> Realty Private Limited Vs State of UP [2007 (7) STR 129] and Honorable </w:t>
      </w:r>
      <w:proofErr w:type="spellStart"/>
      <w:r w:rsidRPr="00071248">
        <w:rPr>
          <w:rFonts w:ascii="Verdana" w:eastAsia="Times New Roman" w:hAnsi="Verdana" w:cs="Times New Roman"/>
          <w:sz w:val="20"/>
          <w:szCs w:val="20"/>
        </w:rPr>
        <w:t>Gauhati</w:t>
      </w:r>
      <w:proofErr w:type="spellEnd"/>
      <w:r w:rsidRPr="00071248">
        <w:rPr>
          <w:rFonts w:ascii="Verdana" w:eastAsia="Times New Roman" w:hAnsi="Verdana" w:cs="Times New Roman"/>
          <w:sz w:val="20"/>
          <w:szCs w:val="20"/>
        </w:rPr>
        <w:t xml:space="preserve"> High Court in case of Magus Construction Private Limited [2008 (11) STR 225], have held that the transaction between builder and the buyers / </w:t>
      </w:r>
      <w:proofErr w:type="spellStart"/>
      <w:r w:rsidRPr="00071248">
        <w:rPr>
          <w:rFonts w:ascii="Verdana" w:eastAsia="Times New Roman" w:hAnsi="Verdana" w:cs="Times New Roman"/>
          <w:sz w:val="20"/>
          <w:szCs w:val="20"/>
        </w:rPr>
        <w:t>allottees</w:t>
      </w:r>
      <w:proofErr w:type="spellEnd"/>
      <w:r w:rsidRPr="00071248">
        <w:rPr>
          <w:rFonts w:ascii="Verdana" w:eastAsia="Times New Roman" w:hAnsi="Verdana" w:cs="Times New Roman"/>
          <w:sz w:val="20"/>
          <w:szCs w:val="20"/>
        </w:rPr>
        <w:t xml:space="preserve"> is that of purchase and sale of property. The contract between builder and buyer is not for provision of services. Consequently the same is not liable to vat or service tax. Whether a flat is constructed prior to or in consequent to an Agreement to sale and payment received in installments do not change the nature of transaction which is essentially sale of an immovable property.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The CBEC, vide its Circular No.108/02/2009-ST dated 29-1-2009, had gracefully accepted the proposition that sale of flats / units are not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An explanation is being added to expand the scope of this category. The sale of under construction unit by builder / developer or authorized representative will now be deemed to be a taxable service. An attempt is being made to tax sale of under construction units on sale consideration received by builders / developers before the grant of completion certificate by competent authorities. The units sold after the issue of completion certificate will not attract service tax. The builders / developers selling ready units (sold after the issue of completion certificate) will not be liable to service tax. Sale of old units and resale transactions will not be liable to service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This amendment unsettles the ratio laid down by the judiciary and it overrides the above referred judicial pronouncements. The following issues may arise:</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 Whether Central Government is constitutionally competent to levy service tax on the transfer of immovable property? This is a prerogative of State Government under Entry 49 </w:t>
      </w:r>
      <w:r w:rsidRPr="00071248">
        <w:rPr>
          <w:rFonts w:ascii="Verdana" w:eastAsia="Times New Roman" w:hAnsi="Verdana" w:cs="Times New Roman"/>
          <w:sz w:val="20"/>
          <w:szCs w:val="20"/>
        </w:rPr>
        <w:lastRenderedPageBreak/>
        <w:t xml:space="preserve">of List II of schedule VII to the constitution. The State Governments already levy stamp duties on sale of immovable properties.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Proposed levy is inconsistent with the provisions of Transfer of Property Act, 1988 and Maharashtra Ownership Flats Act, 1969.</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 Imposing service tax on sale of property will be inconsistent with the ratio laid down by </w:t>
      </w:r>
      <w:proofErr w:type="spellStart"/>
      <w:r w:rsidRPr="00071248">
        <w:rPr>
          <w:rFonts w:ascii="Verdana" w:eastAsia="Times New Roman" w:hAnsi="Verdana" w:cs="Times New Roman"/>
          <w:sz w:val="20"/>
          <w:szCs w:val="20"/>
        </w:rPr>
        <w:t>Hon’ble</w:t>
      </w:r>
      <w:proofErr w:type="spellEnd"/>
      <w:r w:rsidRPr="00071248">
        <w:rPr>
          <w:rFonts w:ascii="Verdana" w:eastAsia="Times New Roman" w:hAnsi="Verdana" w:cs="Times New Roman"/>
          <w:sz w:val="20"/>
          <w:szCs w:val="20"/>
        </w:rPr>
        <w:t xml:space="preserve"> Supreme Court in the case of Bharat Sanchar Nigam Limited [2006 (2) STR 161] where double taxation resulting out of overlapping jurisdiction of State Government and Central Government was not permitted.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Whether timing of payment / consideration can determine incidence of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Construction contract is usually a composite contract which can be classified under “Works Contract Service” category. The definition of “Works Contract Service” is not amended to cover sale of under construction units.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 Assuming (without accepting) that sale of premises is a service, no mechanism is prescribed to eliminate land value from sales consideration to determine correct value of the services.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No clarity on tax implications of sale of flats / units where agreements already executed and progress payments are received in pursuance to such agreement but Completion Certificate is yet to come.</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 At many places, there is no system of issuing completion certificate by local authorities. Further, the issue of completion certificate is consequent upon compliance of several conditions after construction is completed. Many times it is issued after issue of occupation certificate. This makes this provision </w:t>
      </w:r>
      <w:proofErr w:type="spellStart"/>
      <w:r w:rsidRPr="00071248">
        <w:rPr>
          <w:rFonts w:ascii="Verdana" w:eastAsia="Times New Roman" w:hAnsi="Verdana" w:cs="Times New Roman"/>
          <w:sz w:val="20"/>
          <w:szCs w:val="20"/>
        </w:rPr>
        <w:t>inpractible</w:t>
      </w:r>
      <w:proofErr w:type="spellEnd"/>
      <w:r w:rsidRPr="00071248">
        <w:rPr>
          <w:rFonts w:ascii="Verdana" w:eastAsia="Times New Roman" w:hAnsi="Verdana" w:cs="Times New Roman"/>
          <w:sz w:val="20"/>
          <w:szCs w:val="20"/>
        </w:rPr>
        <w:t xml:space="preserve"> and it might cover most of the transactions for sale of flats / units.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 The substantial charge is sought to be created by way of inserting an explanation. This is highly debatable and </w:t>
      </w:r>
      <w:proofErr w:type="spellStart"/>
      <w:r w:rsidRPr="00071248">
        <w:rPr>
          <w:rFonts w:ascii="Verdana" w:eastAsia="Times New Roman" w:hAnsi="Verdana" w:cs="Times New Roman"/>
          <w:sz w:val="20"/>
          <w:szCs w:val="20"/>
        </w:rPr>
        <w:t>litigative</w:t>
      </w:r>
      <w:proofErr w:type="spellEnd"/>
      <w:r w:rsidRPr="00071248">
        <w:rPr>
          <w:rFonts w:ascii="Verdana" w:eastAsia="Times New Roman" w:hAnsi="Verdana" w:cs="Times New Roman"/>
          <w:sz w:val="20"/>
          <w:szCs w:val="20"/>
        </w:rPr>
        <w:t xml:space="preserve"> issue.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 There would be a serious challenge as to the constitutional validity of this provision.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iii) Construction of Residential Complex [Section 65(30a) read with Section 65(</w:t>
      </w:r>
      <w:proofErr w:type="spellStart"/>
      <w:r w:rsidRPr="00071248">
        <w:rPr>
          <w:rFonts w:ascii="Verdana" w:eastAsia="Times New Roman" w:hAnsi="Verdana" w:cs="Times New Roman"/>
          <w:sz w:val="20"/>
          <w:szCs w:val="20"/>
        </w:rPr>
        <w:t>zzzh</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Scope of this service is being expanded on the lines of Commercial or Industrial Construction Services to cover sale of flats under construction. Please refer preceding </w:t>
      </w:r>
      <w:proofErr w:type="spellStart"/>
      <w:r w:rsidRPr="00071248">
        <w:rPr>
          <w:rFonts w:ascii="Verdana" w:eastAsia="Times New Roman" w:hAnsi="Verdana" w:cs="Times New Roman"/>
          <w:sz w:val="20"/>
          <w:szCs w:val="20"/>
        </w:rPr>
        <w:t>para</w:t>
      </w:r>
      <w:proofErr w:type="spellEnd"/>
      <w:r w:rsidRPr="00071248">
        <w:rPr>
          <w:rFonts w:ascii="Verdana" w:eastAsia="Times New Roman" w:hAnsi="Verdana" w:cs="Times New Roman"/>
          <w:sz w:val="20"/>
          <w:szCs w:val="20"/>
        </w:rPr>
        <w:t xml:space="preserve"> for detailed discussion and analysis.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 residential complex is defined to mean a complex having more than 12 units. Further it excludes a unit constructed for personal use of service recipient. When builder sells a flat to prospective buyer, he renders services (?) to buyer only in respect of one unit (not more than 12 units as provided in definition). The flat is usually for the personal use of the prospective buyer. One may take a stand that the contemplated service is not in respect of “Residential Complex” and therefore not liable to service tax. Thus this levy is prone to litigation.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iv) Port Services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zn</w:t>
      </w:r>
      <w:proofErr w:type="spellEnd"/>
      <w:r w:rsidRPr="00071248">
        <w:rPr>
          <w:rFonts w:ascii="Verdana" w:eastAsia="Times New Roman" w:hAnsi="Verdana" w:cs="Times New Roman"/>
          <w:sz w:val="20"/>
          <w:szCs w:val="20"/>
        </w:rPr>
        <w:t>)] and Other Port Services [Section 65(105)(</w:t>
      </w:r>
      <w:proofErr w:type="spellStart"/>
      <w:r w:rsidRPr="00071248">
        <w:rPr>
          <w:rFonts w:ascii="Verdana" w:eastAsia="Times New Roman" w:hAnsi="Verdana" w:cs="Times New Roman"/>
          <w:sz w:val="20"/>
          <w:szCs w:val="20"/>
        </w:rPr>
        <w:t>zzl</w:t>
      </w:r>
      <w:proofErr w:type="spellEnd"/>
      <w:r w:rsidRPr="00071248">
        <w:rPr>
          <w:rFonts w:ascii="Verdana" w:eastAsia="Times New Roman" w:hAnsi="Verdana" w:cs="Times New Roman"/>
          <w:sz w:val="20"/>
          <w:szCs w:val="20"/>
        </w:rPr>
        <w:t>)] and Airport Services (Sanction 65(105)(</w:t>
      </w:r>
      <w:proofErr w:type="spellStart"/>
      <w:r w:rsidRPr="00071248">
        <w:rPr>
          <w:rFonts w:ascii="Verdana" w:eastAsia="Times New Roman" w:hAnsi="Verdana" w:cs="Times New Roman"/>
          <w:sz w:val="20"/>
          <w:szCs w:val="20"/>
        </w:rPr>
        <w:t>zzm</w:t>
      </w:r>
      <w:proofErr w:type="spellEnd"/>
      <w:r w:rsidRPr="00071248">
        <w:rPr>
          <w:rFonts w:ascii="Verdana" w:eastAsia="Times New Roman" w:hAnsi="Verdana" w:cs="Times New Roman"/>
          <w:sz w:val="20"/>
          <w:szCs w:val="20"/>
        </w:rPr>
        <w:t xml:space="preserve">)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Presently the services provided by port, other port or airports or authorized persons are liable to services tax under these categories. As per provision of Section 65A, specific services provided in the port premises (e.g. Cargo Handling Services, Custom House Agency’s Services etc) are classifiable under specific categories and not under the port service categories.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Any services provided wholly within the port or airport premises will now be classifiable only under “Port Service” or “Other Port Services” or “Airport Services” as the case may be categories. It has been specifically provided that principle of classification given in Section 65A will not apply to such services.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Services provided by any person, whether authorized or not, will now be liable to service tax under these categories. Specific authorization will not be a pre-condition for levy of service tax under these categories.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All services provided within port or airport premises (wholly) will fall under these categories. For example, a Chartered Accountant providing services within a port or airport will now be classified under Port / Airport Service. Services like CHA will lose its relevance, if same are provided wholly within the port premises.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Non-applicability of classification provision will have serious repercussions. For example, Erection, Commissioning provider will not be eligible for abatement for services provided within port / airport. Cargo handling services provided in </w:t>
      </w:r>
      <w:proofErr w:type="spellStart"/>
      <w:r w:rsidRPr="00071248">
        <w:rPr>
          <w:rFonts w:ascii="Verdana" w:eastAsia="Times New Roman" w:hAnsi="Verdana" w:cs="Times New Roman"/>
          <w:sz w:val="20"/>
          <w:szCs w:val="20"/>
        </w:rPr>
        <w:t>couse</w:t>
      </w:r>
      <w:proofErr w:type="spellEnd"/>
      <w:r w:rsidRPr="00071248">
        <w:rPr>
          <w:rFonts w:ascii="Verdana" w:eastAsia="Times New Roman" w:hAnsi="Verdana" w:cs="Times New Roman"/>
          <w:sz w:val="20"/>
          <w:szCs w:val="20"/>
        </w:rPr>
        <w:t xml:space="preserve"> of export will not be eligible for export benefit. Construction / Works Contract services provided within port / airport premises will lose the exemption presently available to them.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 Commercial Training or Coaching Centre Services [Section 65(26), 65(27) read with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zzc</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 There was enormous litigation on issue whether non-profit organizations or charitable institutions imparting training or coaching is liable to service tax or not. Various tribunals have held that such institutions can not be regarded as Commercial Training or Coaching </w:t>
      </w:r>
      <w:proofErr w:type="spellStart"/>
      <w:r w:rsidRPr="00071248">
        <w:rPr>
          <w:rFonts w:ascii="Verdana" w:eastAsia="Times New Roman" w:hAnsi="Verdana" w:cs="Times New Roman"/>
          <w:sz w:val="20"/>
          <w:szCs w:val="20"/>
        </w:rPr>
        <w:t>Centres</w:t>
      </w:r>
      <w:proofErr w:type="spellEnd"/>
      <w:r w:rsidRPr="00071248">
        <w:rPr>
          <w:rFonts w:ascii="Verdana" w:eastAsia="Times New Roman" w:hAnsi="Verdana" w:cs="Times New Roman"/>
          <w:sz w:val="20"/>
          <w:szCs w:val="20"/>
        </w:rPr>
        <w:t xml:space="preserve">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An explanation is being added </w:t>
      </w:r>
      <w:proofErr w:type="spellStart"/>
      <w:r w:rsidRPr="00071248">
        <w:rPr>
          <w:rFonts w:ascii="Verdana" w:eastAsia="Times New Roman" w:hAnsi="Verdana" w:cs="Times New Roman"/>
          <w:sz w:val="20"/>
          <w:szCs w:val="20"/>
        </w:rPr>
        <w:t>w.e.f</w:t>
      </w:r>
      <w:proofErr w:type="spellEnd"/>
      <w:r w:rsidRPr="00071248">
        <w:rPr>
          <w:rFonts w:ascii="Verdana" w:eastAsia="Times New Roman" w:hAnsi="Verdana" w:cs="Times New Roman"/>
          <w:sz w:val="20"/>
          <w:szCs w:val="20"/>
        </w:rPr>
        <w:t>. 1st July 2003 to Section 65(105)(</w:t>
      </w:r>
      <w:proofErr w:type="spellStart"/>
      <w:r w:rsidRPr="00071248">
        <w:rPr>
          <w:rFonts w:ascii="Verdana" w:eastAsia="Times New Roman" w:hAnsi="Verdana" w:cs="Times New Roman"/>
          <w:sz w:val="20"/>
          <w:szCs w:val="20"/>
        </w:rPr>
        <w:t>zzc</w:t>
      </w:r>
      <w:proofErr w:type="spellEnd"/>
      <w:r w:rsidRPr="00071248">
        <w:rPr>
          <w:rFonts w:ascii="Verdana" w:eastAsia="Times New Roman" w:hAnsi="Verdana" w:cs="Times New Roman"/>
          <w:sz w:val="20"/>
          <w:szCs w:val="20"/>
        </w:rPr>
        <w:t xml:space="preserve">) to clarify that commercial training or coaching centre include any centre or institute where training or coaching is imparted for consideration. Such training or coaching will now be liable to service tax even if institute imparting such training / coaching is registered as trust, society or non-profit organization carrying on its activity with or without profit motive. This is a retrospective amendment. It nullifies the decisions of Tribunals in various cases such as Great Lakes Institutes Management Ltd (2008-TIOL-134-CESTAT-Mad), Administrative Staff College of India, Hyderabad (2008-TIOL-2007-CESTAT), ICFAI vs. CCE (2008 17 STT 501) etc.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 xml:space="preserve">b) Vocational training institutes were exempted from service tax </w:t>
      </w:r>
      <w:proofErr w:type="gramStart"/>
      <w:r w:rsidRPr="00071248">
        <w:rPr>
          <w:rFonts w:ascii="Verdana" w:eastAsia="Times New Roman" w:hAnsi="Verdana" w:cs="Times New Roman"/>
          <w:sz w:val="20"/>
          <w:szCs w:val="20"/>
        </w:rPr>
        <w:t>vide</w:t>
      </w:r>
      <w:proofErr w:type="gramEnd"/>
      <w:r w:rsidRPr="00071248">
        <w:rPr>
          <w:rFonts w:ascii="Verdana" w:eastAsia="Times New Roman" w:hAnsi="Verdana" w:cs="Times New Roman"/>
          <w:sz w:val="20"/>
          <w:szCs w:val="20"/>
        </w:rPr>
        <w:t xml:space="preserve"> Notification No.24/2004-ST dated 10.09.2004. There were litigations as to the meaning of term “vocational training institutes”.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Above referred notification is now amended by Notification No.3/2010-ST, dated 27-2-2010. With effect from 27-2-2010 only industrial training institutes or industrial training </w:t>
      </w:r>
      <w:proofErr w:type="spellStart"/>
      <w:r w:rsidRPr="00071248">
        <w:rPr>
          <w:rFonts w:ascii="Verdana" w:eastAsia="Times New Roman" w:hAnsi="Verdana" w:cs="Times New Roman"/>
          <w:sz w:val="20"/>
          <w:szCs w:val="20"/>
        </w:rPr>
        <w:t>centres</w:t>
      </w:r>
      <w:proofErr w:type="spellEnd"/>
      <w:r w:rsidRPr="00071248">
        <w:rPr>
          <w:rFonts w:ascii="Verdana" w:eastAsia="Times New Roman" w:hAnsi="Verdana" w:cs="Times New Roman"/>
          <w:sz w:val="20"/>
          <w:szCs w:val="20"/>
        </w:rPr>
        <w:t xml:space="preserve"> affiliated to National Council of Vocational Training (NCVT) and offering courses in the designated trades covered under Schedule I of the Apprentices Act, 1961 will qualify for vocation training institutes entitled to service tax exemption.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This provision is serious blow for charitable institutions and non-profit organizations providing training or coaching. Even Government recognized institutions like Maritime Board which issue certificates required for marine recruitments gets covered under this category. The retrospective effect from 1-7-2003 adds to the woes of charitable and non-profit organizations. The issue of tax payment with interest beyond one year’s limitation u/s 73 would arise. All pending cases wherein show-cause notices are issued, the service provider would now be required to pay tax along with interest.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vi) Sponsorship Services [Section 65(99a) read with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zzzn</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Presently the sponsorship service provided to body corporate or firm is liable to service tax. The sponsorship service provided to persons other than body corporate or firm is not liable to service tax. The sponsorship of sports events is not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Sponsorship service provided to any person will now be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Further the sponsorship of sport events will be liable to service tax. This would mean that sponsorship of cricket matches (e.g. IPL cricket matches) and other sport events will be liable to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Rule 2(1</w:t>
      </w:r>
      <w:proofErr w:type="gramStart"/>
      <w:r w:rsidRPr="00071248">
        <w:rPr>
          <w:rFonts w:ascii="Verdana" w:eastAsia="Times New Roman" w:hAnsi="Verdana" w:cs="Times New Roman"/>
          <w:sz w:val="20"/>
          <w:szCs w:val="20"/>
        </w:rPr>
        <w:t>)(</w:t>
      </w:r>
      <w:proofErr w:type="gramEnd"/>
      <w:r w:rsidRPr="00071248">
        <w:rPr>
          <w:rFonts w:ascii="Verdana" w:eastAsia="Times New Roman" w:hAnsi="Verdana" w:cs="Times New Roman"/>
          <w:sz w:val="20"/>
          <w:szCs w:val="20"/>
        </w:rPr>
        <w:t>d)(vi) of Service Tax Rules, 1994 fastens the liability of discharging service tax on sponsorship services on service recipient (</w:t>
      </w:r>
      <w:proofErr w:type="spellStart"/>
      <w:r w:rsidRPr="00071248">
        <w:rPr>
          <w:rFonts w:ascii="Verdana" w:eastAsia="Times New Roman" w:hAnsi="Verdana" w:cs="Times New Roman"/>
          <w:sz w:val="20"/>
          <w:szCs w:val="20"/>
        </w:rPr>
        <w:t>sponsorer</w:t>
      </w:r>
      <w:proofErr w:type="spellEnd"/>
      <w:r w:rsidRPr="00071248">
        <w:rPr>
          <w:rFonts w:ascii="Verdana" w:eastAsia="Times New Roman" w:hAnsi="Verdana" w:cs="Times New Roman"/>
          <w:sz w:val="20"/>
          <w:szCs w:val="20"/>
        </w:rPr>
        <w:t xml:space="preserve">). The consequential amendment is not made in the said rule. This would mean where </w:t>
      </w:r>
      <w:proofErr w:type="spellStart"/>
      <w:r w:rsidRPr="00071248">
        <w:rPr>
          <w:rFonts w:ascii="Verdana" w:eastAsia="Times New Roman" w:hAnsi="Verdana" w:cs="Times New Roman"/>
          <w:sz w:val="20"/>
          <w:szCs w:val="20"/>
        </w:rPr>
        <w:t>sponsorer</w:t>
      </w:r>
      <w:proofErr w:type="spellEnd"/>
      <w:r w:rsidRPr="00071248">
        <w:rPr>
          <w:rFonts w:ascii="Verdana" w:eastAsia="Times New Roman" w:hAnsi="Verdana" w:cs="Times New Roman"/>
          <w:sz w:val="20"/>
          <w:szCs w:val="20"/>
        </w:rPr>
        <w:t xml:space="preserve"> is body corporate or firm, the service liability is to be discharged by them. In other cases, the service tax liability will have to be discharged by service provider.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vii) Air Passenger Transport Service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zzzo</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Presently air craft operator providing service to passengers embarking in India for international journey in any class other than economy class is liable to service tax. In other words, domestic air travel (by any class) and international air travel (by economy class) is not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Aircraft operator providing services to passenger embarking in India for domestic journey will now be liable to service tax irrespective of class of travel.</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Further international air travel in economy class will also be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 xml:space="preserve">Taxes charged by the Government (including that of foreign country where passengers disembark) on air passenger will be excluded from the value of the services, provided such taxes are shown separately on ticket or the invoice for such ticket [Notification No.15/2010-ST dated 27-2-2010 amending the service tax (Determination of Value) Rules, 2006].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The modalities of working out of tax liability, abatement, exemption etc will be prescribed in due course by the Government.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Definition of Passenger u/s 65 (77c) is not yet amended. It still defines passenger as person boarding an aircraft for performing an international journey.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viii) Auctioneer’s Services [Section 65(7a) read with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zzzr</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Presently the auctioneer’s service in relation to auction by Government is not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An explanation is being added to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zzzr</w:t>
      </w:r>
      <w:proofErr w:type="spellEnd"/>
      <w:r w:rsidRPr="00071248">
        <w:rPr>
          <w:rFonts w:ascii="Verdana" w:eastAsia="Times New Roman" w:hAnsi="Verdana" w:cs="Times New Roman"/>
          <w:sz w:val="20"/>
          <w:szCs w:val="20"/>
        </w:rPr>
        <w:t xml:space="preserve">) to clarify that “auction by Government” means the Government property being auctioned by any person acting as auctioneer.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Auctioneer rendering services to Government department for auction of private property, whether movable or immovable, will now be liable to service tax. However services rendered in relation to auction of Government property, movable or immovable, will not be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ix) Renting of Immovable Property [Section 65(90a) read with Section 65(105</w:t>
      </w:r>
      <w:proofErr w:type="gramStart"/>
      <w:r w:rsidRPr="00071248">
        <w:rPr>
          <w:rFonts w:ascii="Verdana" w:eastAsia="Times New Roman" w:hAnsi="Verdana" w:cs="Times New Roman"/>
          <w:sz w:val="20"/>
          <w:szCs w:val="20"/>
        </w:rPr>
        <w:t>)(</w:t>
      </w:r>
      <w:proofErr w:type="gramEnd"/>
      <w:r w:rsidRPr="00071248">
        <w:rPr>
          <w:rFonts w:ascii="Verdana" w:eastAsia="Times New Roman" w:hAnsi="Verdana" w:cs="Times New Roman"/>
          <w:sz w:val="20"/>
          <w:szCs w:val="20"/>
        </w:rPr>
        <w:t>zzzz)]</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 Presently this service is defined to mean service in relation to renting of immovable property in course of or for furtherance of business or commerce.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071248">
        <w:rPr>
          <w:rFonts w:ascii="Verdana" w:eastAsia="Times New Roman" w:hAnsi="Verdana" w:cs="Times New Roman"/>
          <w:sz w:val="20"/>
          <w:szCs w:val="20"/>
        </w:rPr>
        <w:t>Hon’ble</w:t>
      </w:r>
      <w:proofErr w:type="spellEnd"/>
      <w:r w:rsidRPr="00071248">
        <w:rPr>
          <w:rFonts w:ascii="Verdana" w:eastAsia="Times New Roman" w:hAnsi="Verdana" w:cs="Times New Roman"/>
          <w:sz w:val="20"/>
          <w:szCs w:val="20"/>
        </w:rPr>
        <w:t xml:space="preserve"> Delhi High Court in case of Home Solutions Retail India Limited &amp; Others Vs UOI [2009 TIOL 196 HC - DEL] struck down the levy of service tax on renting of immovable property on the ground that tax is sought to be levied on “services in relation to renting of property” and not on mere “renting of property”.</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Now renting service is being re-defined to include renting of immovable property in addition to services in relation to renting of immovable property for use in course of or furtherance of business or commerce. This definition is being amended </w:t>
      </w:r>
      <w:proofErr w:type="spellStart"/>
      <w:r w:rsidRPr="00071248">
        <w:rPr>
          <w:rFonts w:ascii="Verdana" w:eastAsia="Times New Roman" w:hAnsi="Verdana" w:cs="Times New Roman"/>
          <w:sz w:val="20"/>
          <w:szCs w:val="20"/>
        </w:rPr>
        <w:t>w.e.f</w:t>
      </w:r>
      <w:proofErr w:type="spellEnd"/>
      <w:r w:rsidRPr="00071248">
        <w:rPr>
          <w:rFonts w:ascii="Verdana" w:eastAsia="Times New Roman" w:hAnsi="Verdana" w:cs="Times New Roman"/>
          <w:sz w:val="20"/>
          <w:szCs w:val="20"/>
        </w:rPr>
        <w:t>. 1st June, 2007. This retrospective amendment seeks to override the above referred decision of Delhi High Court (supra).</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i/>
          <w:iCs/>
          <w:sz w:val="20"/>
          <w:szCs w:val="20"/>
        </w:rPr>
        <w:t>Comment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Proposed levy may face following legal challenge issues:-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Whether Central Government is constitutionally competent to levy tax on renting of immovable property? Property taxation is a prerogative of State Government under Entry 49 to List II of schedule VII to the constitution.</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 It was held by Honorable Delhi High Court in case of Home Solutions Retail India Limited &amp; Others vs. UOI [2009 TIOL 196 HC - DEL] that service tax is tax on value addition provided by service provider. Renting does not entail any value addition and hence it is not liable to service tax which is basically a value added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 Section 105 of Transfer of Property Act, 1888, provides that that a lease is alienation of right of a landlord. It is to be seen whether such alienation can be treated as service.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b) The Clause 76 of Finance Bill, 2010 provides for validation provisions to validate actions taken or omitted to be taken in relation to levy of tax under this service. It has also been provided no further suit or action would lie in any court in respect of this levy. The issue will arise whether service providers will be liable to interest and other penal consequences arising out of retrospective amendment in the definition of taxable service. </w:t>
      </w:r>
      <w:proofErr w:type="gramStart"/>
      <w:r w:rsidRPr="00071248">
        <w:rPr>
          <w:rFonts w:ascii="Verdana" w:eastAsia="Times New Roman" w:hAnsi="Verdana" w:cs="Times New Roman"/>
          <w:sz w:val="20"/>
          <w:szCs w:val="20"/>
        </w:rPr>
        <w:t>Further, whether limitation period of more than one year (s.73) will apply to the retrospective amendment.</w:t>
      </w:r>
      <w:proofErr w:type="gramEnd"/>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c) The definition of “immovable property” is being expanded to include the vacant land given on lease or license for construction of building or temporary structure at a later stage to be used for furtherance of business or commerce. The lease rentals for long term lease / sub-lease of land provided by local industrial corporations or any such organization / entity to the lessee for construction of factory or commercial building on such land will now be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x) Management of Investment under ULIP Service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zzzzf</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Presently the insurer pays service tax under this category on the value of services which is derived by reducing the value of risk cover and amount segregated for investment from the total premium charged to the insured.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Service tax will now be payable on higher of actual amount charged by the insurer for management of funds under ULIP or the maximum amount of fund management charges fixed by the Insurance Regulatory &amp; Development Authority (IRDA).</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xi) Information Technology Software Services [Section 65(53a) read with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zzzze</w:t>
      </w:r>
      <w:proofErr w:type="spellEnd"/>
      <w:r w:rsidRPr="00071248">
        <w:rPr>
          <w:rFonts w:ascii="Verdana" w:eastAsia="Times New Roman" w:hAnsi="Verdana" w:cs="Times New Roman"/>
          <w:sz w:val="20"/>
          <w:szCs w:val="20"/>
        </w:rPr>
        <w:t xml:space="preserve">)]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a) Presently the service tax is restricted to information technology software services used in the course of or furtherance of business. The information technology services provided for personal and / or non-commercial use are not liable to service tax.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Now the scope of taxable service is being expanded to cover information technology software services provided for personal and non-commercial use also. Service provider providing information technology services to charitable institutions, non-profit organizations, Government, individual users etc will also be liable to service tax.</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b) Taxability of packaged and canned software was a controversial and debatable issue.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The packaged or canned software intended for single use is now exempted by Notifications No. 02/2010 and 17/2010-ST dated 27-2-2010 on compliance of following conditions: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The document providing the right to use such software by whatever name called is packed along with the software.</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lastRenderedPageBreak/>
        <w:t>• The manufacturer – duplicator or the holder of the copyright to software has paid excise duty or custom duty (in case of Import) on the entire amount received by the buyer.</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 The Importer should not have taken benefit under Notification No. 31/2010- Customs dated 27-2-2010 or in case of domestic production, the </w:t>
      </w:r>
      <w:proofErr w:type="gramStart"/>
      <w:r w:rsidRPr="00071248">
        <w:rPr>
          <w:rFonts w:ascii="Verdana" w:eastAsia="Times New Roman" w:hAnsi="Verdana" w:cs="Times New Roman"/>
          <w:sz w:val="20"/>
          <w:szCs w:val="20"/>
        </w:rPr>
        <w:t>manufacturer,</w:t>
      </w:r>
      <w:proofErr w:type="gramEnd"/>
      <w:r w:rsidRPr="00071248">
        <w:rPr>
          <w:rFonts w:ascii="Verdana" w:eastAsia="Times New Roman" w:hAnsi="Verdana" w:cs="Times New Roman"/>
          <w:sz w:val="20"/>
          <w:szCs w:val="20"/>
        </w:rPr>
        <w:t xml:space="preserve"> duplicator or holder of copyright should not have taken benefit of Notification No. 17/2010-CE dated 27-2-2010.</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This exemption is effective from 27-2-2010</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C. Other changes:</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Presently the term “business entity” is defined with reference to legal services by way of an explanation to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zzzzm</w:t>
      </w:r>
      <w:proofErr w:type="spellEnd"/>
      <w:r w:rsidRPr="00071248">
        <w:rPr>
          <w:rFonts w:ascii="Verdana" w:eastAsia="Times New Roman" w:hAnsi="Verdana" w:cs="Times New Roman"/>
          <w:sz w:val="20"/>
          <w:szCs w:val="20"/>
        </w:rPr>
        <w:t xml:space="preserve">) defining “legal services”.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Section 65(19b) is being inserted to define the term “business entity” to include an </w:t>
      </w:r>
      <w:proofErr w:type="gramStart"/>
      <w:r w:rsidRPr="00071248">
        <w:rPr>
          <w:rFonts w:ascii="Verdana" w:eastAsia="Times New Roman" w:hAnsi="Verdana" w:cs="Times New Roman"/>
          <w:sz w:val="20"/>
          <w:szCs w:val="20"/>
        </w:rPr>
        <w:t>association</w:t>
      </w:r>
      <w:proofErr w:type="gramEnd"/>
      <w:r w:rsidRPr="00071248">
        <w:rPr>
          <w:rFonts w:ascii="Verdana" w:eastAsia="Times New Roman" w:hAnsi="Verdana" w:cs="Times New Roman"/>
          <w:sz w:val="20"/>
          <w:szCs w:val="20"/>
        </w:rPr>
        <w:t xml:space="preserve"> of persons, body of individuals, company or firm but to exclude an individual. Consequentially the above referred explanation to the definition of “Legal Consultancy Services” is being deleted.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The definition given in Section 65(19b) will now be applicable to all taxable services wherever the term “business entity” is referred.</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Part IV – Changes effective from 1st April, 2010</w:t>
      </w:r>
    </w:p>
    <w:p w:rsidR="00071248" w:rsidRPr="00071248" w:rsidRDefault="00071248" w:rsidP="00071248">
      <w:pPr>
        <w:spacing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Transportation of Goods by Rail [Section 65(105</w:t>
      </w:r>
      <w:proofErr w:type="gramStart"/>
      <w:r w:rsidRPr="00071248">
        <w:rPr>
          <w:rFonts w:ascii="Verdana" w:eastAsia="Times New Roman" w:hAnsi="Verdana" w:cs="Times New Roman"/>
          <w:sz w:val="20"/>
          <w:szCs w:val="20"/>
        </w:rPr>
        <w:t>)(</w:t>
      </w:r>
      <w:proofErr w:type="spellStart"/>
      <w:proofErr w:type="gramEnd"/>
      <w:r w:rsidRPr="00071248">
        <w:rPr>
          <w:rFonts w:ascii="Verdana" w:eastAsia="Times New Roman" w:hAnsi="Verdana" w:cs="Times New Roman"/>
          <w:sz w:val="20"/>
          <w:szCs w:val="20"/>
        </w:rPr>
        <w:t>zzzp</w:t>
      </w:r>
      <w:proofErr w:type="spellEnd"/>
      <w:r w:rsidRPr="00071248">
        <w:rPr>
          <w:rFonts w:ascii="Verdana" w:eastAsia="Times New Roman" w:hAnsi="Verdana" w:cs="Times New Roman"/>
          <w:sz w:val="20"/>
          <w:szCs w:val="20"/>
        </w:rPr>
        <w:t>)]:</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Notification No.33/2009-ST dated 01.09.2009 was providing exemption to the Government railway. The said exemption is now withdrawn by Notification No.07/2010-ST dated 27-2-2010.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Exemption in respect of specified goods is granted </w:t>
      </w:r>
      <w:proofErr w:type="spellStart"/>
      <w:r w:rsidRPr="00071248">
        <w:rPr>
          <w:rFonts w:ascii="Verdana" w:eastAsia="Times New Roman" w:hAnsi="Verdana" w:cs="Times New Roman"/>
          <w:sz w:val="20"/>
          <w:szCs w:val="20"/>
        </w:rPr>
        <w:t>w.e.f</w:t>
      </w:r>
      <w:proofErr w:type="spellEnd"/>
      <w:r w:rsidRPr="00071248">
        <w:rPr>
          <w:rFonts w:ascii="Verdana" w:eastAsia="Times New Roman" w:hAnsi="Verdana" w:cs="Times New Roman"/>
          <w:sz w:val="20"/>
          <w:szCs w:val="20"/>
        </w:rPr>
        <w:t xml:space="preserve">. 1-4-2010 vide Notification No.08/2010-ST dated 27-2-2010.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In other words, </w:t>
      </w:r>
      <w:proofErr w:type="spellStart"/>
      <w:r w:rsidRPr="00071248">
        <w:rPr>
          <w:rFonts w:ascii="Verdana" w:eastAsia="Times New Roman" w:hAnsi="Verdana" w:cs="Times New Roman"/>
          <w:sz w:val="20"/>
          <w:szCs w:val="20"/>
        </w:rPr>
        <w:t>w.e.f</w:t>
      </w:r>
      <w:proofErr w:type="spellEnd"/>
      <w:r w:rsidRPr="00071248">
        <w:rPr>
          <w:rFonts w:ascii="Verdana" w:eastAsia="Times New Roman" w:hAnsi="Verdana" w:cs="Times New Roman"/>
          <w:sz w:val="20"/>
          <w:szCs w:val="20"/>
        </w:rPr>
        <w:t xml:space="preserve">. 1-4-2010 Government railway will also be liable to service tax on transportation of goods by rail subject to exemption available for specified goods. </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Service providers are entitled for abatement of 70% on value of value of the taxable services rendered [Notification No.9/2010-ST dated 27-2-2010 read with Notification No.01/2006-ST dated 1-3-2006].</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b/>
          <w:bCs/>
          <w:sz w:val="20"/>
          <w:szCs w:val="20"/>
        </w:rPr>
        <w:t>Conclusion</w:t>
      </w:r>
    </w:p>
    <w:p w:rsidR="00071248" w:rsidRPr="00071248" w:rsidRDefault="00071248" w:rsidP="00071248">
      <w:pPr>
        <w:spacing w:before="100" w:beforeAutospacing="1" w:after="100" w:afterAutospacing="1" w:line="240" w:lineRule="auto"/>
        <w:jc w:val="both"/>
        <w:rPr>
          <w:rFonts w:ascii="Times New Roman" w:eastAsia="Times New Roman" w:hAnsi="Times New Roman" w:cs="Times New Roman"/>
          <w:sz w:val="24"/>
          <w:szCs w:val="24"/>
        </w:rPr>
      </w:pPr>
      <w:r w:rsidRPr="00071248">
        <w:rPr>
          <w:rFonts w:ascii="Verdana" w:eastAsia="Times New Roman" w:hAnsi="Verdana" w:cs="Times New Roman"/>
          <w:sz w:val="20"/>
          <w:szCs w:val="20"/>
        </w:rPr>
        <w:t xml:space="preserve">This budget seems to be a marathon effort to garner maximum revenue from service tax. It has taken into its ambit sports events like IPL, brand ambassadors, celebrities’ events, cinematographic films, air travel, etc. Even health and education sectors are partially covered. The retrospective amendments to nullify the judicial pronouncements have been the highlight of service tax proposals in this Budget. The Government should have refrained from tendency to over power the judiciary by resorting to retrospective amendments. This will generate lot of litigation and uncertainties. This overshadows welcome changes and good features of the Budget. The housing, construction and reality sector will be adversely affected and so as the common man for whom housing and other necessities will become </w:t>
      </w:r>
      <w:r w:rsidRPr="00071248">
        <w:rPr>
          <w:rFonts w:ascii="Verdana" w:eastAsia="Times New Roman" w:hAnsi="Verdana" w:cs="Times New Roman"/>
          <w:sz w:val="20"/>
          <w:szCs w:val="20"/>
        </w:rPr>
        <w:lastRenderedPageBreak/>
        <w:t xml:space="preserve">costlier. Let us hope that </w:t>
      </w:r>
      <w:proofErr w:type="spellStart"/>
      <w:r w:rsidRPr="00071248">
        <w:rPr>
          <w:rFonts w:ascii="Verdana" w:eastAsia="Times New Roman" w:hAnsi="Verdana" w:cs="Times New Roman"/>
          <w:sz w:val="20"/>
          <w:szCs w:val="20"/>
        </w:rPr>
        <w:t>Hon’ble</w:t>
      </w:r>
      <w:proofErr w:type="spellEnd"/>
      <w:r w:rsidRPr="00071248">
        <w:rPr>
          <w:rFonts w:ascii="Verdana" w:eastAsia="Times New Roman" w:hAnsi="Verdana" w:cs="Times New Roman"/>
          <w:sz w:val="20"/>
          <w:szCs w:val="20"/>
        </w:rPr>
        <w:t xml:space="preserve"> Finance Minister will take cognizance of representation of all stake holders and public at large and removes unfair and unjust budget proposals before it is enacted. </w:t>
      </w:r>
    </w:p>
    <w:p w:rsidR="002059E9" w:rsidRDefault="00071248" w:rsidP="00071248">
      <w:pPr>
        <w:jc w:val="both"/>
      </w:pPr>
      <w:r w:rsidRPr="00071248">
        <w:rPr>
          <w:rFonts w:ascii="Times New Roman" w:eastAsia="Times New Roman" w:hAnsi="Times New Roman" w:cs="Times New Roman"/>
          <w:sz w:val="24"/>
          <w:szCs w:val="24"/>
        </w:rPr>
        <w:pict/>
      </w:r>
    </w:p>
    <w:sectPr w:rsidR="002059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71248"/>
    <w:rsid w:val="00071248"/>
    <w:rsid w:val="002059E9"/>
    <w:rsid w:val="005C6CD9"/>
    <w:rsid w:val="00C545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12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5460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6347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9745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505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8797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73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637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319626">
          <w:blockQuote w:val="1"/>
          <w:marLeft w:val="720"/>
          <w:marRight w:val="720"/>
          <w:marTop w:val="100"/>
          <w:marBottom w:val="100"/>
          <w:divBdr>
            <w:top w:val="none" w:sz="0" w:space="0" w:color="auto"/>
            <w:left w:val="none" w:sz="0" w:space="0" w:color="auto"/>
            <w:bottom w:val="none" w:sz="0" w:space="0" w:color="auto"/>
            <w:right w:val="none" w:sz="0" w:space="0" w:color="auto"/>
          </w:divBdr>
        </w:div>
        <w:div w:id="954798512">
          <w:blockQuote w:val="1"/>
          <w:marLeft w:val="720"/>
          <w:marRight w:val="720"/>
          <w:marTop w:val="100"/>
          <w:marBottom w:val="100"/>
          <w:divBdr>
            <w:top w:val="none" w:sz="0" w:space="0" w:color="auto"/>
            <w:left w:val="none" w:sz="0" w:space="0" w:color="auto"/>
            <w:bottom w:val="none" w:sz="0" w:space="0" w:color="auto"/>
            <w:right w:val="none" w:sz="0" w:space="0" w:color="auto"/>
          </w:divBdr>
        </w:div>
        <w:div w:id="604190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5965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0721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7050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619639">
          <w:blockQuote w:val="1"/>
          <w:marLeft w:val="720"/>
          <w:marRight w:val="720"/>
          <w:marTop w:val="100"/>
          <w:marBottom w:val="100"/>
          <w:divBdr>
            <w:top w:val="none" w:sz="0" w:space="0" w:color="auto"/>
            <w:left w:val="none" w:sz="0" w:space="0" w:color="auto"/>
            <w:bottom w:val="none" w:sz="0" w:space="0" w:color="auto"/>
            <w:right w:val="none" w:sz="0" w:space="0" w:color="auto"/>
          </w:divBdr>
        </w:div>
        <w:div w:id="71323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173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4068844">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5757</Words>
  <Characters>32821</Characters>
  <Application>Microsoft Office Word</Application>
  <DocSecurity>0</DocSecurity>
  <Lines>273</Lines>
  <Paragraphs>77</Paragraphs>
  <ScaleCrop>false</ScaleCrop>
  <Company>richlook</Company>
  <LinksUpToDate>false</LinksUpToDate>
  <CharactersWithSpaces>38501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4</cp:revision>
  <dcterms:created xsi:type="dcterms:W3CDTF">2011-01-02T05:32:00Z</dcterms:created>
  <dcterms:modified xsi:type="dcterms:W3CDTF">2011-01-02T05:34:00Z</dcterms:modified>
</cp:coreProperties>
</file>