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outset" w:sz="2" w:space="0" w:color="008080"/>
          <w:left w:val="outset" w:sz="2" w:space="0" w:color="008080"/>
          <w:bottom w:val="outset" w:sz="2" w:space="0" w:color="008080"/>
          <w:right w:val="outset" w:sz="2" w:space="0" w:color="008080"/>
        </w:tblBorders>
        <w:tblCellMar>
          <w:left w:w="0" w:type="dxa"/>
          <w:right w:w="0" w:type="dxa"/>
        </w:tblCellMar>
        <w:tblLook w:val="04A0"/>
      </w:tblPr>
      <w:tblGrid>
        <w:gridCol w:w="9360"/>
      </w:tblGrid>
      <w:tr w:rsidR="00D85CA0" w:rsidRPr="00D85CA0" w:rsidTr="00D85CA0">
        <w:trPr>
          <w:trHeight w:val="90"/>
        </w:trPr>
        <w:tc>
          <w:tcPr>
            <w:tcW w:w="0" w:type="auto"/>
            <w:tcBorders>
              <w:top w:val="nil"/>
              <w:left w:val="nil"/>
              <w:bottom w:val="nil"/>
              <w:right w:val="nil"/>
            </w:tcBorders>
            <w:shd w:val="clear" w:color="auto" w:fill="B5E6E8"/>
            <w:hideMark/>
          </w:tcPr>
          <w:p w:rsidR="00D85CA0" w:rsidRPr="00D85CA0" w:rsidRDefault="00D85CA0" w:rsidP="00D85CA0">
            <w:pPr>
              <w:spacing w:before="100" w:beforeAutospacing="1" w:after="100" w:afterAutospacing="1" w:line="240" w:lineRule="auto"/>
              <w:rPr>
                <w:rFonts w:ascii="Times New Roman" w:eastAsia="Times New Roman" w:hAnsi="Times New Roman" w:cs="Times New Roman"/>
                <w:sz w:val="24"/>
                <w:szCs w:val="24"/>
              </w:rPr>
            </w:pPr>
          </w:p>
        </w:tc>
      </w:tr>
      <w:tr w:rsidR="00D85CA0" w:rsidRPr="00D85CA0" w:rsidTr="00D85CA0">
        <w:trPr>
          <w:trHeight w:val="390"/>
        </w:trPr>
        <w:tc>
          <w:tcPr>
            <w:tcW w:w="0" w:type="auto"/>
            <w:tcBorders>
              <w:top w:val="nil"/>
              <w:left w:val="nil"/>
              <w:bottom w:val="nil"/>
              <w:right w:val="nil"/>
            </w:tcBorders>
            <w:shd w:val="clear" w:color="auto" w:fill="008080"/>
            <w:hideMark/>
          </w:tcPr>
          <w:p w:rsidR="00D85CA0" w:rsidRPr="00D85CA0" w:rsidRDefault="00D85CA0" w:rsidP="00D85CA0">
            <w:pPr>
              <w:spacing w:before="75" w:after="75" w:line="240" w:lineRule="auto"/>
              <w:jc w:val="center"/>
              <w:rPr>
                <w:rFonts w:ascii="Times New Roman" w:eastAsia="Times New Roman" w:hAnsi="Times New Roman" w:cs="Times New Roman"/>
                <w:sz w:val="24"/>
                <w:szCs w:val="24"/>
              </w:rPr>
            </w:pPr>
            <w:r w:rsidRPr="00D85CA0">
              <w:rPr>
                <w:rFonts w:ascii="Verdana" w:eastAsia="Times New Roman" w:hAnsi="Verdana" w:cs="Times New Roman"/>
                <w:b/>
                <w:bCs/>
                <w:color w:val="FFFFFF"/>
              </w:rPr>
              <w:t xml:space="preserve">Renting Service – Confusion compounded – The ball back into the court of Supreme Court </w:t>
            </w:r>
          </w:p>
        </w:tc>
      </w:tr>
    </w:tbl>
    <w:p w:rsidR="00D85CA0" w:rsidRPr="00D85CA0" w:rsidRDefault="00D85CA0" w:rsidP="00D85CA0">
      <w:pPr>
        <w:spacing w:before="100" w:beforeAutospacing="1" w:after="100" w:afterAutospacing="1" w:line="240" w:lineRule="auto"/>
        <w:rPr>
          <w:rFonts w:ascii="Times New Roman" w:eastAsia="Times New Roman" w:hAnsi="Times New Roman" w:cs="Times New Roman"/>
          <w:sz w:val="24"/>
          <w:szCs w:val="24"/>
        </w:rPr>
      </w:pPr>
      <w:r w:rsidRPr="00D85CA0">
        <w:rPr>
          <w:rFonts w:ascii="Verdana" w:eastAsia="Times New Roman" w:hAnsi="Verdana" w:cs="Times New Roman"/>
          <w:b/>
          <w:bCs/>
          <w:sz w:val="20"/>
          <w:szCs w:val="20"/>
        </w:rPr>
        <w:t xml:space="preserve">Background </w:t>
      </w:r>
    </w:p>
    <w:p w:rsidR="00D85CA0" w:rsidRPr="00D85CA0" w:rsidRDefault="00D85CA0" w:rsidP="00D85CA0">
      <w:pPr>
        <w:numPr>
          <w:ilvl w:val="0"/>
          <w:numId w:val="1"/>
        </w:numPr>
        <w:spacing w:before="100" w:beforeAutospacing="1" w:after="100" w:afterAutospacing="1"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Renting of Immovable Property for use in the course of or, for furtherance of Business or Commerce Service was first introduced from 01.6.2007 by inserting </w:t>
      </w:r>
      <w:proofErr w:type="spellStart"/>
      <w:r w:rsidRPr="00D85CA0">
        <w:rPr>
          <w:rFonts w:ascii="Verdana" w:eastAsia="Times New Roman" w:hAnsi="Verdana" w:cs="Times New Roman"/>
          <w:sz w:val="20"/>
          <w:szCs w:val="20"/>
        </w:rPr>
        <w:t>Cl</w:t>
      </w:r>
      <w:proofErr w:type="spellEnd"/>
      <w:r w:rsidRPr="00D85CA0">
        <w:rPr>
          <w:rFonts w:ascii="Verdana" w:eastAsia="Times New Roman" w:hAnsi="Verdana" w:cs="Times New Roman"/>
          <w:sz w:val="20"/>
          <w:szCs w:val="20"/>
        </w:rPr>
        <w:t xml:space="preserve">, (zzzz) in Chapter V of the Finance Act, 1994. Since its inception, this service has remained controversial as the tax paying community in this country has not accepted the concept of any element of service involved in renting of immovable property. Such contention cannot be said to be without any base. The grounds </w:t>
      </w:r>
      <w:proofErr w:type="spellStart"/>
      <w:r w:rsidRPr="00D85CA0">
        <w:rPr>
          <w:rFonts w:ascii="Verdana" w:eastAsia="Times New Roman" w:hAnsi="Verdana" w:cs="Times New Roman"/>
          <w:sz w:val="20"/>
          <w:szCs w:val="20"/>
        </w:rPr>
        <w:t>interalia</w:t>
      </w:r>
      <w:proofErr w:type="spellEnd"/>
      <w:r w:rsidRPr="00D85CA0">
        <w:rPr>
          <w:rFonts w:ascii="Verdana" w:eastAsia="Times New Roman" w:hAnsi="Verdana" w:cs="Times New Roman"/>
          <w:sz w:val="20"/>
          <w:szCs w:val="20"/>
        </w:rPr>
        <w:t xml:space="preserve">, on which the levy contested are as follows : </w:t>
      </w:r>
    </w:p>
    <w:p w:rsidR="00D85CA0" w:rsidRPr="00D85CA0" w:rsidRDefault="00D85CA0" w:rsidP="00D85CA0">
      <w:pPr>
        <w:numPr>
          <w:ilvl w:val="0"/>
          <w:numId w:val="2"/>
        </w:numPr>
        <w:spacing w:before="180" w:after="180" w:line="240" w:lineRule="auto"/>
        <w:ind w:left="1440"/>
        <w:jc w:val="both"/>
        <w:rPr>
          <w:rFonts w:ascii="Verdana" w:eastAsia="Times New Roman" w:hAnsi="Verdana" w:cs="Times New Roman"/>
          <w:sz w:val="20"/>
          <w:szCs w:val="20"/>
        </w:rPr>
      </w:pPr>
      <w:proofErr w:type="gramStart"/>
      <w:r w:rsidRPr="00D85CA0">
        <w:rPr>
          <w:rFonts w:ascii="Verdana" w:eastAsia="Times New Roman" w:hAnsi="Verdana" w:cs="Times New Roman"/>
          <w:sz w:val="20"/>
          <w:szCs w:val="20"/>
        </w:rPr>
        <w:t>that</w:t>
      </w:r>
      <w:proofErr w:type="gramEnd"/>
      <w:r w:rsidRPr="00D85CA0">
        <w:rPr>
          <w:rFonts w:ascii="Verdana" w:eastAsia="Times New Roman" w:hAnsi="Verdana" w:cs="Times New Roman"/>
          <w:sz w:val="20"/>
          <w:szCs w:val="20"/>
        </w:rPr>
        <w:t xml:space="preserve"> transfer of right to enjoy the immovable property is a lease covered under the Transfer of Property Act, 1982 and subjected to levy of stamp duty by various states. </w:t>
      </w:r>
    </w:p>
    <w:p w:rsidR="00D85CA0" w:rsidRPr="00D85CA0" w:rsidRDefault="00D85CA0" w:rsidP="00D85CA0">
      <w:pPr>
        <w:numPr>
          <w:ilvl w:val="0"/>
          <w:numId w:val="2"/>
        </w:numPr>
        <w:spacing w:before="180" w:after="180" w:line="240" w:lineRule="auto"/>
        <w:ind w:left="1440"/>
        <w:jc w:val="both"/>
        <w:rPr>
          <w:rFonts w:ascii="Verdana" w:eastAsia="Times New Roman" w:hAnsi="Verdana" w:cs="Times New Roman"/>
          <w:sz w:val="20"/>
          <w:szCs w:val="20"/>
        </w:rPr>
      </w:pPr>
      <w:proofErr w:type="gramStart"/>
      <w:r w:rsidRPr="00D85CA0">
        <w:rPr>
          <w:rFonts w:ascii="Verdana" w:eastAsia="Times New Roman" w:hAnsi="Verdana" w:cs="Times New Roman"/>
          <w:sz w:val="20"/>
          <w:szCs w:val="20"/>
        </w:rPr>
        <w:t>that</w:t>
      </w:r>
      <w:proofErr w:type="gramEnd"/>
      <w:r w:rsidRPr="00D85CA0">
        <w:rPr>
          <w:rFonts w:ascii="Verdana" w:eastAsia="Times New Roman" w:hAnsi="Verdana" w:cs="Times New Roman"/>
          <w:sz w:val="20"/>
          <w:szCs w:val="20"/>
        </w:rPr>
        <w:t xml:space="preserve"> letting or renting are synonymous to leasing and are species of transfer of rights, in some form or manner, in an immovable property generally recorded in an instrument. </w:t>
      </w:r>
    </w:p>
    <w:p w:rsidR="00D85CA0" w:rsidRPr="00D85CA0" w:rsidRDefault="00D85CA0" w:rsidP="00D85CA0">
      <w:pPr>
        <w:numPr>
          <w:ilvl w:val="0"/>
          <w:numId w:val="2"/>
        </w:numPr>
        <w:spacing w:before="180" w:after="180" w:line="240" w:lineRule="auto"/>
        <w:ind w:left="1440"/>
        <w:jc w:val="both"/>
        <w:rPr>
          <w:rFonts w:ascii="Verdana" w:eastAsia="Times New Roman" w:hAnsi="Verdana" w:cs="Times New Roman"/>
          <w:sz w:val="20"/>
          <w:szCs w:val="20"/>
        </w:rPr>
      </w:pPr>
      <w:proofErr w:type="gramStart"/>
      <w:r w:rsidRPr="00D85CA0">
        <w:rPr>
          <w:rFonts w:ascii="Verdana" w:eastAsia="Times New Roman" w:hAnsi="Verdana" w:cs="Times New Roman"/>
          <w:sz w:val="20"/>
          <w:szCs w:val="20"/>
        </w:rPr>
        <w:t>that</w:t>
      </w:r>
      <w:proofErr w:type="gramEnd"/>
      <w:r w:rsidRPr="00D85CA0">
        <w:rPr>
          <w:rFonts w:ascii="Verdana" w:eastAsia="Times New Roman" w:hAnsi="Verdana" w:cs="Times New Roman"/>
          <w:sz w:val="20"/>
          <w:szCs w:val="20"/>
        </w:rPr>
        <w:t xml:space="preserve"> the leasing of immovable property falls within the legislative competence of the States and covered as "conveyance" under Indian Stamp Act, 1899. </w:t>
      </w:r>
    </w:p>
    <w:p w:rsidR="00D85CA0" w:rsidRPr="00D85CA0" w:rsidRDefault="00D85CA0" w:rsidP="00D85CA0">
      <w:pPr>
        <w:numPr>
          <w:ilvl w:val="0"/>
          <w:numId w:val="2"/>
        </w:numPr>
        <w:spacing w:before="180" w:after="180" w:line="240" w:lineRule="auto"/>
        <w:ind w:left="1440"/>
        <w:jc w:val="both"/>
        <w:rPr>
          <w:rFonts w:ascii="Verdana" w:eastAsia="Times New Roman" w:hAnsi="Verdana" w:cs="Times New Roman"/>
          <w:sz w:val="20"/>
          <w:szCs w:val="20"/>
        </w:rPr>
      </w:pPr>
      <w:proofErr w:type="gramStart"/>
      <w:r w:rsidRPr="00D85CA0">
        <w:rPr>
          <w:rFonts w:ascii="Verdana" w:eastAsia="Times New Roman" w:hAnsi="Verdana" w:cs="Times New Roman"/>
          <w:sz w:val="20"/>
          <w:szCs w:val="20"/>
        </w:rPr>
        <w:t>that</w:t>
      </w:r>
      <w:proofErr w:type="gramEnd"/>
      <w:r w:rsidRPr="00D85CA0">
        <w:rPr>
          <w:rFonts w:ascii="Verdana" w:eastAsia="Times New Roman" w:hAnsi="Verdana" w:cs="Times New Roman"/>
          <w:sz w:val="20"/>
          <w:szCs w:val="20"/>
        </w:rPr>
        <w:t xml:space="preserve"> such matters fall under Entry 18, 45 and 49 of List II of the Seventh Schedule of the Constitution of India which is the exclusive domain of the State Legislatures. </w:t>
      </w:r>
    </w:p>
    <w:p w:rsidR="00D85CA0" w:rsidRPr="00D85CA0" w:rsidRDefault="00D85CA0" w:rsidP="00D85CA0">
      <w:pPr>
        <w:numPr>
          <w:ilvl w:val="0"/>
          <w:numId w:val="2"/>
        </w:numPr>
        <w:spacing w:before="180" w:after="180" w:line="240" w:lineRule="auto"/>
        <w:ind w:left="1440"/>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that the impugned provisions of levying service tax under Entry 92C of List I of Seventh Schedule of the Constitution of India are </w:t>
      </w:r>
      <w:r w:rsidRPr="00D85CA0">
        <w:rPr>
          <w:rFonts w:ascii="Verdana" w:eastAsia="Times New Roman" w:hAnsi="Verdana" w:cs="Times New Roman"/>
          <w:i/>
          <w:iCs/>
          <w:sz w:val="20"/>
          <w:szCs w:val="20"/>
        </w:rPr>
        <w:t>ultra-</w:t>
      </w:r>
      <w:proofErr w:type="spellStart"/>
      <w:r w:rsidRPr="00D85CA0">
        <w:rPr>
          <w:rFonts w:ascii="Verdana" w:eastAsia="Times New Roman" w:hAnsi="Verdana" w:cs="Times New Roman"/>
          <w:i/>
          <w:iCs/>
          <w:sz w:val="20"/>
          <w:szCs w:val="20"/>
        </w:rPr>
        <w:t>vires</w:t>
      </w:r>
      <w:proofErr w:type="spellEnd"/>
      <w:r w:rsidRPr="00D85CA0">
        <w:rPr>
          <w:rFonts w:ascii="Verdana" w:eastAsia="Times New Roman" w:hAnsi="Verdana" w:cs="Times New Roman"/>
          <w:sz w:val="20"/>
          <w:szCs w:val="20"/>
        </w:rPr>
        <w:t xml:space="preserve"> and liable to be struck down. </w:t>
      </w:r>
    </w:p>
    <w:p w:rsidR="00D85CA0" w:rsidRPr="00D85CA0" w:rsidRDefault="00D85CA0" w:rsidP="00D85CA0">
      <w:pPr>
        <w:numPr>
          <w:ilvl w:val="0"/>
          <w:numId w:val="3"/>
        </w:numPr>
        <w:spacing w:before="100" w:beforeAutospacing="1" w:after="100" w:afterAutospacing="1"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The impugned provision of service tax was challenged in various High Courts of the country. Upon request of the Government,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Supreme Court took over upon itself the Writ Petition filed in various High Courts and directed the Delhi High Court to decide the matter. Before the Delhi High Court in the case known as Home Solution Retail Ltd. &amp; </w:t>
      </w:r>
      <w:proofErr w:type="spellStart"/>
      <w:r w:rsidRPr="00D85CA0">
        <w:rPr>
          <w:rFonts w:ascii="Verdana" w:eastAsia="Times New Roman" w:hAnsi="Verdana" w:cs="Times New Roman"/>
          <w:sz w:val="20"/>
          <w:szCs w:val="20"/>
        </w:rPr>
        <w:t>Otrs</w:t>
      </w:r>
      <w:proofErr w:type="spellEnd"/>
      <w:r w:rsidRPr="00D85CA0">
        <w:rPr>
          <w:rFonts w:ascii="Verdana" w:eastAsia="Times New Roman" w:hAnsi="Verdana" w:cs="Times New Roman"/>
          <w:sz w:val="20"/>
          <w:szCs w:val="20"/>
        </w:rPr>
        <w:t xml:space="preserve">. reported in 2009 (14) STR 433, the challenge was made to the virus of Notification No. 24/2007 – ST dated 22-5-2007 exempting the taxable service of renting of immovable property from so much of service tax </w:t>
      </w:r>
      <w:proofErr w:type="spellStart"/>
      <w:r w:rsidRPr="00D85CA0">
        <w:rPr>
          <w:rFonts w:ascii="Verdana" w:eastAsia="Times New Roman" w:hAnsi="Verdana" w:cs="Times New Roman"/>
          <w:sz w:val="20"/>
          <w:szCs w:val="20"/>
        </w:rPr>
        <w:t>leviable</w:t>
      </w:r>
      <w:proofErr w:type="spellEnd"/>
      <w:r w:rsidRPr="00D85CA0">
        <w:rPr>
          <w:rFonts w:ascii="Verdana" w:eastAsia="Times New Roman" w:hAnsi="Verdana" w:cs="Times New Roman"/>
          <w:sz w:val="20"/>
          <w:szCs w:val="20"/>
        </w:rPr>
        <w:t xml:space="preserve"> thereon as is in excess of service tax calculated on a value which is equivalent to the gross amount charged for renting of such immovable property less tax on such property (property tax). Further, the Ministry of Finance also issued a circular 98/1/2008 – ST dated 4-1-2008 clarifying recovery of service tax on the same assumption that renting of immovable property was itself a taxable service. It was challenged before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that a complete erroneous interpretation of Sec. 65(105)(zzzz) was sought to be given by way of the impugned notification and the circular by assuming that the renting of immovable property was itself a taxable service. It was contended that from the reading of the impugned provision, it appeared that what is subject to tax is a service to be provided "in relation to" renting of immovable property and not the renting of immoveable property, per se. </w:t>
      </w:r>
    </w:p>
    <w:p w:rsidR="00D85CA0" w:rsidRPr="00D85CA0" w:rsidRDefault="00D85CA0" w:rsidP="00D85CA0">
      <w:pPr>
        <w:spacing w:before="100" w:beforeAutospacing="1" w:after="100" w:afterAutospacing="1" w:line="240" w:lineRule="auto"/>
        <w:jc w:val="both"/>
        <w:rPr>
          <w:rFonts w:ascii="Times New Roman" w:eastAsia="Times New Roman" w:hAnsi="Times New Roman" w:cs="Times New Roman"/>
          <w:b/>
          <w:bCs/>
          <w:sz w:val="24"/>
          <w:szCs w:val="24"/>
        </w:rPr>
      </w:pPr>
      <w:proofErr w:type="gramStart"/>
      <w:r w:rsidRPr="00D85CA0">
        <w:rPr>
          <w:rFonts w:ascii="Verdana" w:eastAsia="Times New Roman" w:hAnsi="Verdana" w:cs="Times New Roman"/>
          <w:b/>
          <w:bCs/>
          <w:sz w:val="20"/>
          <w:szCs w:val="20"/>
        </w:rPr>
        <w:lastRenderedPageBreak/>
        <w:t>Delhi High Court in case of Home Solution Retail Ltd &amp; Others.</w:t>
      </w:r>
      <w:proofErr w:type="gramEnd"/>
    </w:p>
    <w:p w:rsidR="00D85CA0" w:rsidRPr="00D85CA0" w:rsidRDefault="00D85CA0" w:rsidP="00D85CA0">
      <w:pPr>
        <w:numPr>
          <w:ilvl w:val="0"/>
          <w:numId w:val="4"/>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held that Sec. 65(105)(zzzz) did not in terms entail that renting of immovable property for use in the course of furtherance of business or commerce would itself constitute a taxable service and </w:t>
      </w:r>
      <w:proofErr w:type="spellStart"/>
      <w:r w:rsidRPr="00D85CA0">
        <w:rPr>
          <w:rFonts w:ascii="Verdana" w:eastAsia="Times New Roman" w:hAnsi="Verdana" w:cs="Times New Roman"/>
          <w:sz w:val="20"/>
          <w:szCs w:val="20"/>
        </w:rPr>
        <w:t>exigible</w:t>
      </w:r>
      <w:proofErr w:type="spellEnd"/>
      <w:r w:rsidRPr="00D85CA0">
        <w:rPr>
          <w:rFonts w:ascii="Verdana" w:eastAsia="Times New Roman" w:hAnsi="Verdana" w:cs="Times New Roman"/>
          <w:sz w:val="20"/>
          <w:szCs w:val="20"/>
        </w:rPr>
        <w:t xml:space="preserve"> to service tax. However, if there is some service, such as air conditioning service provided </w:t>
      </w:r>
      <w:proofErr w:type="spellStart"/>
      <w:r w:rsidRPr="00D85CA0">
        <w:rPr>
          <w:rFonts w:ascii="Verdana" w:eastAsia="Times New Roman" w:hAnsi="Verdana" w:cs="Times New Roman"/>
          <w:sz w:val="20"/>
          <w:szCs w:val="20"/>
        </w:rPr>
        <w:t>alongwith</w:t>
      </w:r>
      <w:proofErr w:type="spellEnd"/>
      <w:r w:rsidRPr="00D85CA0">
        <w:rPr>
          <w:rFonts w:ascii="Verdana" w:eastAsia="Times New Roman" w:hAnsi="Verdana" w:cs="Times New Roman"/>
          <w:sz w:val="20"/>
          <w:szCs w:val="20"/>
        </w:rPr>
        <w:t xml:space="preserve"> the renting of immovable property, then it would fall within the mischief of the impugned provision The decision of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was mainly based on the term "in relation to" used in the definition that any service in relation to renting of immovable property would only be liable to tax. Further, as held by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Supreme Court in case of All India Federation of Tax Practitioners (2007 – TIOL – 149 – SC – ST) that service tax was a value added tax and in case of renting of immovable property, no value addition was discernable. However,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refrained to take any view on the constitutionality of the provision levying service tax on renting of immovable property. </w:t>
      </w:r>
    </w:p>
    <w:p w:rsidR="00D85CA0" w:rsidRPr="00D85CA0" w:rsidRDefault="00D85CA0" w:rsidP="00D85CA0">
      <w:pPr>
        <w:numPr>
          <w:ilvl w:val="0"/>
          <w:numId w:val="4"/>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This decision of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was challenged by the Revenue before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Supreme Court which refused to grant a stay on operation of the decision of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(reported in 2009 (15 STR J23)). </w:t>
      </w:r>
    </w:p>
    <w:p w:rsidR="00D85CA0" w:rsidRPr="00D85CA0" w:rsidRDefault="00D85CA0" w:rsidP="00D85CA0">
      <w:pPr>
        <w:numPr>
          <w:ilvl w:val="0"/>
          <w:numId w:val="4"/>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Subsequent to the decision of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Ministry of Finance issued instruction Letter F. No 336/10/2009 – TRU dated 15-7-2009 that since the department had filed appeal against the said order and the dispute had not reached the finality, the field formations through out the country, should take necessary actions to safeguard the Revenue by either pursuing the tax-payer to pay the service tax due or resort to means under the law to protect the Revenue. </w:t>
      </w:r>
    </w:p>
    <w:p w:rsidR="00D85CA0" w:rsidRPr="00D85CA0" w:rsidRDefault="00D85CA0" w:rsidP="00D85CA0">
      <w:pPr>
        <w:numPr>
          <w:ilvl w:val="0"/>
          <w:numId w:val="4"/>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Agitated by such instruction </w:t>
      </w:r>
      <w:proofErr w:type="spellStart"/>
      <w:r w:rsidRPr="00D85CA0">
        <w:rPr>
          <w:rFonts w:ascii="Verdana" w:eastAsia="Times New Roman" w:hAnsi="Verdana" w:cs="Times New Roman"/>
          <w:sz w:val="20"/>
          <w:szCs w:val="20"/>
        </w:rPr>
        <w:t>inspite</w:t>
      </w:r>
      <w:proofErr w:type="spellEnd"/>
      <w:r w:rsidRPr="00D85CA0">
        <w:rPr>
          <w:rFonts w:ascii="Verdana" w:eastAsia="Times New Roman" w:hAnsi="Verdana" w:cs="Times New Roman"/>
          <w:sz w:val="20"/>
          <w:szCs w:val="20"/>
        </w:rPr>
        <w:t xml:space="preserve"> of the decision of Delhi High Court </w:t>
      </w:r>
      <w:proofErr w:type="spellStart"/>
      <w:r w:rsidRPr="00D85CA0">
        <w:rPr>
          <w:rFonts w:ascii="Verdana" w:eastAsia="Times New Roman" w:hAnsi="Verdana" w:cs="Times New Roman"/>
          <w:sz w:val="20"/>
          <w:szCs w:val="20"/>
        </w:rPr>
        <w:t>favouring</w:t>
      </w:r>
      <w:proofErr w:type="spellEnd"/>
      <w:r w:rsidRPr="00D85CA0">
        <w:rPr>
          <w:rFonts w:ascii="Verdana" w:eastAsia="Times New Roman" w:hAnsi="Verdana" w:cs="Times New Roman"/>
          <w:sz w:val="20"/>
          <w:szCs w:val="20"/>
        </w:rPr>
        <w:t xml:space="preserve"> the </w:t>
      </w:r>
      <w:proofErr w:type="spellStart"/>
      <w:r w:rsidRPr="00D85CA0">
        <w:rPr>
          <w:rFonts w:ascii="Verdana" w:eastAsia="Times New Roman" w:hAnsi="Verdana" w:cs="Times New Roman"/>
          <w:sz w:val="20"/>
          <w:szCs w:val="20"/>
        </w:rPr>
        <w:t>assesse</w:t>
      </w:r>
      <w:proofErr w:type="spellEnd"/>
      <w:r w:rsidRPr="00D85CA0">
        <w:rPr>
          <w:rFonts w:ascii="Verdana" w:eastAsia="Times New Roman" w:hAnsi="Verdana" w:cs="Times New Roman"/>
          <w:sz w:val="20"/>
          <w:szCs w:val="20"/>
        </w:rPr>
        <w:t xml:space="preserve">, SSIPL Retail Ltd &amp; </w:t>
      </w:r>
      <w:proofErr w:type="spellStart"/>
      <w:r w:rsidRPr="00D85CA0">
        <w:rPr>
          <w:rFonts w:ascii="Verdana" w:eastAsia="Times New Roman" w:hAnsi="Verdana" w:cs="Times New Roman"/>
          <w:sz w:val="20"/>
          <w:szCs w:val="20"/>
        </w:rPr>
        <w:t>Otrs</w:t>
      </w:r>
      <w:proofErr w:type="spellEnd"/>
      <w:r w:rsidRPr="00D85CA0">
        <w:rPr>
          <w:rFonts w:ascii="Verdana" w:eastAsia="Times New Roman" w:hAnsi="Verdana" w:cs="Times New Roman"/>
          <w:sz w:val="20"/>
          <w:szCs w:val="20"/>
        </w:rPr>
        <w:t xml:space="preserve"> filed Writ Petition reported in 2010-TIOL-84-HC-DEL-ST dated 18-12-2009 in Delhi High Court seeking the direction that the department should not issue such notices pending the SLP with the Supreme Court.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was pleased to direct that the department could not instruct their officers to pursue the matter with taxpayers calling upon them to pay service tax or to resort to other means under the law to protect the revenue, as the manner in which the letters are written clearly indicate that the payment of tax is demanded and threat is also extended that if there is no compliance, department would </w:t>
      </w:r>
      <w:proofErr w:type="spellStart"/>
      <w:r w:rsidRPr="00D85CA0">
        <w:rPr>
          <w:rFonts w:ascii="Verdana" w:eastAsia="Times New Roman" w:hAnsi="Verdana" w:cs="Times New Roman"/>
          <w:sz w:val="20"/>
          <w:szCs w:val="20"/>
        </w:rPr>
        <w:t>iniate</w:t>
      </w:r>
      <w:proofErr w:type="spellEnd"/>
      <w:r w:rsidRPr="00D85CA0">
        <w:rPr>
          <w:rFonts w:ascii="Verdana" w:eastAsia="Times New Roman" w:hAnsi="Verdana" w:cs="Times New Roman"/>
          <w:sz w:val="20"/>
          <w:szCs w:val="20"/>
        </w:rPr>
        <w:t xml:space="preserve"> further necessary action against them. </w:t>
      </w:r>
    </w:p>
    <w:p w:rsidR="00D85CA0" w:rsidRPr="00D85CA0" w:rsidRDefault="00D85CA0" w:rsidP="00D85CA0">
      <w:pPr>
        <w:spacing w:before="100" w:beforeAutospacing="1" w:after="100" w:afterAutospacing="1" w:line="240" w:lineRule="auto"/>
        <w:jc w:val="both"/>
        <w:rPr>
          <w:rFonts w:ascii="Times New Roman" w:eastAsia="Times New Roman" w:hAnsi="Times New Roman" w:cs="Times New Roman"/>
          <w:b/>
          <w:bCs/>
          <w:sz w:val="24"/>
          <w:szCs w:val="24"/>
        </w:rPr>
      </w:pPr>
      <w:r w:rsidRPr="00D85CA0">
        <w:rPr>
          <w:rFonts w:ascii="Verdana" w:eastAsia="Times New Roman" w:hAnsi="Verdana" w:cs="Times New Roman"/>
          <w:b/>
          <w:bCs/>
          <w:sz w:val="20"/>
          <w:szCs w:val="20"/>
        </w:rPr>
        <w:t>Amendment by FA 2010</w:t>
      </w:r>
    </w:p>
    <w:p w:rsidR="00D85CA0" w:rsidRPr="00D85CA0" w:rsidRDefault="00D85CA0" w:rsidP="00D85CA0">
      <w:pPr>
        <w:numPr>
          <w:ilvl w:val="0"/>
          <w:numId w:val="5"/>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To overcome the decision of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the Government amended Sec. 65(105)(zzzz) with retrospective effect from 01.06.2007 by the Finance Act, 2010 and the words "in relation to renting of immovable property" were replaced by the words, "by renting of immovable property or any other service in relation to such renting". That means, by the amendment, the Government sought to provide that renting of immovable property itself is a service. </w:t>
      </w:r>
    </w:p>
    <w:p w:rsidR="00D85CA0" w:rsidRPr="00D85CA0" w:rsidRDefault="00D85CA0" w:rsidP="00D85CA0">
      <w:pPr>
        <w:numPr>
          <w:ilvl w:val="0"/>
          <w:numId w:val="5"/>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The retrospective amendment was challenged by the same Petitioner Home Solution Retail Ltd and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granted an interim stay on recovery of service tax on renting of immovable property from the Petitioner, reported in 2010 (19) STR 3 (Del.). The aforesaid order of Delhi High Court was challenged by the Revenue by way of SLP before the Supreme Court. The Supreme Court after hearing both the sides at length refused to vacate the stay, but directed the Delhi High Court </w:t>
      </w:r>
      <w:r w:rsidRPr="00D85CA0">
        <w:rPr>
          <w:rFonts w:ascii="Verdana" w:eastAsia="Times New Roman" w:hAnsi="Verdana" w:cs="Times New Roman"/>
          <w:sz w:val="20"/>
          <w:szCs w:val="20"/>
        </w:rPr>
        <w:lastRenderedPageBreak/>
        <w:t xml:space="preserve">to dispose off the matter on the next date of hearing since the pendency of the Writ was causing serious prejudice to the interest of the Petitioner. The Supreme Court has placed the matter for second week of January 2011. It is expected that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would dispose off the matter by then. </w:t>
      </w:r>
    </w:p>
    <w:p w:rsidR="00D85CA0" w:rsidRPr="00D85CA0" w:rsidRDefault="00D85CA0" w:rsidP="00D85CA0">
      <w:pPr>
        <w:numPr>
          <w:ilvl w:val="0"/>
          <w:numId w:val="5"/>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The Andhra Pradesh High Court in case of Trent Ltd v/s UOI 2010 (19) STR 336 has stayed the recovery of the service tax for the past period, in pursuance of retrospective amendment. However, service tax subsequent to 1-4-2010 is payable in this case. Further,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Allahabad High Court in case of </w:t>
      </w:r>
      <w:r w:rsidRPr="00D85CA0">
        <w:rPr>
          <w:rFonts w:ascii="Verdana" w:eastAsia="Times New Roman" w:hAnsi="Verdana" w:cs="Times New Roman"/>
          <w:i/>
          <w:iCs/>
          <w:sz w:val="20"/>
          <w:szCs w:val="20"/>
        </w:rPr>
        <w:t>Orient Craft Ltd vs. UOI</w:t>
      </w:r>
      <w:r w:rsidRPr="00D85CA0">
        <w:rPr>
          <w:rFonts w:ascii="Verdana" w:eastAsia="Times New Roman" w:hAnsi="Verdana" w:cs="Times New Roman"/>
          <w:sz w:val="20"/>
          <w:szCs w:val="20"/>
        </w:rPr>
        <w:t xml:space="preserve"> has refused to stay the prospective operation of the service tax on renting of immovable property. It is also understood that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Karnataka High Court has given blanket stay in respect of the Writ filed before it. </w:t>
      </w:r>
    </w:p>
    <w:p w:rsidR="00D85CA0" w:rsidRPr="00D85CA0" w:rsidRDefault="00D85CA0" w:rsidP="00D85CA0">
      <w:pPr>
        <w:spacing w:before="100" w:beforeAutospacing="1" w:after="100" w:afterAutospacing="1" w:line="240" w:lineRule="auto"/>
        <w:jc w:val="both"/>
        <w:rPr>
          <w:rFonts w:ascii="Times New Roman" w:eastAsia="Times New Roman" w:hAnsi="Times New Roman" w:cs="Times New Roman"/>
          <w:b/>
          <w:bCs/>
          <w:sz w:val="24"/>
          <w:szCs w:val="24"/>
        </w:rPr>
      </w:pPr>
      <w:r w:rsidRPr="00D85CA0">
        <w:rPr>
          <w:rFonts w:ascii="Verdana" w:eastAsia="Times New Roman" w:hAnsi="Verdana" w:cs="Times New Roman"/>
          <w:b/>
          <w:bCs/>
          <w:sz w:val="20"/>
          <w:szCs w:val="20"/>
        </w:rPr>
        <w:t xml:space="preserve">The decision of Punjab &amp; Haryana High Court in case of </w:t>
      </w:r>
      <w:proofErr w:type="spellStart"/>
      <w:r w:rsidRPr="00D85CA0">
        <w:rPr>
          <w:rFonts w:ascii="Verdana" w:eastAsia="Times New Roman" w:hAnsi="Verdana" w:cs="Times New Roman"/>
          <w:b/>
          <w:bCs/>
          <w:sz w:val="20"/>
          <w:szCs w:val="20"/>
        </w:rPr>
        <w:t>Shubh</w:t>
      </w:r>
      <w:proofErr w:type="spellEnd"/>
      <w:r w:rsidRPr="00D85CA0">
        <w:rPr>
          <w:rFonts w:ascii="Verdana" w:eastAsia="Times New Roman" w:hAnsi="Verdana" w:cs="Times New Roman"/>
          <w:b/>
          <w:bCs/>
          <w:sz w:val="20"/>
          <w:szCs w:val="20"/>
        </w:rPr>
        <w:t xml:space="preserve"> </w:t>
      </w:r>
      <w:proofErr w:type="spellStart"/>
      <w:r w:rsidRPr="00D85CA0">
        <w:rPr>
          <w:rFonts w:ascii="Verdana" w:eastAsia="Times New Roman" w:hAnsi="Verdana" w:cs="Times New Roman"/>
          <w:b/>
          <w:bCs/>
          <w:sz w:val="20"/>
          <w:szCs w:val="20"/>
        </w:rPr>
        <w:t>Timb</w:t>
      </w:r>
      <w:proofErr w:type="spellEnd"/>
      <w:r w:rsidRPr="00D85CA0">
        <w:rPr>
          <w:rFonts w:ascii="Verdana" w:eastAsia="Times New Roman" w:hAnsi="Verdana" w:cs="Times New Roman"/>
          <w:b/>
          <w:bCs/>
          <w:sz w:val="20"/>
          <w:szCs w:val="20"/>
        </w:rPr>
        <w:t xml:space="preserve"> Steels Ltd.</w:t>
      </w:r>
    </w:p>
    <w:p w:rsidR="00D85CA0" w:rsidRPr="00D85CA0" w:rsidRDefault="00D85CA0" w:rsidP="00D85CA0">
      <w:pPr>
        <w:numPr>
          <w:ilvl w:val="0"/>
          <w:numId w:val="6"/>
        </w:numPr>
        <w:spacing w:before="100" w:beforeAutospacing="1" w:after="100" w:afterAutospacing="1"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Meanwhile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Punjab &amp; Haryana High Court in case of </w:t>
      </w:r>
      <w:proofErr w:type="spellStart"/>
      <w:r w:rsidRPr="00D85CA0">
        <w:rPr>
          <w:rFonts w:ascii="Verdana" w:eastAsia="Times New Roman" w:hAnsi="Verdana" w:cs="Times New Roman"/>
          <w:i/>
          <w:iCs/>
          <w:sz w:val="20"/>
          <w:szCs w:val="20"/>
        </w:rPr>
        <w:t>Shubh</w:t>
      </w:r>
      <w:proofErr w:type="spellEnd"/>
      <w:r w:rsidRPr="00D85CA0">
        <w:rPr>
          <w:rFonts w:ascii="Verdana" w:eastAsia="Times New Roman" w:hAnsi="Verdana" w:cs="Times New Roman"/>
          <w:i/>
          <w:iCs/>
          <w:sz w:val="20"/>
          <w:szCs w:val="20"/>
        </w:rPr>
        <w:t xml:space="preserve"> </w:t>
      </w:r>
      <w:proofErr w:type="spellStart"/>
      <w:r w:rsidRPr="00D85CA0">
        <w:rPr>
          <w:rFonts w:ascii="Verdana" w:eastAsia="Times New Roman" w:hAnsi="Verdana" w:cs="Times New Roman"/>
          <w:i/>
          <w:iCs/>
          <w:sz w:val="20"/>
          <w:szCs w:val="20"/>
        </w:rPr>
        <w:t>Timb</w:t>
      </w:r>
      <w:proofErr w:type="spellEnd"/>
      <w:r w:rsidRPr="00D85CA0">
        <w:rPr>
          <w:rFonts w:ascii="Verdana" w:eastAsia="Times New Roman" w:hAnsi="Verdana" w:cs="Times New Roman"/>
          <w:i/>
          <w:iCs/>
          <w:sz w:val="20"/>
          <w:szCs w:val="20"/>
        </w:rPr>
        <w:t xml:space="preserve"> Steels Ltd vs. UOI reported in 2010 – TIOL - 765 – HC – P&amp;H – ST,</w:t>
      </w:r>
      <w:r w:rsidRPr="00D85CA0">
        <w:rPr>
          <w:rFonts w:ascii="Verdana" w:eastAsia="Times New Roman" w:hAnsi="Verdana" w:cs="Times New Roman"/>
          <w:sz w:val="20"/>
          <w:szCs w:val="20"/>
        </w:rPr>
        <w:t xml:space="preserve"> has pronounced the decision without considering the conflicting decisions of various High Courts and the direction of the Apex Court to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to expedite the matter. In fact, none of the above decisions were cited before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Punjab &amp; Haryana High Court. </w:t>
      </w:r>
    </w:p>
    <w:p w:rsidR="00D85CA0" w:rsidRPr="00D85CA0" w:rsidRDefault="00D85CA0" w:rsidP="00D85CA0">
      <w:pPr>
        <w:spacing w:before="100" w:beforeAutospacing="1" w:after="100" w:afterAutospacing="1" w:line="240" w:lineRule="auto"/>
        <w:jc w:val="both"/>
        <w:rPr>
          <w:rFonts w:ascii="Times New Roman" w:eastAsia="Times New Roman" w:hAnsi="Times New Roman" w:cs="Times New Roman"/>
          <w:b/>
          <w:bCs/>
          <w:sz w:val="24"/>
          <w:szCs w:val="24"/>
        </w:rPr>
      </w:pPr>
      <w:r w:rsidRPr="00D85CA0">
        <w:rPr>
          <w:rFonts w:ascii="Verdana" w:eastAsia="Times New Roman" w:hAnsi="Verdana" w:cs="Times New Roman"/>
          <w:b/>
          <w:bCs/>
          <w:sz w:val="20"/>
          <w:szCs w:val="20"/>
        </w:rPr>
        <w:t xml:space="preserve">Submissions before the </w:t>
      </w:r>
      <w:proofErr w:type="spellStart"/>
      <w:r w:rsidRPr="00D85CA0">
        <w:rPr>
          <w:rFonts w:ascii="Verdana" w:eastAsia="Times New Roman" w:hAnsi="Verdana" w:cs="Times New Roman"/>
          <w:b/>
          <w:bCs/>
          <w:sz w:val="20"/>
          <w:szCs w:val="20"/>
        </w:rPr>
        <w:t>Hon’ble</w:t>
      </w:r>
      <w:proofErr w:type="spellEnd"/>
      <w:r w:rsidRPr="00D85CA0">
        <w:rPr>
          <w:rFonts w:ascii="Verdana" w:eastAsia="Times New Roman" w:hAnsi="Verdana" w:cs="Times New Roman"/>
          <w:b/>
          <w:bCs/>
          <w:sz w:val="20"/>
          <w:szCs w:val="20"/>
        </w:rPr>
        <w:t xml:space="preserve"> Punjab &amp; Haryana High Court on behalf of the Revenue </w:t>
      </w:r>
    </w:p>
    <w:p w:rsidR="00D85CA0" w:rsidRPr="00D85CA0" w:rsidRDefault="00D85CA0" w:rsidP="00D85CA0">
      <w:pPr>
        <w:numPr>
          <w:ilvl w:val="0"/>
          <w:numId w:val="7"/>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The Revenue argued that service tax was on consideration received for allowing use of the premises. That the renting of property was different from transfer of property or conveyance. Providing of service with respect to property was covered by service tax. Other similar transactions of service in relation to property were service of </w:t>
      </w:r>
      <w:proofErr w:type="spellStart"/>
      <w:r w:rsidRPr="00D85CA0">
        <w:rPr>
          <w:rFonts w:ascii="Verdana" w:eastAsia="Times New Roman" w:hAnsi="Verdana" w:cs="Times New Roman"/>
          <w:sz w:val="20"/>
          <w:szCs w:val="20"/>
        </w:rPr>
        <w:t>Mandap</w:t>
      </w:r>
      <w:proofErr w:type="spellEnd"/>
      <w:r w:rsidRPr="00D85CA0">
        <w:rPr>
          <w:rFonts w:ascii="Verdana" w:eastAsia="Times New Roman" w:hAnsi="Verdana" w:cs="Times New Roman"/>
          <w:sz w:val="20"/>
          <w:szCs w:val="20"/>
        </w:rPr>
        <w:t xml:space="preserve"> Keepers [Section 65(105) (m)], </w:t>
      </w:r>
      <w:proofErr w:type="spellStart"/>
      <w:r w:rsidRPr="00D85CA0">
        <w:rPr>
          <w:rFonts w:ascii="Verdana" w:eastAsia="Times New Roman" w:hAnsi="Verdana" w:cs="Times New Roman"/>
          <w:sz w:val="20"/>
          <w:szCs w:val="20"/>
        </w:rPr>
        <w:t>Pandal</w:t>
      </w:r>
      <w:proofErr w:type="spellEnd"/>
      <w:r w:rsidRPr="00D85CA0">
        <w:rPr>
          <w:rFonts w:ascii="Verdana" w:eastAsia="Times New Roman" w:hAnsi="Verdana" w:cs="Times New Roman"/>
          <w:sz w:val="20"/>
          <w:szCs w:val="20"/>
        </w:rPr>
        <w:t xml:space="preserve"> </w:t>
      </w:r>
      <w:proofErr w:type="spellStart"/>
      <w:r w:rsidRPr="00D85CA0">
        <w:rPr>
          <w:rFonts w:ascii="Verdana" w:eastAsia="Times New Roman" w:hAnsi="Verdana" w:cs="Times New Roman"/>
          <w:sz w:val="20"/>
          <w:szCs w:val="20"/>
        </w:rPr>
        <w:t>Shamiana</w:t>
      </w:r>
      <w:proofErr w:type="spellEnd"/>
      <w:r w:rsidRPr="00D85CA0">
        <w:rPr>
          <w:rFonts w:ascii="Verdana" w:eastAsia="Times New Roman" w:hAnsi="Verdana" w:cs="Times New Roman"/>
          <w:sz w:val="20"/>
          <w:szCs w:val="20"/>
        </w:rPr>
        <w:t xml:space="preserve"> [Section 65 (105) (</w:t>
      </w:r>
      <w:proofErr w:type="spellStart"/>
      <w:r w:rsidRPr="00D85CA0">
        <w:rPr>
          <w:rFonts w:ascii="Verdana" w:eastAsia="Times New Roman" w:hAnsi="Verdana" w:cs="Times New Roman"/>
          <w:sz w:val="20"/>
          <w:szCs w:val="20"/>
        </w:rPr>
        <w:t>zzw</w:t>
      </w:r>
      <w:proofErr w:type="spellEnd"/>
      <w:r w:rsidRPr="00D85CA0">
        <w:rPr>
          <w:rFonts w:ascii="Verdana" w:eastAsia="Times New Roman" w:hAnsi="Verdana" w:cs="Times New Roman"/>
          <w:sz w:val="20"/>
          <w:szCs w:val="20"/>
        </w:rPr>
        <w:t>)], Convention Service [Section 65 (105) (</w:t>
      </w:r>
      <w:proofErr w:type="spellStart"/>
      <w:proofErr w:type="gramStart"/>
      <w:r w:rsidRPr="00D85CA0">
        <w:rPr>
          <w:rFonts w:ascii="Verdana" w:eastAsia="Times New Roman" w:hAnsi="Verdana" w:cs="Times New Roman"/>
          <w:sz w:val="20"/>
          <w:szCs w:val="20"/>
        </w:rPr>
        <w:t>zc</w:t>
      </w:r>
      <w:proofErr w:type="spellEnd"/>
      <w:proofErr w:type="gramEnd"/>
      <w:r w:rsidRPr="00D85CA0">
        <w:rPr>
          <w:rFonts w:ascii="Verdana" w:eastAsia="Times New Roman" w:hAnsi="Verdana" w:cs="Times New Roman"/>
          <w:sz w:val="20"/>
          <w:szCs w:val="20"/>
        </w:rPr>
        <w:t>)], Right to use properties for business purposes under business support service [Section 65 (105) (</w:t>
      </w:r>
      <w:proofErr w:type="spellStart"/>
      <w:r w:rsidRPr="00D85CA0">
        <w:rPr>
          <w:rFonts w:ascii="Verdana" w:eastAsia="Times New Roman" w:hAnsi="Verdana" w:cs="Times New Roman"/>
          <w:sz w:val="20"/>
          <w:szCs w:val="20"/>
        </w:rPr>
        <w:t>zzzq</w:t>
      </w:r>
      <w:proofErr w:type="spellEnd"/>
      <w:r w:rsidRPr="00D85CA0">
        <w:rPr>
          <w:rFonts w:ascii="Verdana" w:eastAsia="Times New Roman" w:hAnsi="Verdana" w:cs="Times New Roman"/>
          <w:sz w:val="20"/>
          <w:szCs w:val="20"/>
        </w:rPr>
        <w:t xml:space="preserve">)]. The levy was not covered under Entry 18 not being tax on land or building but only on service element. The tax was connected with land or building but was not on land or building. The levy was also not covered under Entry 45 being not land revenue. Further, scope of Entry 49 List II was limited to direct tax on the property and not on any activity in relation to property. In any case, Entry 49 List II had to be read subject to Entries 92C and 97 of List I. Under Article 246(1), Parliament had exclusive power to make laws in respect of matters covered under List I including residue entry. </w:t>
      </w:r>
    </w:p>
    <w:p w:rsidR="00D85CA0" w:rsidRPr="00D85CA0" w:rsidRDefault="00D85CA0" w:rsidP="00D85CA0">
      <w:pPr>
        <w:numPr>
          <w:ilvl w:val="0"/>
          <w:numId w:val="7"/>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It was also submitted that judgment of Delhi High Court did not involve the issue of validity of the levy and only involved question of validity of notification and circular to recover service tax from the </w:t>
      </w:r>
      <w:proofErr w:type="spellStart"/>
      <w:r w:rsidRPr="00D85CA0">
        <w:rPr>
          <w:rFonts w:ascii="Verdana" w:eastAsia="Times New Roman" w:hAnsi="Verdana" w:cs="Times New Roman"/>
          <w:sz w:val="20"/>
          <w:szCs w:val="20"/>
        </w:rPr>
        <w:t>lessors</w:t>
      </w:r>
      <w:proofErr w:type="spellEnd"/>
      <w:r w:rsidRPr="00D85CA0">
        <w:rPr>
          <w:rFonts w:ascii="Verdana" w:eastAsia="Times New Roman" w:hAnsi="Verdana" w:cs="Times New Roman"/>
          <w:sz w:val="20"/>
          <w:szCs w:val="20"/>
        </w:rPr>
        <w:t xml:space="preserve"> of property on the proceeds of renting out of property. After the said judgment, by way of amendment, instead of service in relation to renting of immovable property, the legislature has substituted expression of providing service "of renting of immovable property." After the amendment, renting of immovable property itself was a service covered by the definition of taxable service. Levy of tax on property did not exclude levy of tax on service in relation to property. A tax on one aspect of subject matter did not exclude tax on another aspect of the same subject matter. In view of this settled legal position, there was no conflict in tax covered by Entry 49 List II and tax covered by Entry 97/92C of List I. </w:t>
      </w:r>
    </w:p>
    <w:p w:rsidR="00D85CA0" w:rsidRPr="00D85CA0" w:rsidRDefault="00D85CA0" w:rsidP="00D85CA0">
      <w:pPr>
        <w:spacing w:before="100" w:beforeAutospacing="1" w:after="100" w:afterAutospacing="1" w:line="240" w:lineRule="auto"/>
        <w:jc w:val="both"/>
        <w:rPr>
          <w:rFonts w:ascii="Times New Roman" w:eastAsia="Times New Roman" w:hAnsi="Times New Roman" w:cs="Times New Roman"/>
          <w:b/>
          <w:bCs/>
          <w:sz w:val="24"/>
          <w:szCs w:val="24"/>
        </w:rPr>
      </w:pPr>
      <w:r w:rsidRPr="00D85CA0">
        <w:rPr>
          <w:rFonts w:ascii="Verdana" w:eastAsia="Times New Roman" w:hAnsi="Verdana" w:cs="Times New Roman"/>
          <w:b/>
          <w:bCs/>
          <w:sz w:val="20"/>
          <w:szCs w:val="20"/>
        </w:rPr>
        <w:lastRenderedPageBreak/>
        <w:t xml:space="preserve">Submissions on behalf of the Petitioners </w:t>
      </w:r>
    </w:p>
    <w:p w:rsidR="00D85CA0" w:rsidRPr="00D85CA0" w:rsidRDefault="00D85CA0" w:rsidP="00D85CA0">
      <w:pPr>
        <w:numPr>
          <w:ilvl w:val="0"/>
          <w:numId w:val="8"/>
        </w:numPr>
        <w:spacing w:before="100" w:beforeAutospacing="1" w:after="100" w:afterAutospacing="1"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The Petitioners argued all the grounds taken up before the Delhi High Court and sought to take support from the </w:t>
      </w:r>
      <w:proofErr w:type="spellStart"/>
      <w:r w:rsidRPr="00D85CA0">
        <w:rPr>
          <w:rFonts w:ascii="Verdana" w:eastAsia="Times New Roman" w:hAnsi="Verdana" w:cs="Times New Roman"/>
          <w:sz w:val="20"/>
          <w:szCs w:val="20"/>
        </w:rPr>
        <w:t>judgement</w:t>
      </w:r>
      <w:proofErr w:type="spellEnd"/>
      <w:r w:rsidRPr="00D85CA0">
        <w:rPr>
          <w:rFonts w:ascii="Verdana" w:eastAsia="Times New Roman" w:hAnsi="Verdana" w:cs="Times New Roman"/>
          <w:sz w:val="20"/>
          <w:szCs w:val="20"/>
        </w:rPr>
        <w:t xml:space="preserve"> of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in case of Home Solution Retail Ltd &amp; Others. They also argued against the retrospective amendments by the Finance Act, 2010. It was argued that transfer of property without any value addition by way of service could not be covered by the levy of service tax. </w:t>
      </w:r>
    </w:p>
    <w:p w:rsidR="00D85CA0" w:rsidRPr="00D85CA0" w:rsidRDefault="00D85CA0" w:rsidP="00D85CA0">
      <w:pPr>
        <w:spacing w:before="100" w:beforeAutospacing="1" w:after="100" w:afterAutospacing="1" w:line="240" w:lineRule="auto"/>
        <w:jc w:val="both"/>
        <w:rPr>
          <w:rFonts w:ascii="Times New Roman" w:eastAsia="Times New Roman" w:hAnsi="Times New Roman" w:cs="Times New Roman"/>
          <w:b/>
          <w:bCs/>
          <w:sz w:val="24"/>
          <w:szCs w:val="24"/>
        </w:rPr>
      </w:pPr>
      <w:r w:rsidRPr="00D85CA0">
        <w:rPr>
          <w:rFonts w:ascii="Verdana" w:eastAsia="Times New Roman" w:hAnsi="Verdana" w:cs="Times New Roman"/>
          <w:b/>
          <w:bCs/>
          <w:sz w:val="20"/>
          <w:szCs w:val="20"/>
        </w:rPr>
        <w:t xml:space="preserve">Observations of the </w:t>
      </w:r>
      <w:proofErr w:type="spellStart"/>
      <w:r w:rsidRPr="00D85CA0">
        <w:rPr>
          <w:rFonts w:ascii="Verdana" w:eastAsia="Times New Roman" w:hAnsi="Verdana" w:cs="Times New Roman"/>
          <w:b/>
          <w:bCs/>
          <w:sz w:val="20"/>
          <w:szCs w:val="20"/>
        </w:rPr>
        <w:t>Hon’ble</w:t>
      </w:r>
      <w:proofErr w:type="spellEnd"/>
      <w:r w:rsidRPr="00D85CA0">
        <w:rPr>
          <w:rFonts w:ascii="Verdana" w:eastAsia="Times New Roman" w:hAnsi="Verdana" w:cs="Times New Roman"/>
          <w:b/>
          <w:bCs/>
          <w:sz w:val="20"/>
          <w:szCs w:val="20"/>
        </w:rPr>
        <w:t xml:space="preserve"> Punjab &amp; Haryana High Court </w:t>
      </w:r>
    </w:p>
    <w:p w:rsidR="00D85CA0" w:rsidRPr="00D85CA0" w:rsidRDefault="00D85CA0" w:rsidP="00D85CA0">
      <w:pPr>
        <w:numPr>
          <w:ilvl w:val="0"/>
          <w:numId w:val="9"/>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The High Court elaborately considered the constitutional provisions relating to legislative competence of the Parliament and the State Legislatures. It further considered several </w:t>
      </w:r>
      <w:proofErr w:type="spellStart"/>
      <w:r w:rsidRPr="00D85CA0">
        <w:rPr>
          <w:rFonts w:ascii="Verdana" w:eastAsia="Times New Roman" w:hAnsi="Verdana" w:cs="Times New Roman"/>
          <w:sz w:val="20"/>
          <w:szCs w:val="20"/>
        </w:rPr>
        <w:t>judgements</w:t>
      </w:r>
      <w:proofErr w:type="spellEnd"/>
      <w:r w:rsidRPr="00D85CA0">
        <w:rPr>
          <w:rFonts w:ascii="Verdana" w:eastAsia="Times New Roman" w:hAnsi="Verdana" w:cs="Times New Roman"/>
          <w:sz w:val="20"/>
          <w:szCs w:val="20"/>
        </w:rPr>
        <w:t xml:space="preserve"> on taxation principles and "aspect theory". </w:t>
      </w:r>
    </w:p>
    <w:p w:rsidR="00D85CA0" w:rsidRPr="00D85CA0" w:rsidRDefault="00D85CA0" w:rsidP="00D85CA0">
      <w:pPr>
        <w:numPr>
          <w:ilvl w:val="0"/>
          <w:numId w:val="9"/>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Service Tax is destination based consumption tax being not a charge on business but on consumer and is </w:t>
      </w:r>
      <w:proofErr w:type="spellStart"/>
      <w:r w:rsidRPr="00D85CA0">
        <w:rPr>
          <w:rFonts w:ascii="Verdana" w:eastAsia="Times New Roman" w:hAnsi="Verdana" w:cs="Times New Roman"/>
          <w:sz w:val="20"/>
          <w:szCs w:val="20"/>
        </w:rPr>
        <w:t>leviable</w:t>
      </w:r>
      <w:proofErr w:type="spellEnd"/>
      <w:r w:rsidRPr="00D85CA0">
        <w:rPr>
          <w:rFonts w:ascii="Verdana" w:eastAsia="Times New Roman" w:hAnsi="Verdana" w:cs="Times New Roman"/>
          <w:sz w:val="20"/>
          <w:szCs w:val="20"/>
        </w:rPr>
        <w:t xml:space="preserve"> on service provided. It is, thus, value added tax. The services may be property based or performance based. </w:t>
      </w:r>
    </w:p>
    <w:p w:rsidR="00D85CA0" w:rsidRPr="00D85CA0" w:rsidRDefault="00D85CA0" w:rsidP="00D85CA0">
      <w:pPr>
        <w:numPr>
          <w:ilvl w:val="0"/>
          <w:numId w:val="9"/>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As per scheme under the Constitution, subject of tax falling in power of a particular legislature in one aspect may fall within legislative power of another, in other aspect. Such overlapping is unavoidable. Same transaction may involve two or more events in different aspects. There is distinction between general subjects of legislation and taxation. The entries have to receive liberal construction. If there is any overlapping, doctrine of pith and substance is to be applied and the Court has to look at the substance of the matter. List I has priority over List II though predominance of List I does not prevent State Legislature from dealing matters under List II. </w:t>
      </w:r>
    </w:p>
    <w:p w:rsidR="00D85CA0" w:rsidRPr="00D85CA0" w:rsidRDefault="00D85CA0" w:rsidP="00D85CA0">
      <w:pPr>
        <w:numPr>
          <w:ilvl w:val="0"/>
          <w:numId w:val="9"/>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Entry 49 of List II relates to tax on land and building and not any activity relating thereto. Income tax on income from property, wealth tax on capital value of assets including land and building and gift tax on gift of land and building have been upheld. It cannot be held that renting of property did not involve any service as service could only be in relation to property and not by renting of property. Renting of property for commercial purposes is certainly a service and has value for the service receiver. Moreover, the aspect of service element in renting transaction is certainly an independent aspect covered under Entry 92C read with Entry 97 of List I. In any case, subject matter of impugned levy being outside the scope of entry 49 of List II, power of Union Legislature is undoubted. Question whether levy will be harsh being in addition to income tax and property tax is not a matter for this Court once there is legislative competence for the levy. Even if it is held that transaction of transfer of right in immovable property did not involve value addition, the provision cannot be held to be void in absence of encroachment on List II. </w:t>
      </w:r>
    </w:p>
    <w:p w:rsidR="00D85CA0" w:rsidRPr="00D85CA0" w:rsidRDefault="00D85CA0" w:rsidP="00D85CA0">
      <w:pPr>
        <w:numPr>
          <w:ilvl w:val="0"/>
          <w:numId w:val="9"/>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The decision dwells heavily on Tamil Nadu </w:t>
      </w:r>
      <w:proofErr w:type="spellStart"/>
      <w:r w:rsidRPr="00D85CA0">
        <w:rPr>
          <w:rFonts w:ascii="Verdana" w:eastAsia="Times New Roman" w:hAnsi="Verdana" w:cs="Times New Roman"/>
          <w:sz w:val="20"/>
          <w:szCs w:val="20"/>
        </w:rPr>
        <w:t>Kalyana</w:t>
      </w:r>
      <w:proofErr w:type="spellEnd"/>
      <w:r w:rsidRPr="00D85CA0">
        <w:rPr>
          <w:rFonts w:ascii="Verdana" w:eastAsia="Times New Roman" w:hAnsi="Verdana" w:cs="Times New Roman"/>
          <w:sz w:val="20"/>
          <w:szCs w:val="20"/>
        </w:rPr>
        <w:t xml:space="preserve"> </w:t>
      </w:r>
      <w:proofErr w:type="spellStart"/>
      <w:r w:rsidRPr="00D85CA0">
        <w:rPr>
          <w:rFonts w:ascii="Verdana" w:eastAsia="Times New Roman" w:hAnsi="Verdana" w:cs="Times New Roman"/>
          <w:sz w:val="20"/>
          <w:szCs w:val="20"/>
        </w:rPr>
        <w:t>Mandapam</w:t>
      </w:r>
      <w:proofErr w:type="spellEnd"/>
      <w:r w:rsidRPr="00D85CA0">
        <w:rPr>
          <w:rFonts w:ascii="Verdana" w:eastAsia="Times New Roman" w:hAnsi="Verdana" w:cs="Times New Roman"/>
          <w:sz w:val="20"/>
          <w:szCs w:val="20"/>
        </w:rPr>
        <w:t xml:space="preserve"> and All India Federation of Tax Practitioner’s case. In the former case, transfer of immovable property for temporary use coupled with any service including any furniture &amp; fixture, light fittings, floor covering, let-out for consideration for organizing any official social or business function, was held as service. However, in the present case the Punjab &amp; Haryana High Court has held that even a pure leasing or renting of immoveable property for commercial use is liable to tax. This case though relied upon is distinguished that in the present case the court is not concerned with the services rendered by a </w:t>
      </w:r>
      <w:proofErr w:type="spellStart"/>
      <w:r w:rsidRPr="00D85CA0">
        <w:rPr>
          <w:rFonts w:ascii="Verdana" w:eastAsia="Times New Roman" w:hAnsi="Verdana" w:cs="Times New Roman"/>
          <w:sz w:val="20"/>
          <w:szCs w:val="20"/>
        </w:rPr>
        <w:t>mandap</w:t>
      </w:r>
      <w:proofErr w:type="spellEnd"/>
      <w:r w:rsidRPr="00D85CA0">
        <w:rPr>
          <w:rFonts w:ascii="Verdana" w:eastAsia="Times New Roman" w:hAnsi="Verdana" w:cs="Times New Roman"/>
          <w:sz w:val="20"/>
          <w:szCs w:val="20"/>
        </w:rPr>
        <w:t xml:space="preserve"> keeper, who perform, what is called as property </w:t>
      </w:r>
      <w:r w:rsidRPr="00D85CA0">
        <w:rPr>
          <w:rFonts w:ascii="Verdana" w:eastAsia="Times New Roman" w:hAnsi="Verdana" w:cs="Times New Roman"/>
          <w:sz w:val="20"/>
          <w:szCs w:val="20"/>
        </w:rPr>
        <w:lastRenderedPageBreak/>
        <w:t>based service, but it is concerned with performance based service and both the categories fall within the ambit of the word, "services". (</w:t>
      </w:r>
      <w:proofErr w:type="spellStart"/>
      <w:proofErr w:type="gramStart"/>
      <w:r w:rsidRPr="00D85CA0">
        <w:rPr>
          <w:rFonts w:ascii="Verdana" w:eastAsia="Times New Roman" w:hAnsi="Verdana" w:cs="Times New Roman"/>
          <w:sz w:val="20"/>
          <w:szCs w:val="20"/>
        </w:rPr>
        <w:t>para</w:t>
      </w:r>
      <w:proofErr w:type="spellEnd"/>
      <w:proofErr w:type="gramEnd"/>
      <w:r w:rsidRPr="00D85CA0">
        <w:rPr>
          <w:rFonts w:ascii="Verdana" w:eastAsia="Times New Roman" w:hAnsi="Verdana" w:cs="Times New Roman"/>
          <w:sz w:val="20"/>
          <w:szCs w:val="20"/>
        </w:rPr>
        <w:t xml:space="preserve"> 48). </w:t>
      </w:r>
    </w:p>
    <w:p w:rsidR="00D85CA0" w:rsidRPr="00D85CA0" w:rsidRDefault="00D85CA0" w:rsidP="00D85CA0">
      <w:pPr>
        <w:numPr>
          <w:ilvl w:val="0"/>
          <w:numId w:val="9"/>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In case of All India Federation of Tax </w:t>
      </w:r>
      <w:proofErr w:type="spellStart"/>
      <w:r w:rsidRPr="00D85CA0">
        <w:rPr>
          <w:rFonts w:ascii="Verdana" w:eastAsia="Times New Roman" w:hAnsi="Verdana" w:cs="Times New Roman"/>
          <w:sz w:val="20"/>
          <w:szCs w:val="20"/>
        </w:rPr>
        <w:t>Practioners</w:t>
      </w:r>
      <w:proofErr w:type="spellEnd"/>
      <w:r w:rsidRPr="00D85CA0">
        <w:rPr>
          <w:rFonts w:ascii="Verdana" w:eastAsia="Times New Roman" w:hAnsi="Verdana" w:cs="Times New Roman"/>
          <w:sz w:val="20"/>
          <w:szCs w:val="20"/>
        </w:rPr>
        <w:t xml:space="preserve">, the Supreme Court had held that service tax is valued added tax. This fact is recognized by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Punjab &amp; Haryana High Court in </w:t>
      </w:r>
      <w:proofErr w:type="spellStart"/>
      <w:r w:rsidRPr="00D85CA0">
        <w:rPr>
          <w:rFonts w:ascii="Verdana" w:eastAsia="Times New Roman" w:hAnsi="Verdana" w:cs="Times New Roman"/>
          <w:sz w:val="20"/>
          <w:szCs w:val="20"/>
        </w:rPr>
        <w:t>para</w:t>
      </w:r>
      <w:proofErr w:type="spellEnd"/>
      <w:r w:rsidRPr="00D85CA0">
        <w:rPr>
          <w:rFonts w:ascii="Verdana" w:eastAsia="Times New Roman" w:hAnsi="Verdana" w:cs="Times New Roman"/>
          <w:sz w:val="20"/>
          <w:szCs w:val="20"/>
        </w:rPr>
        <w:t xml:space="preserve"> 49.13. It further observed that the services may be property based or performance based. However, the Court has observed that, "even if it is held that the transaction of transfer of right in immovable property did not involve value addition, the provision cannot be held to be void in absence of encroachment on List II". Thus, the court has not effectively addressed to the question raised by the Delhi High Court that in absence of value addition, service tax is not liable. </w:t>
      </w:r>
    </w:p>
    <w:p w:rsidR="00D85CA0" w:rsidRPr="00D85CA0" w:rsidRDefault="00D85CA0" w:rsidP="00D85CA0">
      <w:pPr>
        <w:numPr>
          <w:ilvl w:val="0"/>
          <w:numId w:val="9"/>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As regards to </w:t>
      </w:r>
      <w:proofErr w:type="spellStart"/>
      <w:r w:rsidRPr="00D85CA0">
        <w:rPr>
          <w:rFonts w:ascii="Verdana" w:eastAsia="Times New Roman" w:hAnsi="Verdana" w:cs="Times New Roman"/>
          <w:sz w:val="20"/>
          <w:szCs w:val="20"/>
        </w:rPr>
        <w:t>retrospectivity</w:t>
      </w:r>
      <w:proofErr w:type="spellEnd"/>
      <w:r w:rsidRPr="00D85CA0">
        <w:rPr>
          <w:rFonts w:ascii="Verdana" w:eastAsia="Times New Roman" w:hAnsi="Verdana" w:cs="Times New Roman"/>
          <w:sz w:val="20"/>
          <w:szCs w:val="20"/>
        </w:rPr>
        <w:t xml:space="preserve">, the UOI argued that the amendment was </w:t>
      </w:r>
      <w:proofErr w:type="spellStart"/>
      <w:r w:rsidRPr="00D85CA0">
        <w:rPr>
          <w:rFonts w:ascii="Verdana" w:eastAsia="Times New Roman" w:hAnsi="Verdana" w:cs="Times New Roman"/>
          <w:sz w:val="20"/>
          <w:szCs w:val="20"/>
        </w:rPr>
        <w:t>clarificatory</w:t>
      </w:r>
      <w:proofErr w:type="spellEnd"/>
      <w:r w:rsidRPr="00D85CA0">
        <w:rPr>
          <w:rFonts w:ascii="Verdana" w:eastAsia="Times New Roman" w:hAnsi="Verdana" w:cs="Times New Roman"/>
          <w:sz w:val="20"/>
          <w:szCs w:val="20"/>
        </w:rPr>
        <w:t xml:space="preserve"> and the levy was already provided even under </w:t>
      </w:r>
      <w:proofErr w:type="spellStart"/>
      <w:r w:rsidRPr="00D85CA0">
        <w:rPr>
          <w:rFonts w:ascii="Verdana" w:eastAsia="Times New Roman" w:hAnsi="Verdana" w:cs="Times New Roman"/>
          <w:sz w:val="20"/>
          <w:szCs w:val="20"/>
        </w:rPr>
        <w:t>unamended</w:t>
      </w:r>
      <w:proofErr w:type="spellEnd"/>
      <w:r w:rsidRPr="00D85CA0">
        <w:rPr>
          <w:rFonts w:ascii="Verdana" w:eastAsia="Times New Roman" w:hAnsi="Verdana" w:cs="Times New Roman"/>
          <w:sz w:val="20"/>
          <w:szCs w:val="20"/>
        </w:rPr>
        <w:t xml:space="preserve"> provisions. The object of the amendment was to overcome the </w:t>
      </w:r>
      <w:proofErr w:type="spellStart"/>
      <w:r w:rsidRPr="00D85CA0">
        <w:rPr>
          <w:rFonts w:ascii="Verdana" w:eastAsia="Times New Roman" w:hAnsi="Verdana" w:cs="Times New Roman"/>
          <w:sz w:val="20"/>
          <w:szCs w:val="20"/>
        </w:rPr>
        <w:t>judgement</w:t>
      </w:r>
      <w:proofErr w:type="spellEnd"/>
      <w:r w:rsidRPr="00D85CA0">
        <w:rPr>
          <w:rFonts w:ascii="Verdana" w:eastAsia="Times New Roman" w:hAnsi="Verdana" w:cs="Times New Roman"/>
          <w:sz w:val="20"/>
          <w:szCs w:val="20"/>
        </w:rPr>
        <w:t xml:space="preserve"> of Delhi High Court against which the Appeal was pending before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Supreme Court. </w:t>
      </w:r>
    </w:p>
    <w:p w:rsidR="00D85CA0" w:rsidRPr="00D85CA0" w:rsidRDefault="00D85CA0" w:rsidP="00D85CA0">
      <w:pPr>
        <w:numPr>
          <w:ilvl w:val="0"/>
          <w:numId w:val="9"/>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With due respect to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Punjab &amp; Haryana High Court, the ruling given does not appear to be in consonance with the reasoning given and the observations of the Court or inversely the reasoning of the decision do not lead to the conclusion arrived that the renting of immoveable property is a taxable service and the Parliament is competent to levy tax on the same. </w:t>
      </w:r>
      <w:proofErr w:type="spellStart"/>
      <w:r w:rsidRPr="00D85CA0">
        <w:rPr>
          <w:rFonts w:ascii="Verdana" w:eastAsia="Times New Roman" w:hAnsi="Verdana" w:cs="Times New Roman"/>
          <w:sz w:val="20"/>
          <w:szCs w:val="20"/>
        </w:rPr>
        <w:t>Interalia</w:t>
      </w:r>
      <w:proofErr w:type="spellEnd"/>
      <w:r w:rsidRPr="00D85CA0">
        <w:rPr>
          <w:rFonts w:ascii="Verdana" w:eastAsia="Times New Roman" w:hAnsi="Verdana" w:cs="Times New Roman"/>
          <w:sz w:val="20"/>
          <w:szCs w:val="20"/>
        </w:rPr>
        <w:t xml:space="preserve">, the impugned decision of Punjab &amp; Haryana High Court throws some interesting questions for consideration : </w:t>
      </w:r>
    </w:p>
    <w:p w:rsidR="00D85CA0" w:rsidRPr="00D85CA0" w:rsidRDefault="00D85CA0" w:rsidP="00D85CA0">
      <w:pPr>
        <w:numPr>
          <w:ilvl w:val="0"/>
          <w:numId w:val="10"/>
        </w:numPr>
        <w:spacing w:before="180" w:after="180" w:line="240" w:lineRule="auto"/>
        <w:ind w:left="1440"/>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Can any activity be considered to be a service in absence of any value addition and liable to service </w:t>
      </w:r>
      <w:proofErr w:type="gramStart"/>
      <w:r w:rsidRPr="00D85CA0">
        <w:rPr>
          <w:rFonts w:ascii="Verdana" w:eastAsia="Times New Roman" w:hAnsi="Verdana" w:cs="Times New Roman"/>
          <w:sz w:val="20"/>
          <w:szCs w:val="20"/>
        </w:rPr>
        <w:t>tax ?</w:t>
      </w:r>
      <w:proofErr w:type="gramEnd"/>
      <w:r w:rsidRPr="00D85CA0">
        <w:rPr>
          <w:rFonts w:ascii="Verdana" w:eastAsia="Times New Roman" w:hAnsi="Verdana" w:cs="Times New Roman"/>
          <w:sz w:val="20"/>
          <w:szCs w:val="20"/>
        </w:rPr>
        <w:t xml:space="preserve"> </w:t>
      </w:r>
    </w:p>
    <w:p w:rsidR="00D85CA0" w:rsidRPr="00D85CA0" w:rsidRDefault="00D85CA0" w:rsidP="00D85CA0">
      <w:pPr>
        <w:numPr>
          <w:ilvl w:val="0"/>
          <w:numId w:val="10"/>
        </w:numPr>
        <w:spacing w:before="180" w:after="180" w:line="240" w:lineRule="auto"/>
        <w:ind w:left="1440"/>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Whether a change in the definition resulting into change in characteristic of an activity be regarded as </w:t>
      </w:r>
      <w:proofErr w:type="spellStart"/>
      <w:r w:rsidRPr="00D85CA0">
        <w:rPr>
          <w:rFonts w:ascii="Verdana" w:eastAsia="Times New Roman" w:hAnsi="Verdana" w:cs="Times New Roman"/>
          <w:sz w:val="20"/>
          <w:szCs w:val="20"/>
        </w:rPr>
        <w:t>clarificatory</w:t>
      </w:r>
      <w:proofErr w:type="spellEnd"/>
      <w:r w:rsidRPr="00D85CA0">
        <w:rPr>
          <w:rFonts w:ascii="Verdana" w:eastAsia="Times New Roman" w:hAnsi="Verdana" w:cs="Times New Roman"/>
          <w:sz w:val="20"/>
          <w:szCs w:val="20"/>
        </w:rPr>
        <w:t xml:space="preserve"> amendment and be given a retrospective </w:t>
      </w:r>
      <w:proofErr w:type="gramStart"/>
      <w:r w:rsidRPr="00D85CA0">
        <w:rPr>
          <w:rFonts w:ascii="Verdana" w:eastAsia="Times New Roman" w:hAnsi="Verdana" w:cs="Times New Roman"/>
          <w:sz w:val="20"/>
          <w:szCs w:val="20"/>
        </w:rPr>
        <w:t>effect ?</w:t>
      </w:r>
      <w:proofErr w:type="gramEnd"/>
      <w:r w:rsidRPr="00D85CA0">
        <w:rPr>
          <w:rFonts w:ascii="Verdana" w:eastAsia="Times New Roman" w:hAnsi="Verdana" w:cs="Times New Roman"/>
          <w:sz w:val="20"/>
          <w:szCs w:val="20"/>
        </w:rPr>
        <w:t xml:space="preserve"> </w:t>
      </w:r>
    </w:p>
    <w:p w:rsidR="00D85CA0" w:rsidRPr="00D85CA0" w:rsidRDefault="00D85CA0" w:rsidP="00D85CA0">
      <w:pPr>
        <w:spacing w:before="100" w:beforeAutospacing="1" w:after="100" w:afterAutospacing="1" w:line="240" w:lineRule="auto"/>
        <w:jc w:val="both"/>
        <w:rPr>
          <w:rFonts w:ascii="Times New Roman" w:eastAsia="Times New Roman" w:hAnsi="Times New Roman" w:cs="Times New Roman"/>
          <w:b/>
          <w:bCs/>
          <w:sz w:val="24"/>
          <w:szCs w:val="24"/>
        </w:rPr>
      </w:pPr>
      <w:r w:rsidRPr="00D85CA0">
        <w:rPr>
          <w:rFonts w:ascii="Verdana" w:eastAsia="Times New Roman" w:hAnsi="Verdana" w:cs="Times New Roman"/>
          <w:b/>
          <w:bCs/>
          <w:sz w:val="20"/>
          <w:szCs w:val="20"/>
        </w:rPr>
        <w:t xml:space="preserve">Conclusion </w:t>
      </w:r>
    </w:p>
    <w:p w:rsidR="00D85CA0" w:rsidRPr="00D85CA0" w:rsidRDefault="00D85CA0" w:rsidP="00D85CA0">
      <w:pPr>
        <w:spacing w:before="100" w:beforeAutospacing="1" w:after="100" w:afterAutospacing="1" w:line="240" w:lineRule="auto"/>
        <w:jc w:val="both"/>
        <w:rPr>
          <w:rFonts w:ascii="Times New Roman" w:eastAsia="Times New Roman" w:hAnsi="Times New Roman" w:cs="Times New Roman"/>
          <w:sz w:val="24"/>
          <w:szCs w:val="24"/>
        </w:rPr>
      </w:pPr>
      <w:r w:rsidRPr="00D85CA0">
        <w:rPr>
          <w:rFonts w:ascii="Verdana" w:eastAsia="Times New Roman" w:hAnsi="Verdana" w:cs="Times New Roman"/>
          <w:sz w:val="20"/>
          <w:szCs w:val="20"/>
        </w:rPr>
        <w:t xml:space="preserve">As a result of the decision of Punjab &amp; Haryana High Court, the confusion continues or rather compounded and, </w:t>
      </w:r>
    </w:p>
    <w:p w:rsidR="00D85CA0" w:rsidRPr="00D85CA0" w:rsidRDefault="00D85CA0" w:rsidP="00D85CA0">
      <w:pPr>
        <w:numPr>
          <w:ilvl w:val="0"/>
          <w:numId w:val="11"/>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The landlords/</w:t>
      </w:r>
      <w:proofErr w:type="spellStart"/>
      <w:r w:rsidRPr="00D85CA0">
        <w:rPr>
          <w:rFonts w:ascii="Verdana" w:eastAsia="Times New Roman" w:hAnsi="Verdana" w:cs="Times New Roman"/>
          <w:sz w:val="20"/>
          <w:szCs w:val="20"/>
        </w:rPr>
        <w:t>lessors</w:t>
      </w:r>
      <w:proofErr w:type="spellEnd"/>
      <w:r w:rsidRPr="00D85CA0">
        <w:rPr>
          <w:rFonts w:ascii="Verdana" w:eastAsia="Times New Roman" w:hAnsi="Verdana" w:cs="Times New Roman"/>
          <w:sz w:val="20"/>
          <w:szCs w:val="20"/>
        </w:rPr>
        <w:t xml:space="preserve"> within the jurisdiction of Punjab &amp; Haryana High Court would have to pay the tax on renting of immovable property for the commercial use. </w:t>
      </w:r>
    </w:p>
    <w:p w:rsidR="00D85CA0" w:rsidRPr="00D85CA0" w:rsidRDefault="00D85CA0" w:rsidP="00D85CA0">
      <w:pPr>
        <w:numPr>
          <w:ilvl w:val="0"/>
          <w:numId w:val="11"/>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The landlords/</w:t>
      </w:r>
      <w:proofErr w:type="spellStart"/>
      <w:r w:rsidRPr="00D85CA0">
        <w:rPr>
          <w:rFonts w:ascii="Verdana" w:eastAsia="Times New Roman" w:hAnsi="Verdana" w:cs="Times New Roman"/>
          <w:sz w:val="20"/>
          <w:szCs w:val="20"/>
        </w:rPr>
        <w:t>lessors</w:t>
      </w:r>
      <w:proofErr w:type="spellEnd"/>
      <w:r w:rsidRPr="00D85CA0">
        <w:rPr>
          <w:rFonts w:ascii="Verdana" w:eastAsia="Times New Roman" w:hAnsi="Verdana" w:cs="Times New Roman"/>
          <w:sz w:val="20"/>
          <w:szCs w:val="20"/>
        </w:rPr>
        <w:t xml:space="preserve"> outside the jurisdiction of Punjab &amp; Haryana High Court are still governed by the decision of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w:t>
      </w:r>
    </w:p>
    <w:p w:rsidR="00D85CA0" w:rsidRPr="00D85CA0" w:rsidRDefault="00D85CA0" w:rsidP="00D85CA0">
      <w:pPr>
        <w:numPr>
          <w:ilvl w:val="0"/>
          <w:numId w:val="11"/>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The tenants/lessees should not mind paying service tax in case they are entitled to </w:t>
      </w:r>
      <w:proofErr w:type="spellStart"/>
      <w:r w:rsidRPr="00D85CA0">
        <w:rPr>
          <w:rFonts w:ascii="Verdana" w:eastAsia="Times New Roman" w:hAnsi="Verdana" w:cs="Times New Roman"/>
          <w:sz w:val="20"/>
          <w:szCs w:val="20"/>
        </w:rPr>
        <w:t>Cenvat</w:t>
      </w:r>
      <w:proofErr w:type="spellEnd"/>
      <w:r w:rsidRPr="00D85CA0">
        <w:rPr>
          <w:rFonts w:ascii="Verdana" w:eastAsia="Times New Roman" w:hAnsi="Verdana" w:cs="Times New Roman"/>
          <w:sz w:val="20"/>
          <w:szCs w:val="20"/>
        </w:rPr>
        <w:t xml:space="preserve"> credit. </w:t>
      </w:r>
    </w:p>
    <w:p w:rsidR="00D85CA0" w:rsidRPr="00D85CA0" w:rsidRDefault="00D85CA0" w:rsidP="00D85CA0">
      <w:pPr>
        <w:numPr>
          <w:ilvl w:val="0"/>
          <w:numId w:val="11"/>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In view of the conflicting decisions of the courts, the landlords/</w:t>
      </w:r>
      <w:proofErr w:type="spellStart"/>
      <w:r w:rsidRPr="00D85CA0">
        <w:rPr>
          <w:rFonts w:ascii="Verdana" w:eastAsia="Times New Roman" w:hAnsi="Verdana" w:cs="Times New Roman"/>
          <w:sz w:val="20"/>
          <w:szCs w:val="20"/>
        </w:rPr>
        <w:t>lessors</w:t>
      </w:r>
      <w:proofErr w:type="spellEnd"/>
      <w:r w:rsidRPr="00D85CA0">
        <w:rPr>
          <w:rFonts w:ascii="Verdana" w:eastAsia="Times New Roman" w:hAnsi="Verdana" w:cs="Times New Roman"/>
          <w:sz w:val="20"/>
          <w:szCs w:val="20"/>
        </w:rPr>
        <w:t xml:space="preserve"> should take necessary steps to safeguard themselves against the future liability of service tax </w:t>
      </w:r>
      <w:proofErr w:type="spellStart"/>
      <w:r w:rsidRPr="00D85CA0">
        <w:rPr>
          <w:rFonts w:ascii="Verdana" w:eastAsia="Times New Roman" w:hAnsi="Verdana" w:cs="Times New Roman"/>
          <w:sz w:val="20"/>
          <w:szCs w:val="20"/>
        </w:rPr>
        <w:t>alongwith</w:t>
      </w:r>
      <w:proofErr w:type="spellEnd"/>
      <w:r w:rsidRPr="00D85CA0">
        <w:rPr>
          <w:rFonts w:ascii="Verdana" w:eastAsia="Times New Roman" w:hAnsi="Verdana" w:cs="Times New Roman"/>
          <w:sz w:val="20"/>
          <w:szCs w:val="20"/>
        </w:rPr>
        <w:t xml:space="preserve"> interest, penalty etc, if any. </w:t>
      </w:r>
    </w:p>
    <w:p w:rsidR="00D85CA0" w:rsidRPr="00D85CA0" w:rsidRDefault="00D85CA0" w:rsidP="00D85CA0">
      <w:pPr>
        <w:numPr>
          <w:ilvl w:val="0"/>
          <w:numId w:val="11"/>
        </w:numPr>
        <w:spacing w:before="180" w:after="180"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The retrospective liability could affect heavily the large number of landlords/</w:t>
      </w:r>
      <w:proofErr w:type="spellStart"/>
      <w:r w:rsidRPr="00D85CA0">
        <w:rPr>
          <w:rFonts w:ascii="Verdana" w:eastAsia="Times New Roman" w:hAnsi="Verdana" w:cs="Times New Roman"/>
          <w:sz w:val="20"/>
          <w:szCs w:val="20"/>
        </w:rPr>
        <w:t>lessors</w:t>
      </w:r>
      <w:proofErr w:type="spellEnd"/>
      <w:r w:rsidRPr="00D85CA0">
        <w:rPr>
          <w:rFonts w:ascii="Verdana" w:eastAsia="Times New Roman" w:hAnsi="Verdana" w:cs="Times New Roman"/>
          <w:sz w:val="20"/>
          <w:szCs w:val="20"/>
        </w:rPr>
        <w:t xml:space="preserve">, if they have not covered their position, as it might so happen that many of the tenants/lessees have left the premises or simply deny to pay the past liability and /or interest in absence of demand of service tax raised earlier. </w:t>
      </w:r>
    </w:p>
    <w:p w:rsidR="00D85CA0" w:rsidRPr="00D85CA0" w:rsidRDefault="00D85CA0" w:rsidP="00D85CA0">
      <w:pPr>
        <w:spacing w:before="100" w:beforeAutospacing="1" w:after="100" w:afterAutospacing="1" w:line="240" w:lineRule="auto"/>
        <w:jc w:val="both"/>
        <w:rPr>
          <w:rFonts w:ascii="Times New Roman" w:eastAsia="Times New Roman" w:hAnsi="Times New Roman" w:cs="Times New Roman"/>
          <w:b/>
          <w:bCs/>
          <w:sz w:val="24"/>
          <w:szCs w:val="24"/>
        </w:rPr>
      </w:pPr>
      <w:r w:rsidRPr="00D85CA0">
        <w:rPr>
          <w:rFonts w:ascii="Verdana" w:eastAsia="Times New Roman" w:hAnsi="Verdana" w:cs="Times New Roman"/>
          <w:b/>
          <w:bCs/>
          <w:sz w:val="20"/>
          <w:szCs w:val="20"/>
        </w:rPr>
        <w:lastRenderedPageBreak/>
        <w:t>Delhi High Court sending the matter back to Supreme Court</w:t>
      </w:r>
    </w:p>
    <w:p w:rsidR="00D85CA0" w:rsidRPr="00D85CA0" w:rsidRDefault="00D85CA0" w:rsidP="00D85CA0">
      <w:pPr>
        <w:spacing w:beforeAutospacing="1" w:after="100" w:afterAutospacing="1"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At the time of going to the press, it is learnt that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has once again extended the stay in pursuance with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Supreme Court’s direction, instead of deciding the matter. Further, as regards to the decision of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Punjab &amp; Haryana High Court, it has stated that it is best having persuasive value and could not be taken as binding precedent. The matter is now posted for hearing on 25th January, 2011 by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Delhi High Court. </w:t>
      </w:r>
    </w:p>
    <w:p w:rsidR="00D85CA0" w:rsidRPr="00D85CA0" w:rsidRDefault="00D85CA0" w:rsidP="00D85CA0">
      <w:pPr>
        <w:spacing w:before="100" w:beforeAutospacing="1" w:after="100" w:afterAutospacing="1" w:line="240" w:lineRule="auto"/>
        <w:jc w:val="both"/>
        <w:rPr>
          <w:rFonts w:ascii="Verdana" w:eastAsia="Times New Roman" w:hAnsi="Verdana" w:cs="Times New Roman"/>
          <w:sz w:val="20"/>
          <w:szCs w:val="20"/>
        </w:rPr>
      </w:pPr>
      <w:r w:rsidRPr="00D85CA0">
        <w:rPr>
          <w:rFonts w:ascii="Verdana" w:eastAsia="Times New Roman" w:hAnsi="Verdana" w:cs="Times New Roman"/>
          <w:sz w:val="20"/>
          <w:szCs w:val="20"/>
        </w:rPr>
        <w:t xml:space="preserve">Further, SLP is also filed against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Punjab &amp; Haryana High Court’s decision. Now, it is high time that the </w:t>
      </w:r>
      <w:proofErr w:type="spellStart"/>
      <w:r w:rsidRPr="00D85CA0">
        <w:rPr>
          <w:rFonts w:ascii="Verdana" w:eastAsia="Times New Roman" w:hAnsi="Verdana" w:cs="Times New Roman"/>
          <w:sz w:val="20"/>
          <w:szCs w:val="20"/>
        </w:rPr>
        <w:t>Hon’ble</w:t>
      </w:r>
      <w:proofErr w:type="spellEnd"/>
      <w:r w:rsidRPr="00D85CA0">
        <w:rPr>
          <w:rFonts w:ascii="Verdana" w:eastAsia="Times New Roman" w:hAnsi="Verdana" w:cs="Times New Roman"/>
          <w:sz w:val="20"/>
          <w:szCs w:val="20"/>
        </w:rPr>
        <w:t xml:space="preserve"> Supreme Court pronounce a well deserved </w:t>
      </w:r>
      <w:proofErr w:type="spellStart"/>
      <w:r w:rsidRPr="00D85CA0">
        <w:rPr>
          <w:rFonts w:ascii="Verdana" w:eastAsia="Times New Roman" w:hAnsi="Verdana" w:cs="Times New Roman"/>
          <w:sz w:val="20"/>
          <w:szCs w:val="20"/>
        </w:rPr>
        <w:t>judgement</w:t>
      </w:r>
      <w:proofErr w:type="spellEnd"/>
      <w:r w:rsidRPr="00D85CA0">
        <w:rPr>
          <w:rFonts w:ascii="Verdana" w:eastAsia="Times New Roman" w:hAnsi="Verdana" w:cs="Times New Roman"/>
          <w:sz w:val="20"/>
          <w:szCs w:val="20"/>
        </w:rPr>
        <w:t xml:space="preserve"> on the prospective and/or retrospective liability of service tax at the earliest, to clear the clouds of uncertainty looming large on the landlords/</w:t>
      </w:r>
      <w:proofErr w:type="spellStart"/>
      <w:r w:rsidRPr="00D85CA0">
        <w:rPr>
          <w:rFonts w:ascii="Verdana" w:eastAsia="Times New Roman" w:hAnsi="Verdana" w:cs="Times New Roman"/>
          <w:sz w:val="20"/>
          <w:szCs w:val="20"/>
        </w:rPr>
        <w:t>lessors</w:t>
      </w:r>
      <w:proofErr w:type="spellEnd"/>
      <w:r w:rsidRPr="00D85CA0">
        <w:rPr>
          <w:rFonts w:ascii="Verdana" w:eastAsia="Times New Roman" w:hAnsi="Verdana" w:cs="Times New Roman"/>
          <w:sz w:val="20"/>
          <w:szCs w:val="20"/>
        </w:rPr>
        <w:t xml:space="preserve"> and tenants/lessees.</w:t>
      </w:r>
    </w:p>
    <w:p w:rsidR="00796CAF" w:rsidRDefault="00796CAF" w:rsidP="00D85CA0">
      <w:pPr>
        <w:jc w:val="both"/>
      </w:pPr>
    </w:p>
    <w:sectPr w:rsidR="00796C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2775B"/>
    <w:multiLevelType w:val="multilevel"/>
    <w:tmpl w:val="3BC67C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712964"/>
    <w:multiLevelType w:val="multilevel"/>
    <w:tmpl w:val="51742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111F87"/>
    <w:multiLevelType w:val="multilevel"/>
    <w:tmpl w:val="8C7882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7F502F"/>
    <w:multiLevelType w:val="multilevel"/>
    <w:tmpl w:val="AC604EF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31554ED2"/>
    <w:multiLevelType w:val="multilevel"/>
    <w:tmpl w:val="2B8C16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883426"/>
    <w:multiLevelType w:val="multilevel"/>
    <w:tmpl w:val="99C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1C4391"/>
    <w:multiLevelType w:val="multilevel"/>
    <w:tmpl w:val="C2BAD49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nsid w:val="670C7E09"/>
    <w:multiLevelType w:val="multilevel"/>
    <w:tmpl w:val="F4343A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BF27D5"/>
    <w:multiLevelType w:val="multilevel"/>
    <w:tmpl w:val="A6C2090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610975"/>
    <w:multiLevelType w:val="multilevel"/>
    <w:tmpl w:val="19D202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CC6801"/>
    <w:multiLevelType w:val="multilevel"/>
    <w:tmpl w:val="7CBCBC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9"/>
  </w:num>
  <w:num w:numId="4">
    <w:abstractNumId w:val="10"/>
  </w:num>
  <w:num w:numId="5">
    <w:abstractNumId w:val="7"/>
  </w:num>
  <w:num w:numId="6">
    <w:abstractNumId w:val="4"/>
  </w:num>
  <w:num w:numId="7">
    <w:abstractNumId w:val="2"/>
  </w:num>
  <w:num w:numId="8">
    <w:abstractNumId w:val="8"/>
  </w:num>
  <w:num w:numId="9">
    <w:abstractNumId w:val="0"/>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85CA0"/>
    <w:rsid w:val="00796CAF"/>
    <w:rsid w:val="00D85C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5C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89396086">
      <w:bodyDiv w:val="1"/>
      <w:marLeft w:val="0"/>
      <w:marRight w:val="0"/>
      <w:marTop w:val="0"/>
      <w:marBottom w:val="0"/>
      <w:divBdr>
        <w:top w:val="none" w:sz="0" w:space="0" w:color="auto"/>
        <w:left w:val="none" w:sz="0" w:space="0" w:color="auto"/>
        <w:bottom w:val="none" w:sz="0" w:space="0" w:color="auto"/>
        <w:right w:val="none" w:sz="0" w:space="0" w:color="auto"/>
      </w:divBdr>
      <w:divsChild>
        <w:div w:id="564143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729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454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2603</Words>
  <Characters>14841</Characters>
  <Application>Microsoft Office Word</Application>
  <DocSecurity>0</DocSecurity>
  <Lines>123</Lines>
  <Paragraphs>34</Paragraphs>
  <ScaleCrop>false</ScaleCrop>
  <Company>richlook</Company>
  <LinksUpToDate>false</LinksUpToDate>
  <CharactersWithSpaces>17410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2</cp:revision>
  <dcterms:created xsi:type="dcterms:W3CDTF">2011-01-02T05:28:00Z</dcterms:created>
  <dcterms:modified xsi:type="dcterms:W3CDTF">2011-01-02T05:29:00Z</dcterms:modified>
</cp:coreProperties>
</file>