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A89" w:rsidRPr="000C2A89" w:rsidRDefault="000C2A89" w:rsidP="000C2A89">
      <w:pPr>
        <w:spacing w:before="100" w:beforeAutospacing="1" w:after="100" w:afterAutospacing="1" w:line="240" w:lineRule="auto"/>
        <w:jc w:val="left"/>
        <w:outlineLvl w:val="0"/>
        <w:rPr>
          <w:rFonts w:ascii="Times New Roman" w:eastAsia="Times New Roman" w:hAnsi="Times New Roman" w:cs="Times New Roman"/>
          <w:b/>
          <w:bCs/>
          <w:kern w:val="36"/>
          <w:sz w:val="48"/>
          <w:szCs w:val="48"/>
          <w:lang w:bidi="ar-SA"/>
        </w:rPr>
      </w:pPr>
      <w:r w:rsidRPr="000C2A89">
        <w:rPr>
          <w:rFonts w:ascii="Times New Roman" w:eastAsia="Times New Roman" w:hAnsi="Times New Roman" w:cs="Times New Roman"/>
          <w:b/>
          <w:bCs/>
          <w:kern w:val="36"/>
          <w:sz w:val="48"/>
          <w:szCs w:val="48"/>
          <w:lang w:bidi="ar-SA"/>
        </w:rPr>
        <w:t>Accounting Codes of New Introduced Taxable Services</w:t>
      </w:r>
    </w:p>
    <w:p w:rsidR="000C2A89" w:rsidRPr="000C2A89" w:rsidRDefault="000C2A89" w:rsidP="000C2A89">
      <w:pPr>
        <w:spacing w:before="100" w:beforeAutospacing="1" w:after="100" w:afterAutospacing="1"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b/>
          <w:bCs/>
          <w:sz w:val="24"/>
          <w:szCs w:val="24"/>
          <w:lang w:bidi="ar-SA"/>
        </w:rPr>
        <w:t>Accounting Codes for the taxable services introduced vide the Finance (No. 14) Act, 2010</w:t>
      </w:r>
    </w:p>
    <w:p w:rsidR="000C2A89" w:rsidRPr="000C2A89" w:rsidRDefault="000C2A89" w:rsidP="000C2A89">
      <w:pPr>
        <w:spacing w:before="100" w:beforeAutospacing="1" w:after="100" w:afterAutospacing="1"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b/>
          <w:bCs/>
          <w:i/>
          <w:iCs/>
          <w:sz w:val="24"/>
          <w:szCs w:val="24"/>
          <w:lang w:bidi="ar-SA"/>
        </w:rPr>
        <w:t>Circular No. 124/6/2010-TRU, dated 29-6-2010</w:t>
      </w:r>
    </w:p>
    <w:p w:rsidR="000C2A89" w:rsidRPr="000C2A89" w:rsidRDefault="000C2A89" w:rsidP="000C2A89">
      <w:pPr>
        <w:spacing w:before="100" w:beforeAutospacing="1" w:after="100" w:afterAutospacing="1"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Heads of Account under the Major Head “0044-Service Tax” in respect of the new taxable services have been allotted by the Office of the Principal Chief Controller of Accounts, CBEC.</w:t>
      </w:r>
    </w:p>
    <w:p w:rsidR="000C2A89" w:rsidRPr="000C2A89" w:rsidRDefault="000C2A89" w:rsidP="000C2A89">
      <w:pPr>
        <w:spacing w:before="100" w:beforeAutospacing="1" w:after="100" w:afterAutospacing="1"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2. Accounting Codes for the purpose of payment of service tax are as follows: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48"/>
        <w:gridCol w:w="3035"/>
        <w:gridCol w:w="1517"/>
        <w:gridCol w:w="1424"/>
        <w:gridCol w:w="2466"/>
      </w:tblGrid>
      <w:tr w:rsidR="000C2A89" w:rsidRPr="000C2A89" w:rsidTr="000C2A89">
        <w:trPr>
          <w:tblCellSpacing w:w="0"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proofErr w:type="spellStart"/>
            <w:r w:rsidRPr="000C2A89">
              <w:rPr>
                <w:rFonts w:ascii="Times New Roman" w:eastAsia="Times New Roman" w:hAnsi="Times New Roman" w:cs="Times New Roman"/>
                <w:b/>
                <w:bCs/>
                <w:sz w:val="24"/>
                <w:szCs w:val="24"/>
                <w:lang w:bidi="ar-SA"/>
              </w:rPr>
              <w:t>Sl.No</w:t>
            </w:r>
            <w:proofErr w:type="spellEnd"/>
            <w:r w:rsidRPr="000C2A89">
              <w:rPr>
                <w:rFonts w:ascii="Times New Roman" w:eastAsia="Times New Roman" w:hAnsi="Times New Roman" w:cs="Times New Roman"/>
                <w:b/>
                <w:bCs/>
                <w:sz w:val="24"/>
                <w:szCs w:val="24"/>
                <w:lang w:bidi="ar-SA"/>
              </w:rPr>
              <w:t>.</w:t>
            </w:r>
          </w:p>
        </w:tc>
        <w:tc>
          <w:tcPr>
            <w:tcW w:w="1600" w:type="pct"/>
            <w:vMerge w:val="restar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b/>
                <w:bCs/>
                <w:sz w:val="24"/>
                <w:szCs w:val="24"/>
                <w:lang w:bidi="ar-SA"/>
              </w:rPr>
              <w:t>Taxable Services</w:t>
            </w:r>
          </w:p>
        </w:tc>
        <w:tc>
          <w:tcPr>
            <w:tcW w:w="2850" w:type="pct"/>
            <w:gridSpan w:val="3"/>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b/>
                <w:bCs/>
                <w:sz w:val="24"/>
                <w:szCs w:val="24"/>
                <w:lang w:bidi="ar-SA"/>
              </w:rPr>
              <w:t>Accounting Code</w:t>
            </w:r>
          </w:p>
        </w:tc>
      </w:tr>
      <w:tr w:rsidR="000C2A89" w:rsidRPr="000C2A89" w:rsidTr="000C2A8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p>
        </w:tc>
        <w:tc>
          <w:tcPr>
            <w:tcW w:w="800" w:type="pct"/>
            <w:tcBorders>
              <w:top w:val="outset" w:sz="6" w:space="0" w:color="auto"/>
              <w:left w:val="outset" w:sz="6" w:space="0" w:color="auto"/>
              <w:bottom w:val="outset" w:sz="6" w:space="0" w:color="auto"/>
              <w:right w:val="outset" w:sz="6" w:space="0" w:color="auto"/>
            </w:tcBorders>
            <w:vAlign w:val="center"/>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b/>
                <w:bCs/>
                <w:sz w:val="24"/>
                <w:szCs w:val="24"/>
                <w:lang w:bidi="ar-SA"/>
              </w:rPr>
              <w:t>Tax Collection</w:t>
            </w:r>
          </w:p>
        </w:tc>
        <w:tc>
          <w:tcPr>
            <w:tcW w:w="750" w:type="pct"/>
            <w:tcBorders>
              <w:top w:val="outset" w:sz="6" w:space="0" w:color="auto"/>
              <w:left w:val="outset" w:sz="6" w:space="0" w:color="auto"/>
              <w:bottom w:val="outset" w:sz="6" w:space="0" w:color="auto"/>
              <w:right w:val="outset" w:sz="6" w:space="0" w:color="auto"/>
            </w:tcBorders>
            <w:vAlign w:val="center"/>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b/>
                <w:bCs/>
                <w:sz w:val="24"/>
                <w:szCs w:val="24"/>
                <w:lang w:bidi="ar-SA"/>
              </w:rPr>
              <w:t>Other Receipts</w:t>
            </w:r>
          </w:p>
        </w:tc>
        <w:tc>
          <w:tcPr>
            <w:tcW w:w="1250" w:type="pct"/>
            <w:tcBorders>
              <w:top w:val="outset" w:sz="6" w:space="0" w:color="auto"/>
              <w:left w:val="outset" w:sz="6" w:space="0" w:color="auto"/>
              <w:bottom w:val="outset" w:sz="6" w:space="0" w:color="auto"/>
              <w:right w:val="outset" w:sz="6" w:space="0" w:color="auto"/>
            </w:tcBorders>
            <w:vAlign w:val="center"/>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b/>
                <w:bCs/>
                <w:sz w:val="24"/>
                <w:szCs w:val="24"/>
                <w:lang w:bidi="ar-SA"/>
              </w:rPr>
              <w:t>Deduct Refunds</w:t>
            </w:r>
          </w:p>
        </w:tc>
      </w:tr>
      <w:tr w:rsidR="000C2A89" w:rsidRPr="000C2A89" w:rsidTr="000C2A89">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b/>
                <w:bCs/>
                <w:sz w:val="24"/>
                <w:szCs w:val="24"/>
                <w:lang w:bidi="ar-SA"/>
              </w:rPr>
              <w:t>(1)</w:t>
            </w:r>
          </w:p>
        </w:tc>
        <w:tc>
          <w:tcPr>
            <w:tcW w:w="16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b/>
                <w:bCs/>
                <w:sz w:val="24"/>
                <w:szCs w:val="24"/>
                <w:lang w:bidi="ar-SA"/>
              </w:rPr>
              <w:t>(2)</w:t>
            </w:r>
          </w:p>
        </w:tc>
        <w:tc>
          <w:tcPr>
            <w:tcW w:w="8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b/>
                <w:bCs/>
                <w:sz w:val="24"/>
                <w:szCs w:val="24"/>
                <w:lang w:bidi="ar-SA"/>
              </w:rPr>
              <w:t>(3)</w:t>
            </w:r>
          </w:p>
        </w:tc>
        <w:tc>
          <w:tcPr>
            <w:tcW w:w="7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b/>
                <w:bCs/>
                <w:sz w:val="24"/>
                <w:szCs w:val="24"/>
                <w:lang w:bidi="ar-SA"/>
              </w:rPr>
              <w:t>(4)</w:t>
            </w:r>
          </w:p>
        </w:tc>
        <w:tc>
          <w:tcPr>
            <w:tcW w:w="12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b/>
                <w:bCs/>
                <w:sz w:val="24"/>
                <w:szCs w:val="24"/>
                <w:lang w:bidi="ar-SA"/>
              </w:rPr>
              <w:t>(5)</w:t>
            </w:r>
          </w:p>
        </w:tc>
      </w:tr>
      <w:tr w:rsidR="000C2A89" w:rsidRPr="000C2A89" w:rsidTr="000C2A89">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1.</w:t>
            </w:r>
          </w:p>
        </w:tc>
        <w:tc>
          <w:tcPr>
            <w:tcW w:w="16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Service of promoting, marketing or organizing of games of chance, including lottery, Bingo or Lotto [Finance Act 1994, Section 65(105)(</w:t>
            </w:r>
            <w:proofErr w:type="spellStart"/>
            <w:r w:rsidRPr="000C2A89">
              <w:rPr>
                <w:rFonts w:ascii="Times New Roman" w:eastAsia="Times New Roman" w:hAnsi="Times New Roman" w:cs="Times New Roman"/>
                <w:sz w:val="24"/>
                <w:szCs w:val="24"/>
                <w:lang w:bidi="ar-SA"/>
              </w:rPr>
              <w:t>zzzzn</w:t>
            </w:r>
            <w:proofErr w:type="spellEnd"/>
            <w:r w:rsidRPr="000C2A89">
              <w:rPr>
                <w:rFonts w:ascii="Times New Roman" w:eastAsia="Times New Roman" w:hAnsi="Times New Roman" w:cs="Times New Roman"/>
                <w:sz w:val="24"/>
                <w:szCs w:val="24"/>
                <w:lang w:bidi="ar-SA"/>
              </w:rPr>
              <w:t>)]</w:t>
            </w:r>
          </w:p>
        </w:tc>
        <w:tc>
          <w:tcPr>
            <w:tcW w:w="8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00440595</w:t>
            </w:r>
          </w:p>
        </w:tc>
        <w:tc>
          <w:tcPr>
            <w:tcW w:w="7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00440596</w:t>
            </w:r>
          </w:p>
        </w:tc>
        <w:tc>
          <w:tcPr>
            <w:tcW w:w="12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00440597</w:t>
            </w:r>
          </w:p>
        </w:tc>
      </w:tr>
      <w:tr w:rsidR="000C2A89" w:rsidRPr="000C2A89" w:rsidTr="000C2A89">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2.</w:t>
            </w:r>
          </w:p>
        </w:tc>
        <w:tc>
          <w:tcPr>
            <w:tcW w:w="16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Health service: (a) health check-up undertaken by hospitals or medical establishments for employees of business entities and (b) health services provided under health insurance schemes offered by insurance companies[Finance Act 1994, Section 65 (105) (</w:t>
            </w:r>
            <w:proofErr w:type="spellStart"/>
            <w:r w:rsidRPr="000C2A89">
              <w:rPr>
                <w:rFonts w:ascii="Times New Roman" w:eastAsia="Times New Roman" w:hAnsi="Times New Roman" w:cs="Times New Roman"/>
                <w:sz w:val="24"/>
                <w:szCs w:val="24"/>
                <w:lang w:bidi="ar-SA"/>
              </w:rPr>
              <w:t>zzzzo</w:t>
            </w:r>
            <w:proofErr w:type="spellEnd"/>
            <w:r w:rsidRPr="000C2A89">
              <w:rPr>
                <w:rFonts w:ascii="Times New Roman" w:eastAsia="Times New Roman" w:hAnsi="Times New Roman" w:cs="Times New Roman"/>
                <w:sz w:val="24"/>
                <w:szCs w:val="24"/>
                <w:lang w:bidi="ar-SA"/>
              </w:rPr>
              <w:t>)]</w:t>
            </w:r>
          </w:p>
        </w:tc>
        <w:tc>
          <w:tcPr>
            <w:tcW w:w="8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00440598</w:t>
            </w:r>
          </w:p>
        </w:tc>
        <w:tc>
          <w:tcPr>
            <w:tcW w:w="7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00440599</w:t>
            </w:r>
          </w:p>
        </w:tc>
        <w:tc>
          <w:tcPr>
            <w:tcW w:w="12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00440600</w:t>
            </w:r>
          </w:p>
        </w:tc>
      </w:tr>
      <w:tr w:rsidR="000C2A89" w:rsidRPr="000C2A89" w:rsidTr="000C2A89">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3.</w:t>
            </w:r>
          </w:p>
        </w:tc>
        <w:tc>
          <w:tcPr>
            <w:tcW w:w="16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Service of maintenance of medical records of employees of business entity[Finance Act 1994, Section 65(105)(</w:t>
            </w:r>
            <w:proofErr w:type="spellStart"/>
            <w:r w:rsidRPr="000C2A89">
              <w:rPr>
                <w:rFonts w:ascii="Times New Roman" w:eastAsia="Times New Roman" w:hAnsi="Times New Roman" w:cs="Times New Roman"/>
                <w:sz w:val="24"/>
                <w:szCs w:val="24"/>
                <w:lang w:bidi="ar-SA"/>
              </w:rPr>
              <w:t>zzzzp</w:t>
            </w:r>
            <w:proofErr w:type="spellEnd"/>
            <w:r w:rsidRPr="000C2A89">
              <w:rPr>
                <w:rFonts w:ascii="Times New Roman" w:eastAsia="Times New Roman" w:hAnsi="Times New Roman" w:cs="Times New Roman"/>
                <w:sz w:val="24"/>
                <w:szCs w:val="24"/>
                <w:lang w:bidi="ar-SA"/>
              </w:rPr>
              <w:t>)]</w:t>
            </w:r>
          </w:p>
        </w:tc>
        <w:tc>
          <w:tcPr>
            <w:tcW w:w="8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00440601</w:t>
            </w:r>
          </w:p>
        </w:tc>
        <w:tc>
          <w:tcPr>
            <w:tcW w:w="7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00440602</w:t>
            </w:r>
          </w:p>
        </w:tc>
        <w:tc>
          <w:tcPr>
            <w:tcW w:w="12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00440603</w:t>
            </w:r>
          </w:p>
        </w:tc>
      </w:tr>
      <w:tr w:rsidR="000C2A89" w:rsidRPr="000C2A89" w:rsidTr="000C2A89">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4.</w:t>
            </w:r>
          </w:p>
        </w:tc>
        <w:tc>
          <w:tcPr>
            <w:tcW w:w="16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Service of promoting a brand of goods, services, events, business entities, etc[Finance Act 1994, Section 65(105)(</w:t>
            </w:r>
            <w:proofErr w:type="spellStart"/>
            <w:r w:rsidRPr="000C2A89">
              <w:rPr>
                <w:rFonts w:ascii="Times New Roman" w:eastAsia="Times New Roman" w:hAnsi="Times New Roman" w:cs="Times New Roman"/>
                <w:sz w:val="24"/>
                <w:szCs w:val="24"/>
                <w:lang w:bidi="ar-SA"/>
              </w:rPr>
              <w:t>zzzzq</w:t>
            </w:r>
            <w:proofErr w:type="spellEnd"/>
            <w:r w:rsidRPr="000C2A89">
              <w:rPr>
                <w:rFonts w:ascii="Times New Roman" w:eastAsia="Times New Roman" w:hAnsi="Times New Roman" w:cs="Times New Roman"/>
                <w:sz w:val="24"/>
                <w:szCs w:val="24"/>
                <w:lang w:bidi="ar-SA"/>
              </w:rPr>
              <w:t>)]</w:t>
            </w:r>
          </w:p>
        </w:tc>
        <w:tc>
          <w:tcPr>
            <w:tcW w:w="8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00440604</w:t>
            </w:r>
          </w:p>
        </w:tc>
        <w:tc>
          <w:tcPr>
            <w:tcW w:w="7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00440605</w:t>
            </w:r>
          </w:p>
        </w:tc>
        <w:tc>
          <w:tcPr>
            <w:tcW w:w="12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00440606</w:t>
            </w:r>
          </w:p>
        </w:tc>
      </w:tr>
      <w:tr w:rsidR="000C2A89" w:rsidRPr="000C2A89" w:rsidTr="000C2A89">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5.</w:t>
            </w:r>
          </w:p>
        </w:tc>
        <w:tc>
          <w:tcPr>
            <w:tcW w:w="16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 xml:space="preserve">Service of permitting commercial use or exploitation </w:t>
            </w:r>
            <w:r w:rsidRPr="000C2A89">
              <w:rPr>
                <w:rFonts w:ascii="Times New Roman" w:eastAsia="Times New Roman" w:hAnsi="Times New Roman" w:cs="Times New Roman"/>
                <w:sz w:val="24"/>
                <w:szCs w:val="24"/>
                <w:lang w:bidi="ar-SA"/>
              </w:rPr>
              <w:lastRenderedPageBreak/>
              <w:t>of any event organized by a person or organization[Finance Act 1994, Section 65 (105) (</w:t>
            </w:r>
            <w:proofErr w:type="spellStart"/>
            <w:r w:rsidRPr="000C2A89">
              <w:rPr>
                <w:rFonts w:ascii="Times New Roman" w:eastAsia="Times New Roman" w:hAnsi="Times New Roman" w:cs="Times New Roman"/>
                <w:sz w:val="24"/>
                <w:szCs w:val="24"/>
                <w:lang w:bidi="ar-SA"/>
              </w:rPr>
              <w:t>zzzzr</w:t>
            </w:r>
            <w:proofErr w:type="spellEnd"/>
            <w:r w:rsidRPr="000C2A89">
              <w:rPr>
                <w:rFonts w:ascii="Times New Roman" w:eastAsia="Times New Roman" w:hAnsi="Times New Roman" w:cs="Times New Roman"/>
                <w:sz w:val="24"/>
                <w:szCs w:val="24"/>
                <w:lang w:bidi="ar-SA"/>
              </w:rPr>
              <w:t>)]</w:t>
            </w:r>
          </w:p>
        </w:tc>
        <w:tc>
          <w:tcPr>
            <w:tcW w:w="8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lastRenderedPageBreak/>
              <w:t>00440607</w:t>
            </w:r>
          </w:p>
        </w:tc>
        <w:tc>
          <w:tcPr>
            <w:tcW w:w="7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00440608</w:t>
            </w:r>
          </w:p>
        </w:tc>
        <w:tc>
          <w:tcPr>
            <w:tcW w:w="12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00440609</w:t>
            </w:r>
          </w:p>
        </w:tc>
      </w:tr>
      <w:tr w:rsidR="000C2A89" w:rsidRPr="000C2A89" w:rsidTr="000C2A89">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lastRenderedPageBreak/>
              <w:t>6.</w:t>
            </w:r>
          </w:p>
        </w:tc>
        <w:tc>
          <w:tcPr>
            <w:tcW w:w="16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Service provided by electricity exchange [Finance Act 1994, Section 65(105)(</w:t>
            </w:r>
            <w:proofErr w:type="spellStart"/>
            <w:r w:rsidRPr="000C2A89">
              <w:rPr>
                <w:rFonts w:ascii="Times New Roman" w:eastAsia="Times New Roman" w:hAnsi="Times New Roman" w:cs="Times New Roman"/>
                <w:sz w:val="24"/>
                <w:szCs w:val="24"/>
                <w:lang w:bidi="ar-SA"/>
              </w:rPr>
              <w:t>zzzzs</w:t>
            </w:r>
            <w:proofErr w:type="spellEnd"/>
            <w:r w:rsidRPr="000C2A89">
              <w:rPr>
                <w:rFonts w:ascii="Times New Roman" w:eastAsia="Times New Roman" w:hAnsi="Times New Roman" w:cs="Times New Roman"/>
                <w:sz w:val="24"/>
                <w:szCs w:val="24"/>
                <w:lang w:bidi="ar-SA"/>
              </w:rPr>
              <w:t>)]</w:t>
            </w:r>
          </w:p>
        </w:tc>
        <w:tc>
          <w:tcPr>
            <w:tcW w:w="8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00440610</w:t>
            </w:r>
          </w:p>
        </w:tc>
        <w:tc>
          <w:tcPr>
            <w:tcW w:w="7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00440611</w:t>
            </w:r>
          </w:p>
        </w:tc>
        <w:tc>
          <w:tcPr>
            <w:tcW w:w="12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00440612</w:t>
            </w:r>
          </w:p>
        </w:tc>
      </w:tr>
      <w:tr w:rsidR="000C2A89" w:rsidRPr="000C2A89" w:rsidTr="000C2A89">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7.</w:t>
            </w:r>
          </w:p>
        </w:tc>
        <w:tc>
          <w:tcPr>
            <w:tcW w:w="16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Service related to (a) transferring temporarily or (b) permitting the right to use or enjoyment of any copyright defined in the Copyright Act, 1957 and services related two types of copyright not covered under Intellectual Property Right(IPR) Service, namely those on (a) cinematographic films and (b) sound recording [Finance Act 1994, Section 65(105)(</w:t>
            </w:r>
            <w:proofErr w:type="spellStart"/>
            <w:r w:rsidRPr="000C2A89">
              <w:rPr>
                <w:rFonts w:ascii="Times New Roman" w:eastAsia="Times New Roman" w:hAnsi="Times New Roman" w:cs="Times New Roman"/>
                <w:sz w:val="24"/>
                <w:szCs w:val="24"/>
                <w:lang w:bidi="ar-SA"/>
              </w:rPr>
              <w:t>zzzzt</w:t>
            </w:r>
            <w:proofErr w:type="spellEnd"/>
            <w:r w:rsidRPr="000C2A89">
              <w:rPr>
                <w:rFonts w:ascii="Times New Roman" w:eastAsia="Times New Roman" w:hAnsi="Times New Roman" w:cs="Times New Roman"/>
                <w:sz w:val="24"/>
                <w:szCs w:val="24"/>
                <w:lang w:bidi="ar-SA"/>
              </w:rPr>
              <w:t>)]</w:t>
            </w:r>
          </w:p>
        </w:tc>
        <w:tc>
          <w:tcPr>
            <w:tcW w:w="8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00440613</w:t>
            </w:r>
          </w:p>
        </w:tc>
        <w:tc>
          <w:tcPr>
            <w:tcW w:w="7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00440614</w:t>
            </w:r>
          </w:p>
        </w:tc>
        <w:tc>
          <w:tcPr>
            <w:tcW w:w="12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00440615</w:t>
            </w:r>
          </w:p>
        </w:tc>
      </w:tr>
      <w:tr w:rsidR="000C2A89" w:rsidRPr="000C2A89" w:rsidTr="000C2A89">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8.</w:t>
            </w:r>
          </w:p>
        </w:tc>
        <w:tc>
          <w:tcPr>
            <w:tcW w:w="16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Special service provided by a builder etc, to the prospective tax buyers such as providing preferential location or external or internal development of complexes on extra charges[Finance Act 1994, Section 65(105)(</w:t>
            </w:r>
            <w:proofErr w:type="spellStart"/>
            <w:r w:rsidRPr="000C2A89">
              <w:rPr>
                <w:rFonts w:ascii="Times New Roman" w:eastAsia="Times New Roman" w:hAnsi="Times New Roman" w:cs="Times New Roman"/>
                <w:sz w:val="24"/>
                <w:szCs w:val="24"/>
                <w:lang w:bidi="ar-SA"/>
              </w:rPr>
              <w:t>zzzzu</w:t>
            </w:r>
            <w:proofErr w:type="spellEnd"/>
            <w:r w:rsidRPr="000C2A89">
              <w:rPr>
                <w:rFonts w:ascii="Times New Roman" w:eastAsia="Times New Roman" w:hAnsi="Times New Roman" w:cs="Times New Roman"/>
                <w:sz w:val="24"/>
                <w:szCs w:val="24"/>
                <w:lang w:bidi="ar-SA"/>
              </w:rPr>
              <w:t>)]</w:t>
            </w:r>
          </w:p>
        </w:tc>
        <w:tc>
          <w:tcPr>
            <w:tcW w:w="80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00440616</w:t>
            </w:r>
          </w:p>
        </w:tc>
        <w:tc>
          <w:tcPr>
            <w:tcW w:w="7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00440617</w:t>
            </w:r>
          </w:p>
        </w:tc>
        <w:tc>
          <w:tcPr>
            <w:tcW w:w="1250" w:type="pct"/>
            <w:tcBorders>
              <w:top w:val="outset" w:sz="6" w:space="0" w:color="auto"/>
              <w:left w:val="outset" w:sz="6" w:space="0" w:color="auto"/>
              <w:bottom w:val="outset" w:sz="6" w:space="0" w:color="auto"/>
              <w:right w:val="outset" w:sz="6" w:space="0" w:color="auto"/>
            </w:tcBorders>
            <w:hideMark/>
          </w:tcPr>
          <w:p w:rsidR="000C2A89" w:rsidRPr="000C2A89" w:rsidRDefault="000C2A89" w:rsidP="000C2A89">
            <w:pPr>
              <w:spacing w:after="0"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00440618</w:t>
            </w:r>
          </w:p>
        </w:tc>
      </w:tr>
    </w:tbl>
    <w:p w:rsidR="000C2A89" w:rsidRPr="000C2A89" w:rsidRDefault="000C2A89" w:rsidP="000C2A89">
      <w:pPr>
        <w:spacing w:before="100" w:beforeAutospacing="1" w:after="100" w:afterAutospacing="1"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 xml:space="preserve">Note: A. The sub-head “other receipts” is meant for interest, penalty </w:t>
      </w:r>
      <w:proofErr w:type="spellStart"/>
      <w:r w:rsidRPr="000C2A89">
        <w:rPr>
          <w:rFonts w:ascii="Times New Roman" w:eastAsia="Times New Roman" w:hAnsi="Times New Roman" w:cs="Times New Roman"/>
          <w:sz w:val="24"/>
          <w:szCs w:val="24"/>
          <w:lang w:bidi="ar-SA"/>
        </w:rPr>
        <w:t>leviable</w:t>
      </w:r>
      <w:proofErr w:type="spellEnd"/>
      <w:r w:rsidRPr="000C2A89">
        <w:rPr>
          <w:rFonts w:ascii="Times New Roman" w:eastAsia="Times New Roman" w:hAnsi="Times New Roman" w:cs="Times New Roman"/>
          <w:sz w:val="24"/>
          <w:szCs w:val="24"/>
          <w:lang w:bidi="ar-SA"/>
        </w:rPr>
        <w:t xml:space="preserve"> on delayed payment of service tax</w:t>
      </w:r>
    </w:p>
    <w:p w:rsidR="000C2A89" w:rsidRPr="000C2A89" w:rsidRDefault="000C2A89" w:rsidP="000C2A89">
      <w:pPr>
        <w:spacing w:before="100" w:beforeAutospacing="1" w:after="100" w:afterAutospacing="1"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 xml:space="preserve">B. The sub-head “deduct refunds” is not to be used by the </w:t>
      </w:r>
      <w:proofErr w:type="spellStart"/>
      <w:r w:rsidRPr="000C2A89">
        <w:rPr>
          <w:rFonts w:ascii="Times New Roman" w:eastAsia="Times New Roman" w:hAnsi="Times New Roman" w:cs="Times New Roman"/>
          <w:sz w:val="24"/>
          <w:szCs w:val="24"/>
          <w:lang w:bidi="ar-SA"/>
        </w:rPr>
        <w:t>assessees</w:t>
      </w:r>
      <w:proofErr w:type="spellEnd"/>
      <w:r w:rsidRPr="000C2A89">
        <w:rPr>
          <w:rFonts w:ascii="Times New Roman" w:eastAsia="Times New Roman" w:hAnsi="Times New Roman" w:cs="Times New Roman"/>
          <w:sz w:val="24"/>
          <w:szCs w:val="24"/>
          <w:lang w:bidi="ar-SA"/>
        </w:rPr>
        <w:t>, as it is meant for the Revenue/</w:t>
      </w:r>
      <w:proofErr w:type="spellStart"/>
      <w:r w:rsidRPr="000C2A89">
        <w:rPr>
          <w:rFonts w:ascii="Times New Roman" w:eastAsia="Times New Roman" w:hAnsi="Times New Roman" w:cs="Times New Roman"/>
          <w:sz w:val="24"/>
          <w:szCs w:val="24"/>
          <w:lang w:bidi="ar-SA"/>
        </w:rPr>
        <w:t>Commissionerates</w:t>
      </w:r>
      <w:proofErr w:type="spellEnd"/>
      <w:r w:rsidRPr="000C2A89">
        <w:rPr>
          <w:rFonts w:ascii="Times New Roman" w:eastAsia="Times New Roman" w:hAnsi="Times New Roman" w:cs="Times New Roman"/>
          <w:sz w:val="24"/>
          <w:szCs w:val="24"/>
          <w:lang w:bidi="ar-SA"/>
        </w:rPr>
        <w:t xml:space="preserve"> while allowing refund of tax</w:t>
      </w:r>
    </w:p>
    <w:p w:rsidR="000C2A89" w:rsidRPr="000C2A89" w:rsidRDefault="000C2A89" w:rsidP="000C2A89">
      <w:pPr>
        <w:spacing w:before="100" w:beforeAutospacing="1" w:after="100" w:afterAutospacing="1"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 xml:space="preserve">C. Primary education </w:t>
      </w:r>
      <w:proofErr w:type="spellStart"/>
      <w:r w:rsidRPr="000C2A89">
        <w:rPr>
          <w:rFonts w:ascii="Times New Roman" w:eastAsia="Times New Roman" w:hAnsi="Times New Roman" w:cs="Times New Roman"/>
          <w:sz w:val="24"/>
          <w:szCs w:val="24"/>
          <w:lang w:bidi="ar-SA"/>
        </w:rPr>
        <w:t>cess</w:t>
      </w:r>
      <w:proofErr w:type="spellEnd"/>
      <w:r w:rsidRPr="000C2A89">
        <w:rPr>
          <w:rFonts w:ascii="Times New Roman" w:eastAsia="Times New Roman" w:hAnsi="Times New Roman" w:cs="Times New Roman"/>
          <w:sz w:val="24"/>
          <w:szCs w:val="24"/>
          <w:lang w:bidi="ar-SA"/>
        </w:rPr>
        <w:t xml:space="preserve"> on all taxable services will be booked </w:t>
      </w:r>
      <w:proofErr w:type="gramStart"/>
      <w:r w:rsidRPr="000C2A89">
        <w:rPr>
          <w:rFonts w:ascii="Times New Roman" w:eastAsia="Times New Roman" w:hAnsi="Times New Roman" w:cs="Times New Roman"/>
          <w:sz w:val="24"/>
          <w:szCs w:val="24"/>
          <w:lang w:bidi="ar-SA"/>
        </w:rPr>
        <w:t>under</w:t>
      </w:r>
      <w:proofErr w:type="gramEnd"/>
      <w:r w:rsidRPr="000C2A89">
        <w:rPr>
          <w:rFonts w:ascii="Times New Roman" w:eastAsia="Times New Roman" w:hAnsi="Times New Roman" w:cs="Times New Roman"/>
          <w:sz w:val="24"/>
          <w:szCs w:val="24"/>
          <w:lang w:bidi="ar-SA"/>
        </w:rPr>
        <w:t xml:space="preserve"> 00440298 and Secondary Higher Education </w:t>
      </w:r>
      <w:proofErr w:type="spellStart"/>
      <w:r w:rsidRPr="000C2A89">
        <w:rPr>
          <w:rFonts w:ascii="Times New Roman" w:eastAsia="Times New Roman" w:hAnsi="Times New Roman" w:cs="Times New Roman"/>
          <w:sz w:val="24"/>
          <w:szCs w:val="24"/>
          <w:lang w:bidi="ar-SA"/>
        </w:rPr>
        <w:t>Cess</w:t>
      </w:r>
      <w:proofErr w:type="spellEnd"/>
      <w:r w:rsidRPr="000C2A89">
        <w:rPr>
          <w:rFonts w:ascii="Times New Roman" w:eastAsia="Times New Roman" w:hAnsi="Times New Roman" w:cs="Times New Roman"/>
          <w:sz w:val="24"/>
          <w:szCs w:val="24"/>
          <w:lang w:bidi="ar-SA"/>
        </w:rPr>
        <w:t xml:space="preserve"> will be booked under 00440426</w:t>
      </w:r>
    </w:p>
    <w:p w:rsidR="000C2A89" w:rsidRPr="000C2A89" w:rsidRDefault="000C2A89" w:rsidP="000C2A89">
      <w:pPr>
        <w:spacing w:before="100" w:beforeAutospacing="1" w:after="100" w:afterAutospacing="1"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D. If NSDL have issued any dummy codes for revenue collection and interest/penalty for the above eight services, all these dummy codes should be treated as void and may be replaced by the correct account codes as stated above</w:t>
      </w:r>
    </w:p>
    <w:p w:rsidR="000C2A89" w:rsidRPr="000C2A89" w:rsidRDefault="000C2A89" w:rsidP="000C2A89">
      <w:pPr>
        <w:spacing w:before="100" w:beforeAutospacing="1" w:after="100" w:afterAutospacing="1" w:line="240" w:lineRule="auto"/>
        <w:jc w:val="left"/>
        <w:rPr>
          <w:rFonts w:ascii="Times New Roman" w:eastAsia="Times New Roman" w:hAnsi="Times New Roman" w:cs="Times New Roman"/>
          <w:sz w:val="24"/>
          <w:szCs w:val="24"/>
          <w:lang w:bidi="ar-SA"/>
        </w:rPr>
      </w:pPr>
      <w:r w:rsidRPr="000C2A89">
        <w:rPr>
          <w:rFonts w:ascii="Times New Roman" w:eastAsia="Times New Roman" w:hAnsi="Times New Roman" w:cs="Times New Roman"/>
          <w:sz w:val="24"/>
          <w:szCs w:val="24"/>
          <w:lang w:bidi="ar-SA"/>
        </w:rPr>
        <w:t>5. Description of taxable services provided at column (2) of the given table for ease of reference, does not limit the scope of the taxable service.</w:t>
      </w:r>
    </w:p>
    <w:p w:rsidR="00B40423" w:rsidRDefault="000C2A89" w:rsidP="000C2A89">
      <w:pPr>
        <w:spacing w:before="100" w:beforeAutospacing="1" w:after="100" w:afterAutospacing="1" w:line="240" w:lineRule="auto"/>
        <w:jc w:val="left"/>
      </w:pPr>
      <w:r w:rsidRPr="000C2A89">
        <w:rPr>
          <w:rFonts w:ascii="Times New Roman" w:eastAsia="Times New Roman" w:hAnsi="Times New Roman" w:cs="Times New Roman"/>
          <w:sz w:val="24"/>
          <w:szCs w:val="24"/>
          <w:lang w:bidi="ar-SA"/>
        </w:rPr>
        <w:t>6. Trade Notice/Public Notice may be issued to the field formations and taxpayers</w:t>
      </w:r>
    </w:p>
    <w:sectPr w:rsidR="00B40423" w:rsidSect="00B404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C2A89"/>
    <w:rsid w:val="000C2A89"/>
    <w:rsid w:val="00574EDC"/>
    <w:rsid w:val="00B40423"/>
    <w:rsid w:val="00C7774F"/>
    <w:rsid w:val="00D30D15"/>
    <w:rsid w:val="00E349E7"/>
    <w:rsid w:val="00FC26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641"/>
  </w:style>
  <w:style w:type="paragraph" w:styleId="Heading1">
    <w:name w:val="heading 1"/>
    <w:basedOn w:val="Normal"/>
    <w:next w:val="Normal"/>
    <w:link w:val="Heading1Char"/>
    <w:uiPriority w:val="9"/>
    <w:qFormat/>
    <w:rsid w:val="00FC2641"/>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FC2641"/>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FC2641"/>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FC2641"/>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FC2641"/>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FC2641"/>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FC2641"/>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FC2641"/>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FC2641"/>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641"/>
    <w:rPr>
      <w:smallCaps/>
      <w:spacing w:val="5"/>
      <w:sz w:val="32"/>
      <w:szCs w:val="32"/>
    </w:rPr>
  </w:style>
  <w:style w:type="character" w:customStyle="1" w:styleId="Heading2Char">
    <w:name w:val="Heading 2 Char"/>
    <w:basedOn w:val="DefaultParagraphFont"/>
    <w:link w:val="Heading2"/>
    <w:uiPriority w:val="9"/>
    <w:semiHidden/>
    <w:rsid w:val="00FC2641"/>
    <w:rPr>
      <w:smallCaps/>
      <w:spacing w:val="5"/>
      <w:sz w:val="28"/>
      <w:szCs w:val="28"/>
    </w:rPr>
  </w:style>
  <w:style w:type="character" w:customStyle="1" w:styleId="Heading3Char">
    <w:name w:val="Heading 3 Char"/>
    <w:basedOn w:val="DefaultParagraphFont"/>
    <w:link w:val="Heading3"/>
    <w:uiPriority w:val="9"/>
    <w:semiHidden/>
    <w:rsid w:val="00FC2641"/>
    <w:rPr>
      <w:smallCaps/>
      <w:spacing w:val="5"/>
      <w:sz w:val="24"/>
      <w:szCs w:val="24"/>
    </w:rPr>
  </w:style>
  <w:style w:type="character" w:customStyle="1" w:styleId="Heading4Char">
    <w:name w:val="Heading 4 Char"/>
    <w:basedOn w:val="DefaultParagraphFont"/>
    <w:link w:val="Heading4"/>
    <w:uiPriority w:val="9"/>
    <w:semiHidden/>
    <w:rsid w:val="00FC2641"/>
    <w:rPr>
      <w:smallCaps/>
      <w:spacing w:val="10"/>
      <w:sz w:val="22"/>
      <w:szCs w:val="22"/>
    </w:rPr>
  </w:style>
  <w:style w:type="character" w:customStyle="1" w:styleId="Heading5Char">
    <w:name w:val="Heading 5 Char"/>
    <w:basedOn w:val="DefaultParagraphFont"/>
    <w:link w:val="Heading5"/>
    <w:uiPriority w:val="9"/>
    <w:semiHidden/>
    <w:rsid w:val="00FC2641"/>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FC2641"/>
    <w:rPr>
      <w:smallCaps/>
      <w:color w:val="C0504D" w:themeColor="accent2"/>
      <w:spacing w:val="5"/>
      <w:sz w:val="22"/>
    </w:rPr>
  </w:style>
  <w:style w:type="character" w:customStyle="1" w:styleId="Heading7Char">
    <w:name w:val="Heading 7 Char"/>
    <w:basedOn w:val="DefaultParagraphFont"/>
    <w:link w:val="Heading7"/>
    <w:uiPriority w:val="9"/>
    <w:semiHidden/>
    <w:rsid w:val="00FC2641"/>
    <w:rPr>
      <w:b/>
      <w:smallCaps/>
      <w:color w:val="C0504D" w:themeColor="accent2"/>
      <w:spacing w:val="10"/>
    </w:rPr>
  </w:style>
  <w:style w:type="character" w:customStyle="1" w:styleId="Heading8Char">
    <w:name w:val="Heading 8 Char"/>
    <w:basedOn w:val="DefaultParagraphFont"/>
    <w:link w:val="Heading8"/>
    <w:uiPriority w:val="9"/>
    <w:semiHidden/>
    <w:rsid w:val="00FC2641"/>
    <w:rPr>
      <w:b/>
      <w:i/>
      <w:smallCaps/>
      <w:color w:val="943634" w:themeColor="accent2" w:themeShade="BF"/>
    </w:rPr>
  </w:style>
  <w:style w:type="character" w:customStyle="1" w:styleId="Heading9Char">
    <w:name w:val="Heading 9 Char"/>
    <w:basedOn w:val="DefaultParagraphFont"/>
    <w:link w:val="Heading9"/>
    <w:uiPriority w:val="9"/>
    <w:semiHidden/>
    <w:rsid w:val="00FC2641"/>
    <w:rPr>
      <w:b/>
      <w:i/>
      <w:smallCaps/>
      <w:color w:val="622423" w:themeColor="accent2" w:themeShade="7F"/>
    </w:rPr>
  </w:style>
  <w:style w:type="paragraph" w:styleId="Caption">
    <w:name w:val="caption"/>
    <w:basedOn w:val="Normal"/>
    <w:next w:val="Normal"/>
    <w:uiPriority w:val="35"/>
    <w:semiHidden/>
    <w:unhideWhenUsed/>
    <w:qFormat/>
    <w:rsid w:val="00FC2641"/>
    <w:rPr>
      <w:b/>
      <w:bCs/>
      <w:caps/>
      <w:sz w:val="16"/>
      <w:szCs w:val="18"/>
    </w:rPr>
  </w:style>
  <w:style w:type="paragraph" w:styleId="Title">
    <w:name w:val="Title"/>
    <w:basedOn w:val="Normal"/>
    <w:next w:val="Normal"/>
    <w:link w:val="TitleChar"/>
    <w:uiPriority w:val="10"/>
    <w:qFormat/>
    <w:rsid w:val="00FC2641"/>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FC2641"/>
    <w:rPr>
      <w:smallCaps/>
      <w:sz w:val="48"/>
      <w:szCs w:val="48"/>
    </w:rPr>
  </w:style>
  <w:style w:type="paragraph" w:styleId="Subtitle">
    <w:name w:val="Subtitle"/>
    <w:basedOn w:val="Normal"/>
    <w:next w:val="Normal"/>
    <w:link w:val="SubtitleChar"/>
    <w:uiPriority w:val="11"/>
    <w:qFormat/>
    <w:rsid w:val="00FC2641"/>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FC2641"/>
    <w:rPr>
      <w:rFonts w:asciiTheme="majorHAnsi" w:eastAsiaTheme="majorEastAsia" w:hAnsiTheme="majorHAnsi" w:cstheme="majorBidi"/>
      <w:szCs w:val="22"/>
    </w:rPr>
  </w:style>
  <w:style w:type="character" w:styleId="Strong">
    <w:name w:val="Strong"/>
    <w:uiPriority w:val="22"/>
    <w:qFormat/>
    <w:rsid w:val="00FC2641"/>
    <w:rPr>
      <w:b/>
      <w:color w:val="C0504D" w:themeColor="accent2"/>
    </w:rPr>
  </w:style>
  <w:style w:type="character" w:styleId="Emphasis">
    <w:name w:val="Emphasis"/>
    <w:uiPriority w:val="20"/>
    <w:qFormat/>
    <w:rsid w:val="00FC2641"/>
    <w:rPr>
      <w:b/>
      <w:i/>
      <w:spacing w:val="10"/>
    </w:rPr>
  </w:style>
  <w:style w:type="paragraph" w:styleId="NoSpacing">
    <w:name w:val="No Spacing"/>
    <w:basedOn w:val="Normal"/>
    <w:link w:val="NoSpacingChar"/>
    <w:uiPriority w:val="1"/>
    <w:qFormat/>
    <w:rsid w:val="00FC2641"/>
    <w:pPr>
      <w:spacing w:after="0" w:line="240" w:lineRule="auto"/>
    </w:pPr>
  </w:style>
  <w:style w:type="character" w:customStyle="1" w:styleId="NoSpacingChar">
    <w:name w:val="No Spacing Char"/>
    <w:basedOn w:val="DefaultParagraphFont"/>
    <w:link w:val="NoSpacing"/>
    <w:uiPriority w:val="1"/>
    <w:rsid w:val="00FC2641"/>
  </w:style>
  <w:style w:type="paragraph" w:styleId="ListParagraph">
    <w:name w:val="List Paragraph"/>
    <w:basedOn w:val="Normal"/>
    <w:uiPriority w:val="34"/>
    <w:qFormat/>
    <w:rsid w:val="00FC2641"/>
    <w:pPr>
      <w:ind w:left="720"/>
      <w:contextualSpacing/>
    </w:pPr>
  </w:style>
  <w:style w:type="paragraph" w:styleId="Quote">
    <w:name w:val="Quote"/>
    <w:basedOn w:val="Normal"/>
    <w:next w:val="Normal"/>
    <w:link w:val="QuoteChar"/>
    <w:uiPriority w:val="29"/>
    <w:qFormat/>
    <w:rsid w:val="00FC2641"/>
    <w:rPr>
      <w:i/>
    </w:rPr>
  </w:style>
  <w:style w:type="character" w:customStyle="1" w:styleId="QuoteChar">
    <w:name w:val="Quote Char"/>
    <w:basedOn w:val="DefaultParagraphFont"/>
    <w:link w:val="Quote"/>
    <w:uiPriority w:val="29"/>
    <w:rsid w:val="00FC2641"/>
    <w:rPr>
      <w:i/>
    </w:rPr>
  </w:style>
  <w:style w:type="paragraph" w:styleId="IntenseQuote">
    <w:name w:val="Intense Quote"/>
    <w:basedOn w:val="Normal"/>
    <w:next w:val="Normal"/>
    <w:link w:val="IntenseQuoteChar"/>
    <w:uiPriority w:val="30"/>
    <w:qFormat/>
    <w:rsid w:val="00FC264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FC2641"/>
    <w:rPr>
      <w:b/>
      <w:i/>
      <w:color w:val="FFFFFF" w:themeColor="background1"/>
      <w:shd w:val="clear" w:color="auto" w:fill="C0504D" w:themeFill="accent2"/>
    </w:rPr>
  </w:style>
  <w:style w:type="character" w:styleId="SubtleEmphasis">
    <w:name w:val="Subtle Emphasis"/>
    <w:uiPriority w:val="19"/>
    <w:qFormat/>
    <w:rsid w:val="00FC2641"/>
    <w:rPr>
      <w:i/>
    </w:rPr>
  </w:style>
  <w:style w:type="character" w:styleId="IntenseEmphasis">
    <w:name w:val="Intense Emphasis"/>
    <w:uiPriority w:val="21"/>
    <w:qFormat/>
    <w:rsid w:val="00FC2641"/>
    <w:rPr>
      <w:b/>
      <w:i/>
      <w:color w:val="C0504D" w:themeColor="accent2"/>
      <w:spacing w:val="10"/>
    </w:rPr>
  </w:style>
  <w:style w:type="character" w:styleId="SubtleReference">
    <w:name w:val="Subtle Reference"/>
    <w:uiPriority w:val="31"/>
    <w:qFormat/>
    <w:rsid w:val="00FC2641"/>
    <w:rPr>
      <w:b/>
    </w:rPr>
  </w:style>
  <w:style w:type="character" w:styleId="IntenseReference">
    <w:name w:val="Intense Reference"/>
    <w:uiPriority w:val="32"/>
    <w:qFormat/>
    <w:rsid w:val="00FC2641"/>
    <w:rPr>
      <w:b/>
      <w:bCs/>
      <w:smallCaps/>
      <w:spacing w:val="5"/>
      <w:sz w:val="22"/>
      <w:szCs w:val="22"/>
      <w:u w:val="single"/>
    </w:rPr>
  </w:style>
  <w:style w:type="character" w:styleId="BookTitle">
    <w:name w:val="Book Title"/>
    <w:uiPriority w:val="33"/>
    <w:qFormat/>
    <w:rsid w:val="00FC2641"/>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FC2641"/>
    <w:pPr>
      <w:outlineLvl w:val="9"/>
    </w:pPr>
  </w:style>
  <w:style w:type="paragraph" w:styleId="NormalWeb">
    <w:name w:val="Normal (Web)"/>
    <w:basedOn w:val="Normal"/>
    <w:uiPriority w:val="99"/>
    <w:semiHidden/>
    <w:unhideWhenUsed/>
    <w:rsid w:val="000C2A89"/>
    <w:pPr>
      <w:spacing w:before="100" w:beforeAutospacing="1" w:after="100" w:afterAutospacing="1" w:line="240" w:lineRule="auto"/>
      <w:jc w:val="left"/>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99698683">
      <w:bodyDiv w:val="1"/>
      <w:marLeft w:val="0"/>
      <w:marRight w:val="0"/>
      <w:marTop w:val="0"/>
      <w:marBottom w:val="0"/>
      <w:divBdr>
        <w:top w:val="none" w:sz="0" w:space="0" w:color="auto"/>
        <w:left w:val="none" w:sz="0" w:space="0" w:color="auto"/>
        <w:bottom w:val="none" w:sz="0" w:space="0" w:color="auto"/>
        <w:right w:val="none" w:sz="0" w:space="0" w:color="auto"/>
      </w:divBdr>
      <w:divsChild>
        <w:div w:id="665670776">
          <w:marLeft w:val="0"/>
          <w:marRight w:val="0"/>
          <w:marTop w:val="0"/>
          <w:marBottom w:val="0"/>
          <w:divBdr>
            <w:top w:val="none" w:sz="0" w:space="0" w:color="auto"/>
            <w:left w:val="none" w:sz="0" w:space="0" w:color="auto"/>
            <w:bottom w:val="none" w:sz="0" w:space="0" w:color="auto"/>
            <w:right w:val="none" w:sz="0" w:space="0" w:color="auto"/>
          </w:divBdr>
          <w:divsChild>
            <w:div w:id="1999645833">
              <w:marLeft w:val="0"/>
              <w:marRight w:val="0"/>
              <w:marTop w:val="0"/>
              <w:marBottom w:val="0"/>
              <w:divBdr>
                <w:top w:val="none" w:sz="0" w:space="0" w:color="auto"/>
                <w:left w:val="none" w:sz="0" w:space="0" w:color="auto"/>
                <w:bottom w:val="none" w:sz="0" w:space="0" w:color="auto"/>
                <w:right w:val="none" w:sz="0" w:space="0" w:color="auto"/>
              </w:divBdr>
              <w:divsChild>
                <w:div w:id="1108507189">
                  <w:marLeft w:val="0"/>
                  <w:marRight w:val="0"/>
                  <w:marTop w:val="0"/>
                  <w:marBottom w:val="0"/>
                  <w:divBdr>
                    <w:top w:val="none" w:sz="0" w:space="0" w:color="auto"/>
                    <w:left w:val="none" w:sz="0" w:space="0" w:color="auto"/>
                    <w:bottom w:val="none" w:sz="0" w:space="0" w:color="auto"/>
                    <w:right w:val="none" w:sz="0" w:space="0" w:color="auto"/>
                  </w:divBdr>
                  <w:divsChild>
                    <w:div w:id="258343090">
                      <w:marLeft w:val="0"/>
                      <w:marRight w:val="0"/>
                      <w:marTop w:val="0"/>
                      <w:marBottom w:val="0"/>
                      <w:divBdr>
                        <w:top w:val="none" w:sz="0" w:space="0" w:color="auto"/>
                        <w:left w:val="none" w:sz="0" w:space="0" w:color="auto"/>
                        <w:bottom w:val="none" w:sz="0" w:space="0" w:color="auto"/>
                        <w:right w:val="none" w:sz="0" w:space="0" w:color="auto"/>
                      </w:divBdr>
                      <w:divsChild>
                        <w:div w:id="668607287">
                          <w:marLeft w:val="0"/>
                          <w:marRight w:val="0"/>
                          <w:marTop w:val="0"/>
                          <w:marBottom w:val="0"/>
                          <w:divBdr>
                            <w:top w:val="none" w:sz="0" w:space="0" w:color="auto"/>
                            <w:left w:val="none" w:sz="0" w:space="0" w:color="auto"/>
                            <w:bottom w:val="none" w:sz="0" w:space="0" w:color="auto"/>
                            <w:right w:val="none" w:sz="0" w:space="0" w:color="auto"/>
                          </w:divBdr>
                          <w:divsChild>
                            <w:div w:id="1787769997">
                              <w:marLeft w:val="0"/>
                              <w:marRight w:val="0"/>
                              <w:marTop w:val="0"/>
                              <w:marBottom w:val="0"/>
                              <w:divBdr>
                                <w:top w:val="none" w:sz="0" w:space="0" w:color="auto"/>
                                <w:left w:val="none" w:sz="0" w:space="0" w:color="auto"/>
                                <w:bottom w:val="none" w:sz="0" w:space="0" w:color="auto"/>
                                <w:right w:val="none" w:sz="0" w:space="0" w:color="auto"/>
                              </w:divBdr>
                            </w:div>
                            <w:div w:id="76029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pex">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2656</Characters>
  <Application>Microsoft Office Word</Application>
  <DocSecurity>0</DocSecurity>
  <Lines>22</Lines>
  <Paragraphs>6</Paragraphs>
  <ScaleCrop>false</ScaleCrop>
  <Company> </Company>
  <LinksUpToDate>false</LinksUpToDate>
  <CharactersWithSpaces>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MDave</dc:creator>
  <cp:keywords/>
  <dc:description/>
  <cp:lastModifiedBy>MDave</cp:lastModifiedBy>
  <cp:revision>1</cp:revision>
  <dcterms:created xsi:type="dcterms:W3CDTF">2010-07-01T04:10:00Z</dcterms:created>
  <dcterms:modified xsi:type="dcterms:W3CDTF">2010-07-01T04:11:00Z</dcterms:modified>
</cp:coreProperties>
</file>