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1F9BA581"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2546B5EA"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7F131A">
                    <w:rPr>
                      <w:rFonts w:ascii="Comic Sans MS" w:hAnsi="Comic Sans MS"/>
                      <w:color w:val="FFFFFF" w:themeColor="background1"/>
                      <w:sz w:val="24"/>
                      <w:szCs w:val="24"/>
                    </w:rPr>
                    <w:t>2</w:t>
                  </w:r>
                  <w:r w:rsidR="001032DD">
                    <w:rPr>
                      <w:rFonts w:ascii="Comic Sans MS" w:hAnsi="Comic Sans MS"/>
                      <w:color w:val="FFFFFF" w:themeColor="background1"/>
                      <w:sz w:val="24"/>
                      <w:szCs w:val="24"/>
                    </w:rPr>
                    <w:t>6</w:t>
                  </w:r>
                  <w:r w:rsidR="00A8357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222E82">
                    <w:rPr>
                      <w:rFonts w:ascii="Comic Sans MS" w:hAnsi="Comic Sans MS"/>
                      <w:color w:val="FFFFFF" w:themeColor="background1"/>
                      <w:sz w:val="24"/>
                      <w:szCs w:val="24"/>
                    </w:rPr>
                    <w:t>2</w:t>
                  </w:r>
                  <w:r w:rsidR="001032DD">
                    <w:rPr>
                      <w:rFonts w:ascii="Comic Sans MS" w:hAnsi="Comic Sans MS"/>
                      <w:color w:val="FFFFFF" w:themeColor="background1"/>
                      <w:sz w:val="24"/>
                      <w:szCs w:val="24"/>
                    </w:rPr>
                    <w:t>9</w:t>
                  </w:r>
                  <w:r w:rsidR="001032DD">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212A0A">
                    <w:rPr>
                      <w:rFonts w:ascii="Comic Sans MS" w:hAnsi="Comic Sans MS"/>
                      <w:color w:val="FFFFFF" w:themeColor="background1"/>
                      <w:sz w:val="24"/>
                      <w:szCs w:val="24"/>
                    </w:rPr>
                    <w:t>October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1032DD">
                    <w:rPr>
                      <w:rFonts w:ascii="Comic Sans MS" w:hAnsi="Comic Sans MS"/>
                      <w:color w:val="FFFFFF" w:themeColor="background1"/>
                      <w:sz w:val="24"/>
                      <w:szCs w:val="24"/>
                    </w:rPr>
                    <w:t>04</w:t>
                  </w:r>
                  <w:r w:rsidR="00E43E32">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1032DD">
                    <w:rPr>
                      <w:rFonts w:ascii="Comic Sans MS" w:hAnsi="Comic Sans MS"/>
                      <w:color w:val="FFFFFF" w:themeColor="background1"/>
                      <w:sz w:val="24"/>
                      <w:szCs w:val="24"/>
                    </w:rPr>
                    <w:t>November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rFonts w:ascii="Calibri" w:hAnsi="Calibri"/>
          <w:noProof/>
          <w:sz w:val="22"/>
          <w:szCs w:val="22"/>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rFonts w:ascii="Calibri" w:hAnsi="Calibri"/>
          <w:noProof/>
          <w:sz w:val="22"/>
          <w:szCs w:val="22"/>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 xml:space="preserve">TAX </w:t>
                  </w:r>
                  <w:proofErr w:type="gramStart"/>
                  <w:r w:rsidRPr="00A612D8">
                    <w:rPr>
                      <w:rFonts w:cstheme="minorHAnsi"/>
                      <w:b/>
                      <w:sz w:val="24"/>
                      <w:szCs w:val="24"/>
                    </w:rPr>
                    <w:t>CONNECT</w:t>
                  </w:r>
                  <w:r w:rsidR="00946D4E">
                    <w:rPr>
                      <w:rFonts w:cstheme="minorHAnsi"/>
                      <w:b/>
                      <w:sz w:val="24"/>
                      <w:szCs w:val="24"/>
                    </w:rPr>
                    <w:t xml:space="preserve"> </w:t>
                  </w:r>
                  <w:r w:rsidR="00967435">
                    <w:rPr>
                      <w:rFonts w:cstheme="minorHAnsi"/>
                      <w:b/>
                      <w:sz w:val="24"/>
                      <w:szCs w:val="24"/>
                    </w:rPr>
                    <w:t>:</w:t>
                  </w:r>
                  <w:proofErr w:type="gramEnd"/>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w:t>
                  </w:r>
                  <w:proofErr w:type="spellStart"/>
                  <w:r w:rsidRPr="00CD662B">
                    <w:rPr>
                      <w:rFonts w:cstheme="minorHAnsi"/>
                      <w:sz w:val="24"/>
                      <w:szCs w:val="24"/>
                    </w:rPr>
                    <w:t>Kaamgar</w:t>
                  </w:r>
                  <w:proofErr w:type="spellEnd"/>
                  <w:r w:rsidRPr="00CD662B">
                    <w:rPr>
                      <w:rFonts w:cstheme="minorHAnsi"/>
                      <w:sz w:val="24"/>
                      <w:szCs w:val="24"/>
                    </w:rPr>
                    <w:t xml:space="preserve">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64625DBA" w14:textId="77777777" w:rsidR="00854C9F" w:rsidRDefault="00854C9F" w:rsidP="006026A8">
      <w:pPr>
        <w:tabs>
          <w:tab w:val="left" w:pos="4820"/>
        </w:tabs>
        <w:spacing w:after="0" w:line="360" w:lineRule="auto"/>
        <w:ind w:right="-70"/>
        <w:contextualSpacing/>
        <w:jc w:val="both"/>
        <w:rPr>
          <w:rFonts w:cstheme="minorHAnsi"/>
          <w:b/>
        </w:rPr>
      </w:pPr>
    </w:p>
    <w:p w14:paraId="53AB9750" w14:textId="2505A39C" w:rsidR="00662BCF" w:rsidRPr="00854C9F" w:rsidRDefault="001D547F" w:rsidP="006026A8">
      <w:pPr>
        <w:tabs>
          <w:tab w:val="left" w:pos="4820"/>
        </w:tabs>
        <w:spacing w:after="0" w:line="360" w:lineRule="auto"/>
        <w:ind w:right="-70"/>
        <w:contextualSpacing/>
        <w:jc w:val="both"/>
        <w:rPr>
          <w:rFonts w:cstheme="minorHAnsi"/>
          <w:b/>
          <w:sz w:val="22"/>
          <w:szCs w:val="22"/>
        </w:rPr>
      </w:pPr>
      <w:r w:rsidRPr="00854C9F">
        <w:rPr>
          <w:rFonts w:cstheme="minorHAnsi"/>
          <w:b/>
          <w:sz w:val="22"/>
          <w:szCs w:val="22"/>
        </w:rPr>
        <w:t>Friends,</w:t>
      </w:r>
    </w:p>
    <w:p w14:paraId="5ECD3578" w14:textId="77777777" w:rsidR="004323AB" w:rsidRDefault="004323AB" w:rsidP="004323AB">
      <w:pPr>
        <w:tabs>
          <w:tab w:val="left" w:pos="4820"/>
        </w:tabs>
        <w:spacing w:after="0" w:line="276" w:lineRule="auto"/>
        <w:ind w:right="-70"/>
        <w:contextualSpacing/>
        <w:jc w:val="both"/>
      </w:pPr>
      <w:r>
        <w:t xml:space="preserve">The gold coins and white goods distributed by principals to the dealers, on the quantity lifted by the dealers, cannot be regarded as 'gifts' as the dealer is eligible for the gold coins and white goods only to the extent of amount lying as credit to his account and is subjected to the satisfaction of the terms and conditions of the Scheme. This would result in the enhancement of the sales of the company and could be considered as furtherance of business. The transfer is not gratuitous and cannot be demanded, to qualify as gifts. Hence ITC on transfer of such gold coins would not be regarded as blocked ITC u/s 17(5)(h) of The CGST Act 2017. The Honourable Supreme Court in the case of Sonia Bhatia v. State of UP [1981 (3) TMI 250- Supreme Court) - 1981-VIL-06-SC, ruled wherein 'gift' has been held to hit a voluntary transfer of property by one to another, without any consideration or compensation. Therefore A 'gift' is a gratuity and an act of generosity and does not require a consideration: if there a consideration for the transaction, it is not a gift. In the same case, it was also held that a gift is a transfer which does not contain any element of consideration in any shape and form Love, affection, spiritual benefit and many other factors may enter in the intention of the donor to make a gift, but these filial considerations cannot be called or held to be legal considerations as understood by law. </w:t>
      </w:r>
    </w:p>
    <w:p w14:paraId="03E669B9" w14:textId="77777777" w:rsidR="004323AB" w:rsidRDefault="004323AB" w:rsidP="004323AB">
      <w:pPr>
        <w:tabs>
          <w:tab w:val="left" w:pos="4820"/>
        </w:tabs>
        <w:spacing w:after="0" w:line="276" w:lineRule="auto"/>
        <w:ind w:right="-70"/>
        <w:contextualSpacing/>
        <w:jc w:val="both"/>
      </w:pPr>
    </w:p>
    <w:p w14:paraId="0986171B" w14:textId="01891B3B" w:rsidR="00854C9F" w:rsidRDefault="004323AB" w:rsidP="004323AB">
      <w:pPr>
        <w:tabs>
          <w:tab w:val="left" w:pos="4820"/>
        </w:tabs>
        <w:spacing w:after="0" w:line="276" w:lineRule="auto"/>
        <w:ind w:right="-70"/>
        <w:contextualSpacing/>
        <w:jc w:val="both"/>
      </w:pPr>
      <w:r>
        <w:t xml:space="preserve">The distribution of gold coins and white goods cannot be regarded as permanent transfer or disposal of business assets as the said gold coins are not ‘assets’ which held in generating ‘future cash flows’ for the taxpayer. An asset in common parlance and trade understanding are considered as items of the balance sheet. However, the gold coins discussed above are charged off to the P/L Account as a ‘sales promotion’ expense. Thus, they should not be considered as supply u/s 7(1)(c) read with </w:t>
      </w:r>
      <w:proofErr w:type="spellStart"/>
      <w:r>
        <w:t>Sl</w:t>
      </w:r>
      <w:proofErr w:type="spellEnd"/>
      <w:r>
        <w:t xml:space="preserve"> No 1 of Schedule I of The CGST Act 2017 –</w:t>
      </w:r>
    </w:p>
    <w:p w14:paraId="7BF27C3D" w14:textId="77777777" w:rsidR="004323AB" w:rsidRDefault="004323AB" w:rsidP="004323AB">
      <w:pPr>
        <w:tabs>
          <w:tab w:val="left" w:pos="4820"/>
        </w:tabs>
        <w:spacing w:after="0" w:line="276" w:lineRule="auto"/>
        <w:ind w:right="-70"/>
        <w:contextualSpacing/>
        <w:jc w:val="both"/>
      </w:pPr>
    </w:p>
    <w:p w14:paraId="1616F56A" w14:textId="77777777" w:rsidR="004323AB" w:rsidRDefault="004323AB" w:rsidP="004323AB">
      <w:pPr>
        <w:tabs>
          <w:tab w:val="left" w:pos="4820"/>
        </w:tabs>
        <w:spacing w:after="0" w:line="276" w:lineRule="auto"/>
        <w:ind w:right="-70"/>
        <w:contextualSpacing/>
        <w:jc w:val="both"/>
      </w:pPr>
      <w:r w:rsidRPr="004323AB">
        <w:rPr>
          <w:i/>
          <w:iCs/>
        </w:rPr>
        <w:t>“Permanent transfer or disposal of business assets where input tax credit has been availed on such assets</w:t>
      </w:r>
      <w:r>
        <w:t xml:space="preserve">.” </w:t>
      </w:r>
    </w:p>
    <w:p w14:paraId="4ADBD939" w14:textId="77777777" w:rsidR="004323AB" w:rsidRDefault="004323AB" w:rsidP="004323AB">
      <w:pPr>
        <w:tabs>
          <w:tab w:val="left" w:pos="4820"/>
        </w:tabs>
        <w:spacing w:after="0" w:line="276" w:lineRule="auto"/>
        <w:ind w:right="-70"/>
        <w:contextualSpacing/>
        <w:jc w:val="both"/>
      </w:pPr>
    </w:p>
    <w:p w14:paraId="1DD90748" w14:textId="77777777" w:rsidR="004323AB" w:rsidRDefault="004323AB" w:rsidP="004323AB">
      <w:pPr>
        <w:tabs>
          <w:tab w:val="left" w:pos="4820"/>
        </w:tabs>
        <w:spacing w:after="0" w:line="276" w:lineRule="auto"/>
        <w:ind w:right="-70"/>
        <w:contextualSpacing/>
        <w:jc w:val="both"/>
      </w:pPr>
      <w:r>
        <w:t xml:space="preserve">They would also not be deemed a supply u/s 7(1)(a) read with </w:t>
      </w:r>
      <w:proofErr w:type="spellStart"/>
      <w:r>
        <w:t>Sl</w:t>
      </w:r>
      <w:proofErr w:type="spellEnd"/>
      <w:r>
        <w:t xml:space="preserve"> No 4 of Schedule II of The CGST Act 2017 </w:t>
      </w:r>
      <w:r w:rsidRPr="004323AB">
        <w:rPr>
          <w:i/>
          <w:iCs/>
        </w:rPr>
        <w:t xml:space="preserve">“Transfer of business assets where goods forming part of the assets of a business are transferred or disposed of by or under the directions of the person carrying on the business so as no longer to form part of those assets, 2[Omitted] such transfer or disposal is a supply of goods by the person”. </w:t>
      </w:r>
      <w:r>
        <w:t xml:space="preserve">The reason is the same, that they are not assets itself. Further no consideration is exchanged for such transfer also which is a pre-condition for application of such entry. </w:t>
      </w:r>
    </w:p>
    <w:p w14:paraId="52DB345E" w14:textId="77777777" w:rsidR="004323AB" w:rsidRDefault="004323AB" w:rsidP="004323AB">
      <w:pPr>
        <w:tabs>
          <w:tab w:val="left" w:pos="4820"/>
        </w:tabs>
        <w:spacing w:after="0" w:line="276" w:lineRule="auto"/>
        <w:ind w:right="-70"/>
        <w:contextualSpacing/>
        <w:jc w:val="both"/>
      </w:pPr>
    </w:p>
    <w:p w14:paraId="225469D4" w14:textId="77777777" w:rsidR="004323AB" w:rsidRDefault="004323AB" w:rsidP="004323AB">
      <w:pPr>
        <w:tabs>
          <w:tab w:val="left" w:pos="4820"/>
        </w:tabs>
        <w:spacing w:after="0" w:line="276" w:lineRule="auto"/>
        <w:ind w:right="-70"/>
        <w:contextualSpacing/>
        <w:jc w:val="both"/>
      </w:pPr>
      <w:r>
        <w:t>Entry 3(</w:t>
      </w:r>
      <w:proofErr w:type="spellStart"/>
      <w:r>
        <w:t>i</w:t>
      </w:r>
      <w:proofErr w:type="spellEnd"/>
      <w:r>
        <w:t xml:space="preserve">) of Schedule I provides that "supply of goods" by principal to agent is considered to be deemed supplies when the agent the agent undertakes to supply such goods on behalf of the principal. However, in this case there is no such further supply of gold coins by the agent. </w:t>
      </w:r>
    </w:p>
    <w:p w14:paraId="30E87C30" w14:textId="77777777" w:rsidR="004323AB" w:rsidRDefault="004323AB" w:rsidP="004323AB">
      <w:pPr>
        <w:tabs>
          <w:tab w:val="left" w:pos="4820"/>
        </w:tabs>
        <w:spacing w:after="0" w:line="276" w:lineRule="auto"/>
        <w:ind w:right="-70"/>
        <w:contextualSpacing/>
        <w:jc w:val="both"/>
      </w:pPr>
    </w:p>
    <w:p w14:paraId="77C95F77" w14:textId="77777777" w:rsidR="004323AB" w:rsidRDefault="004323AB" w:rsidP="004323AB">
      <w:pPr>
        <w:tabs>
          <w:tab w:val="left" w:pos="4820"/>
        </w:tabs>
        <w:spacing w:after="0" w:line="276" w:lineRule="auto"/>
        <w:ind w:right="-70"/>
        <w:contextualSpacing/>
        <w:jc w:val="both"/>
      </w:pPr>
      <w:r>
        <w:t xml:space="preserve">However, The AAR Telangana in the case of M/s ORIENT CEMENT LIMITED [2023-VIL-193- AAR] has held that the applicant is making supply of white goods and gold to his dealers or stockiest in return for the dealers or stockiest attaining a threshold of sales indicated in the scheme and therefore, the value of white goods and gold supplied by him are for the ‘act’ of achieving this threshold and therefore taxable in his hands. The value of the goods supply is determined under Section 15 of the GST Act read with Rule 30 of the CGST Rules. </w:t>
      </w:r>
    </w:p>
    <w:p w14:paraId="1F02D08B" w14:textId="77777777" w:rsidR="004323AB" w:rsidRDefault="004323AB" w:rsidP="004323AB">
      <w:pPr>
        <w:tabs>
          <w:tab w:val="left" w:pos="4820"/>
        </w:tabs>
        <w:spacing w:after="0" w:line="276" w:lineRule="auto"/>
        <w:ind w:right="-70"/>
        <w:contextualSpacing/>
        <w:jc w:val="both"/>
      </w:pPr>
    </w:p>
    <w:p w14:paraId="478D120E" w14:textId="0360434F" w:rsidR="004323AB" w:rsidRDefault="004323AB" w:rsidP="004323AB">
      <w:pPr>
        <w:tabs>
          <w:tab w:val="left" w:pos="4820"/>
        </w:tabs>
        <w:spacing w:after="0" w:line="276" w:lineRule="auto"/>
        <w:ind w:right="-70"/>
        <w:contextualSpacing/>
        <w:jc w:val="both"/>
      </w:pPr>
      <w:r>
        <w:t>This AAR seems to thus create a new fiction under GST Law whereby a ‘free service’ would be deemed to be a ‘consideration’. Hence, even if considered that the dealers are providing the ‘act/service for free’ for gold coins supplied by the principal; then also the question arises is whether this ‘act/service for free’ is a consideration. This ruling seems to stretch the implications of the GST Law beyond imagination. Again, it has also opened a new door for litigation – whether this ‘act/service for free’ by dealers would be considered as an independent supply too where the consideration is the gold coin!</w:t>
      </w:r>
    </w:p>
    <w:p w14:paraId="0FD8BE7B" w14:textId="77777777" w:rsidR="004323AB" w:rsidRPr="00854C9F" w:rsidRDefault="004323AB" w:rsidP="00561E41">
      <w:pPr>
        <w:tabs>
          <w:tab w:val="left" w:pos="4820"/>
        </w:tabs>
        <w:spacing w:after="0" w:line="240" w:lineRule="auto"/>
        <w:ind w:right="-70"/>
        <w:contextualSpacing/>
        <w:jc w:val="both"/>
        <w:rPr>
          <w:rFonts w:cstheme="minorHAnsi"/>
          <w:b/>
          <w:sz w:val="22"/>
          <w:szCs w:val="22"/>
        </w:rPr>
      </w:pPr>
    </w:p>
    <w:p w14:paraId="5F8DBF87" w14:textId="67DFA33C" w:rsidR="00883ADE" w:rsidRPr="00854C9F" w:rsidRDefault="00883ADE" w:rsidP="001B6BE7">
      <w:pPr>
        <w:tabs>
          <w:tab w:val="left" w:pos="4820"/>
        </w:tabs>
        <w:spacing w:after="0" w:line="240" w:lineRule="auto"/>
        <w:ind w:right="141"/>
        <w:contextualSpacing/>
        <w:jc w:val="both"/>
        <w:rPr>
          <w:rFonts w:cstheme="minorHAnsi"/>
          <w:b/>
          <w:sz w:val="22"/>
          <w:szCs w:val="22"/>
        </w:rPr>
      </w:pPr>
      <w:r w:rsidRPr="00854C9F">
        <w:rPr>
          <w:rFonts w:cstheme="minorHAnsi"/>
          <w:b/>
          <w:sz w:val="22"/>
          <w:szCs w:val="22"/>
        </w:rPr>
        <w:t>Just to reiterate that we remain available over telecom or e</w:t>
      </w:r>
      <w:r w:rsidR="00D56D9D" w:rsidRPr="00854C9F">
        <w:rPr>
          <w:rFonts w:cstheme="minorHAnsi"/>
          <w:b/>
          <w:sz w:val="22"/>
          <w:szCs w:val="22"/>
        </w:rPr>
        <w:t>-</w:t>
      </w:r>
      <w:r w:rsidRPr="00854C9F">
        <w:rPr>
          <w:rFonts w:cstheme="minorHAnsi"/>
          <w:b/>
          <w:sz w:val="22"/>
          <w:szCs w:val="22"/>
        </w:rPr>
        <w:t>mail.</w:t>
      </w:r>
    </w:p>
    <w:p w14:paraId="0465AE64" w14:textId="77777777" w:rsidR="004D2A1A" w:rsidRPr="00854C9F" w:rsidRDefault="004D2A1A" w:rsidP="001B6BE7">
      <w:pPr>
        <w:tabs>
          <w:tab w:val="left" w:pos="4820"/>
        </w:tabs>
        <w:spacing w:after="0" w:line="240" w:lineRule="auto"/>
        <w:ind w:right="141"/>
        <w:contextualSpacing/>
        <w:jc w:val="both"/>
        <w:rPr>
          <w:rFonts w:cstheme="minorHAnsi"/>
          <w:b/>
          <w:sz w:val="22"/>
          <w:szCs w:val="22"/>
        </w:rPr>
      </w:pPr>
    </w:p>
    <w:p w14:paraId="78D9EB49" w14:textId="78312645" w:rsidR="001D547F" w:rsidRPr="00854C9F" w:rsidRDefault="001D547F" w:rsidP="001B6BE7">
      <w:pPr>
        <w:spacing w:after="0" w:line="240" w:lineRule="auto"/>
        <w:ind w:right="141"/>
        <w:rPr>
          <w:rFonts w:cstheme="minorHAnsi"/>
          <w:b/>
          <w:sz w:val="22"/>
          <w:szCs w:val="22"/>
        </w:rPr>
      </w:pPr>
      <w:r w:rsidRPr="00854C9F">
        <w:rPr>
          <w:rFonts w:cstheme="minorHAnsi"/>
          <w:b/>
          <w:sz w:val="22"/>
          <w:szCs w:val="22"/>
        </w:rPr>
        <w:t>Editor:</w:t>
      </w:r>
    </w:p>
    <w:p w14:paraId="5B24521E" w14:textId="77777777" w:rsidR="001D547F" w:rsidRPr="00854C9F" w:rsidRDefault="001D547F" w:rsidP="001B6BE7">
      <w:pPr>
        <w:tabs>
          <w:tab w:val="left" w:pos="4820"/>
        </w:tabs>
        <w:spacing w:after="0" w:line="240" w:lineRule="auto"/>
        <w:ind w:right="141"/>
        <w:contextualSpacing/>
        <w:jc w:val="both"/>
        <w:rPr>
          <w:rFonts w:cstheme="minorHAnsi"/>
          <w:b/>
          <w:sz w:val="22"/>
          <w:szCs w:val="22"/>
        </w:rPr>
      </w:pPr>
      <w:r w:rsidRPr="00854C9F">
        <w:rPr>
          <w:rFonts w:cstheme="minorHAnsi"/>
          <w:b/>
          <w:sz w:val="22"/>
          <w:szCs w:val="22"/>
        </w:rPr>
        <w:t>Vivek Jalan</w:t>
      </w:r>
    </w:p>
    <w:p w14:paraId="35935A57" w14:textId="77777777" w:rsidR="00FE2FF4" w:rsidRPr="00854C9F" w:rsidRDefault="001D547F" w:rsidP="001B6BE7">
      <w:pPr>
        <w:tabs>
          <w:tab w:val="left" w:pos="4820"/>
        </w:tabs>
        <w:spacing w:after="0" w:line="240" w:lineRule="auto"/>
        <w:ind w:right="141"/>
        <w:rPr>
          <w:rFonts w:cstheme="minorHAnsi"/>
          <w:bCs/>
          <w:sz w:val="22"/>
          <w:szCs w:val="22"/>
        </w:rPr>
      </w:pPr>
      <w:r w:rsidRPr="00854C9F">
        <w:rPr>
          <w:rFonts w:cstheme="minorHAnsi"/>
          <w:bCs/>
          <w:sz w:val="22"/>
          <w:szCs w:val="22"/>
        </w:rPr>
        <w:t>Partner - Tax Connect Advisory Services LLP</w:t>
      </w:r>
    </w:p>
    <w:p w14:paraId="65AAF7EB" w14:textId="77777777" w:rsidR="004D2A1A" w:rsidRPr="00854C9F" w:rsidRDefault="004D2A1A" w:rsidP="001B6BE7">
      <w:pPr>
        <w:tabs>
          <w:tab w:val="left" w:pos="4820"/>
        </w:tabs>
        <w:spacing w:after="0" w:line="240" w:lineRule="auto"/>
        <w:ind w:right="141"/>
        <w:rPr>
          <w:rFonts w:cstheme="minorHAnsi"/>
          <w:bCs/>
          <w:sz w:val="22"/>
          <w:szCs w:val="22"/>
        </w:rPr>
      </w:pPr>
    </w:p>
    <w:p w14:paraId="1509D681" w14:textId="6A4343D8" w:rsidR="00D02587" w:rsidRPr="00854C9F" w:rsidRDefault="001D547F" w:rsidP="001B6BE7">
      <w:pPr>
        <w:tabs>
          <w:tab w:val="left" w:pos="4820"/>
        </w:tabs>
        <w:spacing w:after="0" w:line="240" w:lineRule="auto"/>
        <w:ind w:right="141"/>
        <w:rPr>
          <w:rFonts w:cstheme="minorHAnsi"/>
          <w:bCs/>
          <w:sz w:val="22"/>
          <w:szCs w:val="22"/>
        </w:rPr>
      </w:pPr>
      <w:r w:rsidRPr="00854C9F">
        <w:rPr>
          <w:rFonts w:cstheme="minorHAnsi"/>
          <w:b/>
          <w:sz w:val="22"/>
          <w:szCs w:val="22"/>
        </w:rPr>
        <w:t>Co-Editor:</w:t>
      </w:r>
    </w:p>
    <w:p w14:paraId="3576C298" w14:textId="77777777" w:rsidR="00984223" w:rsidRPr="00854C9F" w:rsidRDefault="001D547F" w:rsidP="001B6BE7">
      <w:pPr>
        <w:tabs>
          <w:tab w:val="left" w:pos="4820"/>
        </w:tabs>
        <w:spacing w:after="0" w:line="240" w:lineRule="auto"/>
        <w:ind w:right="141"/>
        <w:contextualSpacing/>
        <w:jc w:val="both"/>
        <w:rPr>
          <w:rFonts w:cstheme="minorHAnsi"/>
          <w:b/>
          <w:sz w:val="22"/>
          <w:szCs w:val="22"/>
        </w:rPr>
      </w:pPr>
      <w:r w:rsidRPr="00854C9F">
        <w:rPr>
          <w:rFonts w:cstheme="minorHAnsi"/>
          <w:b/>
          <w:sz w:val="22"/>
          <w:szCs w:val="22"/>
        </w:rPr>
        <w:t>Rohit Sharma</w:t>
      </w:r>
    </w:p>
    <w:p w14:paraId="24ACD3A7" w14:textId="530FD21B" w:rsidR="00AA5DF4" w:rsidRPr="00854C9F" w:rsidRDefault="0051224C" w:rsidP="001B6BE7">
      <w:pPr>
        <w:tabs>
          <w:tab w:val="left" w:pos="4820"/>
        </w:tabs>
        <w:spacing w:after="0" w:line="240" w:lineRule="auto"/>
        <w:ind w:right="141"/>
        <w:contextualSpacing/>
        <w:jc w:val="both"/>
        <w:rPr>
          <w:rFonts w:cstheme="minorHAnsi"/>
          <w:bCs/>
          <w:sz w:val="22"/>
          <w:szCs w:val="22"/>
        </w:rPr>
      </w:pPr>
      <w:r w:rsidRPr="00854C9F">
        <w:rPr>
          <w:rFonts w:cstheme="minorHAnsi"/>
          <w:bCs/>
          <w:sz w:val="22"/>
          <w:szCs w:val="22"/>
        </w:rPr>
        <w:t>Director –</w:t>
      </w:r>
      <w:r w:rsidR="001D547F" w:rsidRPr="00854C9F">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EE301D">
          <w:headerReference w:type="default" r:id="rId23"/>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51"/>
      </w:tblGrid>
      <w:tr w:rsidR="00D7154B" w:rsidRPr="00942E32" w14:paraId="69CC8BEA" w14:textId="77777777" w:rsidTr="00F20908">
        <w:trPr>
          <w:trHeight w:val="410"/>
        </w:trPr>
        <w:tc>
          <w:tcPr>
            <w:tcW w:w="1675" w:type="dxa"/>
            <w:shd w:val="clear" w:color="auto" w:fill="3A6331"/>
            <w:noWrap/>
            <w:vAlign w:val="center"/>
            <w:hideMark/>
          </w:tcPr>
          <w:p w14:paraId="23403551" w14:textId="77777777" w:rsidR="00D7154B" w:rsidRPr="00942E32" w:rsidRDefault="00D7154B" w:rsidP="00D7154B">
            <w:pPr>
              <w:tabs>
                <w:tab w:val="left" w:pos="4820"/>
              </w:tabs>
              <w:spacing w:after="0" w:line="240" w:lineRule="auto"/>
              <w:jc w:val="center"/>
              <w:rPr>
                <w:rFonts w:cstheme="minorHAnsi"/>
                <w:b/>
                <w:color w:val="FFFFFF"/>
                <w:sz w:val="20"/>
                <w:szCs w:val="20"/>
              </w:rPr>
            </w:pPr>
            <w:r w:rsidRPr="00942E32">
              <w:rPr>
                <w:rFonts w:cstheme="minorHAnsi"/>
                <w:b/>
                <w:color w:val="FFFFFF"/>
                <w:sz w:val="20"/>
                <w:szCs w:val="20"/>
              </w:rPr>
              <w:lastRenderedPageBreak/>
              <w:t>S.NO.</w:t>
            </w:r>
          </w:p>
        </w:tc>
        <w:tc>
          <w:tcPr>
            <w:tcW w:w="8788" w:type="dxa"/>
            <w:shd w:val="clear" w:color="auto" w:fill="3A6331"/>
            <w:noWrap/>
            <w:vAlign w:val="center"/>
            <w:hideMark/>
          </w:tcPr>
          <w:p w14:paraId="714A3A71" w14:textId="77777777" w:rsidR="00D7154B" w:rsidRPr="00942E32" w:rsidRDefault="00D7154B" w:rsidP="00D7154B">
            <w:pPr>
              <w:tabs>
                <w:tab w:val="left" w:pos="4820"/>
              </w:tabs>
              <w:spacing w:after="0" w:line="240" w:lineRule="auto"/>
              <w:jc w:val="center"/>
              <w:rPr>
                <w:rFonts w:cstheme="minorHAnsi"/>
                <w:b/>
                <w:color w:val="FFFFFF"/>
                <w:sz w:val="20"/>
                <w:szCs w:val="20"/>
              </w:rPr>
            </w:pPr>
            <w:r w:rsidRPr="00942E32">
              <w:rPr>
                <w:rFonts w:cstheme="minorHAnsi"/>
                <w:b/>
                <w:color w:val="FFFFFF"/>
                <w:sz w:val="20"/>
                <w:szCs w:val="20"/>
              </w:rPr>
              <w:t>TOPICS</w:t>
            </w:r>
          </w:p>
        </w:tc>
        <w:tc>
          <w:tcPr>
            <w:tcW w:w="851" w:type="dxa"/>
            <w:shd w:val="clear" w:color="auto" w:fill="3A6331"/>
            <w:noWrap/>
            <w:vAlign w:val="center"/>
            <w:hideMark/>
          </w:tcPr>
          <w:p w14:paraId="47B0EEF8" w14:textId="77777777" w:rsidR="00D7154B" w:rsidRPr="00942E32" w:rsidRDefault="00D7154B" w:rsidP="00D7154B">
            <w:pPr>
              <w:tabs>
                <w:tab w:val="left" w:pos="4820"/>
              </w:tabs>
              <w:spacing w:after="0" w:line="240" w:lineRule="auto"/>
              <w:jc w:val="center"/>
              <w:rPr>
                <w:rFonts w:cstheme="minorHAnsi"/>
                <w:b/>
                <w:color w:val="FFFFFF"/>
                <w:sz w:val="20"/>
                <w:szCs w:val="20"/>
              </w:rPr>
            </w:pPr>
            <w:r w:rsidRPr="00942E32">
              <w:rPr>
                <w:rFonts w:cstheme="minorHAnsi"/>
                <w:b/>
                <w:color w:val="FFFFFF"/>
                <w:sz w:val="20"/>
                <w:szCs w:val="20"/>
              </w:rPr>
              <w:t>PAGE NO.</w:t>
            </w:r>
          </w:p>
        </w:tc>
      </w:tr>
      <w:tr w:rsidR="00D7154B" w:rsidRPr="00942E32" w14:paraId="197CEC61" w14:textId="77777777" w:rsidTr="00F20908">
        <w:trPr>
          <w:trHeight w:val="190"/>
        </w:trPr>
        <w:tc>
          <w:tcPr>
            <w:tcW w:w="1675" w:type="dxa"/>
            <w:shd w:val="clear" w:color="auto" w:fill="B3D5AB"/>
            <w:noWrap/>
            <w:vAlign w:val="center"/>
          </w:tcPr>
          <w:p w14:paraId="67207875"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1]</w:t>
            </w:r>
          </w:p>
        </w:tc>
        <w:tc>
          <w:tcPr>
            <w:tcW w:w="8788" w:type="dxa"/>
            <w:shd w:val="clear" w:color="auto" w:fill="B3D5AB"/>
            <w:noWrap/>
            <w:vAlign w:val="center"/>
          </w:tcPr>
          <w:p w14:paraId="63BA0249"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TAX CALENDER</w:t>
            </w:r>
          </w:p>
        </w:tc>
        <w:tc>
          <w:tcPr>
            <w:tcW w:w="851" w:type="dxa"/>
            <w:shd w:val="clear" w:color="auto" w:fill="B3D5AB"/>
            <w:noWrap/>
            <w:vAlign w:val="center"/>
          </w:tcPr>
          <w:p w14:paraId="71F685EE"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4</w:t>
            </w:r>
          </w:p>
        </w:tc>
      </w:tr>
      <w:tr w:rsidR="00D7154B" w:rsidRPr="00942E32" w14:paraId="2DFFDB6A" w14:textId="77777777" w:rsidTr="00F20908">
        <w:trPr>
          <w:trHeight w:val="222"/>
        </w:trPr>
        <w:tc>
          <w:tcPr>
            <w:tcW w:w="1675" w:type="dxa"/>
            <w:shd w:val="clear" w:color="auto" w:fill="B3D5AB"/>
            <w:noWrap/>
            <w:vAlign w:val="center"/>
          </w:tcPr>
          <w:p w14:paraId="688514E3"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2]</w:t>
            </w:r>
          </w:p>
        </w:tc>
        <w:tc>
          <w:tcPr>
            <w:tcW w:w="8788" w:type="dxa"/>
            <w:shd w:val="clear" w:color="auto" w:fill="B3D5AB"/>
            <w:noWrap/>
            <w:vAlign w:val="center"/>
          </w:tcPr>
          <w:p w14:paraId="547F2586"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INCOME TAX</w:t>
            </w:r>
          </w:p>
        </w:tc>
        <w:tc>
          <w:tcPr>
            <w:tcW w:w="851" w:type="dxa"/>
            <w:shd w:val="clear" w:color="auto" w:fill="B3D5AB"/>
            <w:noWrap/>
            <w:vAlign w:val="center"/>
          </w:tcPr>
          <w:p w14:paraId="2CCF7673" w14:textId="071E25AD"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5</w:t>
            </w:r>
            <w:r w:rsidR="005F71C3">
              <w:rPr>
                <w:rFonts w:cstheme="minorHAnsi"/>
                <w:b/>
                <w:bCs/>
                <w:sz w:val="20"/>
                <w:szCs w:val="20"/>
              </w:rPr>
              <w:t>-6</w:t>
            </w:r>
          </w:p>
        </w:tc>
      </w:tr>
      <w:tr w:rsidR="000350C5" w:rsidRPr="00942E32" w14:paraId="5F1F0881" w14:textId="77777777" w:rsidTr="00F20908">
        <w:trPr>
          <w:trHeight w:hRule="exact" w:val="557"/>
        </w:trPr>
        <w:tc>
          <w:tcPr>
            <w:tcW w:w="1675" w:type="dxa"/>
            <w:shd w:val="clear" w:color="auto" w:fill="EAF1DD"/>
            <w:vAlign w:val="center"/>
          </w:tcPr>
          <w:p w14:paraId="4B914FD8" w14:textId="639326E5"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NOTIIFCATION</w:t>
            </w:r>
          </w:p>
        </w:tc>
        <w:tc>
          <w:tcPr>
            <w:tcW w:w="8788" w:type="dxa"/>
            <w:shd w:val="clear" w:color="auto" w:fill="EAF1DD"/>
            <w:vAlign w:val="center"/>
          </w:tcPr>
          <w:p w14:paraId="20B0DF3F" w14:textId="2A3E39BA" w:rsidR="000350C5" w:rsidRPr="00942E32" w:rsidRDefault="001174E1" w:rsidP="000350C5">
            <w:pPr>
              <w:tabs>
                <w:tab w:val="left" w:pos="4820"/>
              </w:tabs>
              <w:spacing w:after="0" w:line="240" w:lineRule="auto"/>
              <w:jc w:val="both"/>
              <w:rPr>
                <w:rFonts w:cstheme="minorHAnsi"/>
                <w:b/>
                <w:bCs/>
                <w:caps/>
                <w:sz w:val="20"/>
                <w:szCs w:val="20"/>
              </w:rPr>
            </w:pPr>
            <w:r w:rsidRPr="001174E1">
              <w:rPr>
                <w:rFonts w:cstheme="minorHAnsi"/>
                <w:b/>
                <w:bCs/>
                <w:caps/>
                <w:sz w:val="20"/>
                <w:szCs w:val="20"/>
              </w:rPr>
              <w:t>EXEMPTION FROM SPECIFIED INCOME U/S 10(46) – ‘TELANGANA BUILDING AND OTHER CONSTRUCTION WORKERS WELFARE BOARD’ NOTIFIED</w:t>
            </w:r>
          </w:p>
        </w:tc>
        <w:tc>
          <w:tcPr>
            <w:tcW w:w="851" w:type="dxa"/>
            <w:shd w:val="clear" w:color="auto" w:fill="EAF1DD" w:themeFill="accent3" w:themeFillTint="33"/>
            <w:vAlign w:val="center"/>
          </w:tcPr>
          <w:p w14:paraId="3C713C31"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5AC44BA5" w14:textId="77777777" w:rsidTr="001174E1">
        <w:trPr>
          <w:trHeight w:hRule="exact" w:val="579"/>
        </w:trPr>
        <w:tc>
          <w:tcPr>
            <w:tcW w:w="1675" w:type="dxa"/>
            <w:shd w:val="clear" w:color="auto" w:fill="EAF1DD"/>
            <w:vAlign w:val="center"/>
          </w:tcPr>
          <w:p w14:paraId="5D3FE72C" w14:textId="1BE87F38"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NOTIIFCATION</w:t>
            </w:r>
          </w:p>
        </w:tc>
        <w:tc>
          <w:tcPr>
            <w:tcW w:w="8788" w:type="dxa"/>
            <w:shd w:val="clear" w:color="auto" w:fill="EAF1DD"/>
            <w:vAlign w:val="center"/>
          </w:tcPr>
          <w:p w14:paraId="77947579" w14:textId="7EC96DC7" w:rsidR="000350C5" w:rsidRPr="00E13C31" w:rsidRDefault="001174E1" w:rsidP="000350C5">
            <w:pPr>
              <w:tabs>
                <w:tab w:val="left" w:pos="4820"/>
              </w:tabs>
              <w:spacing w:after="0" w:line="240" w:lineRule="auto"/>
              <w:jc w:val="both"/>
              <w:rPr>
                <w:rFonts w:cstheme="minorHAnsi"/>
                <w:b/>
                <w:bCs/>
                <w:caps/>
                <w:sz w:val="20"/>
                <w:szCs w:val="20"/>
              </w:rPr>
            </w:pPr>
            <w:r w:rsidRPr="001174E1">
              <w:rPr>
                <w:rFonts w:cstheme="minorHAnsi"/>
                <w:b/>
                <w:bCs/>
                <w:caps/>
                <w:sz w:val="20"/>
                <w:szCs w:val="20"/>
              </w:rPr>
              <w:t>EXEMPTION FROM SPECIFIED INCOME U/S 10(46) – ‘WEST BENGAL POLLUTION CONTROL BOARD’ NOTIFIED</w:t>
            </w:r>
          </w:p>
        </w:tc>
        <w:tc>
          <w:tcPr>
            <w:tcW w:w="851" w:type="dxa"/>
            <w:shd w:val="clear" w:color="auto" w:fill="EAF1DD" w:themeFill="accent3" w:themeFillTint="33"/>
            <w:vAlign w:val="center"/>
          </w:tcPr>
          <w:p w14:paraId="156B91C7" w14:textId="77777777" w:rsidR="000350C5" w:rsidRPr="00942E32" w:rsidRDefault="000350C5" w:rsidP="000350C5">
            <w:pPr>
              <w:tabs>
                <w:tab w:val="left" w:pos="4820"/>
              </w:tabs>
              <w:spacing w:after="0" w:line="240" w:lineRule="auto"/>
              <w:jc w:val="center"/>
              <w:rPr>
                <w:rFonts w:cstheme="minorHAnsi"/>
                <w:b/>
                <w:sz w:val="20"/>
                <w:szCs w:val="20"/>
              </w:rPr>
            </w:pPr>
          </w:p>
        </w:tc>
      </w:tr>
      <w:tr w:rsidR="001174E1" w:rsidRPr="00942E32" w14:paraId="2102EE73" w14:textId="77777777" w:rsidTr="00F20908">
        <w:trPr>
          <w:trHeight w:hRule="exact" w:val="295"/>
        </w:trPr>
        <w:tc>
          <w:tcPr>
            <w:tcW w:w="1675" w:type="dxa"/>
            <w:shd w:val="clear" w:color="auto" w:fill="EAF1DD"/>
            <w:vAlign w:val="center"/>
          </w:tcPr>
          <w:p w14:paraId="34DEEB5D" w14:textId="3D53D14F" w:rsidR="001174E1" w:rsidRPr="00942E32" w:rsidRDefault="001174E1" w:rsidP="000350C5">
            <w:pPr>
              <w:tabs>
                <w:tab w:val="left" w:pos="4820"/>
              </w:tabs>
              <w:spacing w:after="0" w:line="240" w:lineRule="auto"/>
              <w:jc w:val="center"/>
              <w:rPr>
                <w:rFonts w:cstheme="minorHAnsi"/>
                <w:b/>
                <w:bCs/>
                <w:sz w:val="20"/>
                <w:szCs w:val="20"/>
              </w:rPr>
            </w:pPr>
            <w:r>
              <w:rPr>
                <w:rFonts w:cstheme="minorHAnsi"/>
                <w:b/>
                <w:bCs/>
                <w:sz w:val="20"/>
                <w:szCs w:val="20"/>
              </w:rPr>
              <w:t>CIRCULAR</w:t>
            </w:r>
          </w:p>
        </w:tc>
        <w:tc>
          <w:tcPr>
            <w:tcW w:w="8788" w:type="dxa"/>
            <w:shd w:val="clear" w:color="auto" w:fill="EAF1DD"/>
            <w:vAlign w:val="center"/>
          </w:tcPr>
          <w:p w14:paraId="66F821CE" w14:textId="2F96D63E" w:rsidR="001174E1" w:rsidRPr="000A7071" w:rsidRDefault="001174E1" w:rsidP="000350C5">
            <w:pPr>
              <w:tabs>
                <w:tab w:val="left" w:pos="4820"/>
              </w:tabs>
              <w:spacing w:after="0" w:line="240" w:lineRule="auto"/>
              <w:jc w:val="both"/>
              <w:rPr>
                <w:rFonts w:cstheme="minorHAnsi"/>
                <w:b/>
                <w:bCs/>
                <w:caps/>
                <w:sz w:val="20"/>
                <w:szCs w:val="20"/>
              </w:rPr>
            </w:pPr>
            <w:r w:rsidRPr="001174E1">
              <w:rPr>
                <w:rFonts w:cstheme="minorHAnsi"/>
                <w:b/>
                <w:bCs/>
                <w:caps/>
                <w:sz w:val="20"/>
                <w:szCs w:val="20"/>
              </w:rPr>
              <w:t>CBDT EXTENDS DUE DATE OF FILING AUDIT REPORT- SECTION 10</w:t>
            </w:r>
            <w:proofErr w:type="gramStart"/>
            <w:r w:rsidRPr="001174E1">
              <w:rPr>
                <w:rFonts w:cstheme="minorHAnsi"/>
                <w:b/>
                <w:bCs/>
                <w:caps/>
                <w:sz w:val="20"/>
                <w:szCs w:val="20"/>
              </w:rPr>
              <w:t>AA(</w:t>
            </w:r>
            <w:proofErr w:type="gramEnd"/>
            <w:r w:rsidRPr="001174E1">
              <w:rPr>
                <w:rFonts w:cstheme="minorHAnsi"/>
                <w:b/>
                <w:bCs/>
                <w:caps/>
                <w:sz w:val="20"/>
                <w:szCs w:val="20"/>
              </w:rPr>
              <w:t>8)</w:t>
            </w:r>
          </w:p>
        </w:tc>
        <w:tc>
          <w:tcPr>
            <w:tcW w:w="851" w:type="dxa"/>
            <w:shd w:val="clear" w:color="auto" w:fill="EAF1DD" w:themeFill="accent3" w:themeFillTint="33"/>
            <w:vAlign w:val="center"/>
          </w:tcPr>
          <w:p w14:paraId="5835BF90" w14:textId="77777777" w:rsidR="001174E1" w:rsidRPr="00942E32" w:rsidRDefault="001174E1" w:rsidP="000350C5">
            <w:pPr>
              <w:tabs>
                <w:tab w:val="left" w:pos="4820"/>
              </w:tabs>
              <w:spacing w:after="0" w:line="240" w:lineRule="auto"/>
              <w:jc w:val="center"/>
              <w:rPr>
                <w:rFonts w:cstheme="minorHAnsi"/>
                <w:b/>
                <w:sz w:val="20"/>
                <w:szCs w:val="20"/>
              </w:rPr>
            </w:pPr>
          </w:p>
        </w:tc>
      </w:tr>
      <w:tr w:rsidR="001174E1" w:rsidRPr="00942E32" w14:paraId="7E1D7182" w14:textId="77777777" w:rsidTr="001174E1">
        <w:trPr>
          <w:trHeight w:hRule="exact" w:val="548"/>
        </w:trPr>
        <w:tc>
          <w:tcPr>
            <w:tcW w:w="1675" w:type="dxa"/>
            <w:shd w:val="clear" w:color="auto" w:fill="EAF1DD"/>
            <w:vAlign w:val="center"/>
          </w:tcPr>
          <w:p w14:paraId="1AA5DD69" w14:textId="1811DC1C" w:rsidR="001174E1" w:rsidRPr="00942E32" w:rsidRDefault="001174E1" w:rsidP="000350C5">
            <w:pPr>
              <w:tabs>
                <w:tab w:val="left" w:pos="4820"/>
              </w:tabs>
              <w:spacing w:after="0" w:line="240" w:lineRule="auto"/>
              <w:jc w:val="center"/>
              <w:rPr>
                <w:rFonts w:cstheme="minorHAnsi"/>
                <w:b/>
                <w:bCs/>
                <w:sz w:val="20"/>
                <w:szCs w:val="20"/>
              </w:rPr>
            </w:pPr>
            <w:r>
              <w:rPr>
                <w:rFonts w:cstheme="minorHAnsi"/>
                <w:b/>
                <w:bCs/>
                <w:sz w:val="20"/>
                <w:szCs w:val="20"/>
              </w:rPr>
              <w:t>CIRCULAR</w:t>
            </w:r>
          </w:p>
        </w:tc>
        <w:tc>
          <w:tcPr>
            <w:tcW w:w="8788" w:type="dxa"/>
            <w:shd w:val="clear" w:color="auto" w:fill="EAF1DD"/>
            <w:vAlign w:val="center"/>
          </w:tcPr>
          <w:p w14:paraId="682BB971" w14:textId="048914A2" w:rsidR="001174E1" w:rsidRPr="000A7071" w:rsidRDefault="001174E1" w:rsidP="000350C5">
            <w:pPr>
              <w:tabs>
                <w:tab w:val="left" w:pos="4820"/>
              </w:tabs>
              <w:spacing w:after="0" w:line="240" w:lineRule="auto"/>
              <w:jc w:val="both"/>
              <w:rPr>
                <w:rFonts w:cstheme="minorHAnsi"/>
                <w:b/>
                <w:bCs/>
                <w:caps/>
                <w:sz w:val="20"/>
                <w:szCs w:val="20"/>
              </w:rPr>
            </w:pPr>
            <w:r w:rsidRPr="001174E1">
              <w:rPr>
                <w:rFonts w:cstheme="minorHAnsi"/>
                <w:b/>
                <w:bCs/>
                <w:caps/>
                <w:sz w:val="20"/>
                <w:szCs w:val="20"/>
              </w:rPr>
              <w:t>CONDONATION OF DELAY UNDER SECTION 119(2)(B) OF THE INCOME-TAX ACT, 1961 IN FILING OF FORM NO. 10-IC FOR ASSESSMENT YEAR 2021-22</w:t>
            </w:r>
          </w:p>
        </w:tc>
        <w:tc>
          <w:tcPr>
            <w:tcW w:w="851" w:type="dxa"/>
            <w:shd w:val="clear" w:color="auto" w:fill="EAF1DD" w:themeFill="accent3" w:themeFillTint="33"/>
            <w:vAlign w:val="center"/>
          </w:tcPr>
          <w:p w14:paraId="70761C02" w14:textId="77777777" w:rsidR="001174E1" w:rsidRPr="00942E32" w:rsidRDefault="001174E1" w:rsidP="000350C5">
            <w:pPr>
              <w:tabs>
                <w:tab w:val="left" w:pos="4820"/>
              </w:tabs>
              <w:spacing w:after="0" w:line="240" w:lineRule="auto"/>
              <w:jc w:val="center"/>
              <w:rPr>
                <w:rFonts w:cstheme="minorHAnsi"/>
                <w:b/>
                <w:sz w:val="20"/>
                <w:szCs w:val="20"/>
              </w:rPr>
            </w:pPr>
          </w:p>
        </w:tc>
      </w:tr>
      <w:tr w:rsidR="000350C5" w:rsidRPr="00942E32" w14:paraId="3D2CD140" w14:textId="77777777" w:rsidTr="00F20908">
        <w:trPr>
          <w:trHeight w:hRule="exact" w:val="299"/>
        </w:trPr>
        <w:tc>
          <w:tcPr>
            <w:tcW w:w="1675" w:type="dxa"/>
            <w:shd w:val="clear" w:color="auto" w:fill="B3D5AB"/>
            <w:vAlign w:val="center"/>
          </w:tcPr>
          <w:p w14:paraId="3AB51B44"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3]</w:t>
            </w:r>
          </w:p>
        </w:tc>
        <w:tc>
          <w:tcPr>
            <w:tcW w:w="8788" w:type="dxa"/>
            <w:shd w:val="clear" w:color="auto" w:fill="B3D5AB"/>
            <w:vAlign w:val="center"/>
          </w:tcPr>
          <w:p w14:paraId="50E3E3A8"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GST</w:t>
            </w:r>
          </w:p>
        </w:tc>
        <w:tc>
          <w:tcPr>
            <w:tcW w:w="851" w:type="dxa"/>
            <w:shd w:val="clear" w:color="auto" w:fill="B3D5AB"/>
            <w:vAlign w:val="center"/>
          </w:tcPr>
          <w:p w14:paraId="51A189B5" w14:textId="4ACDE250" w:rsidR="000350C5" w:rsidRPr="00942E32" w:rsidRDefault="005F71C3" w:rsidP="000350C5">
            <w:pPr>
              <w:tabs>
                <w:tab w:val="left" w:pos="4820"/>
              </w:tabs>
              <w:spacing w:after="0" w:line="240" w:lineRule="auto"/>
              <w:jc w:val="center"/>
              <w:rPr>
                <w:rFonts w:cstheme="minorHAnsi"/>
                <w:b/>
                <w:bCs/>
                <w:sz w:val="20"/>
                <w:szCs w:val="20"/>
              </w:rPr>
            </w:pPr>
            <w:r>
              <w:rPr>
                <w:rFonts w:cstheme="minorHAnsi"/>
                <w:b/>
                <w:bCs/>
                <w:sz w:val="20"/>
                <w:szCs w:val="20"/>
              </w:rPr>
              <w:t>7-</w:t>
            </w:r>
            <w:r w:rsidR="00955B67">
              <w:rPr>
                <w:rFonts w:cstheme="minorHAnsi"/>
                <w:b/>
                <w:bCs/>
                <w:sz w:val="20"/>
                <w:szCs w:val="20"/>
              </w:rPr>
              <w:t>16</w:t>
            </w:r>
          </w:p>
        </w:tc>
      </w:tr>
      <w:tr w:rsidR="000350C5" w:rsidRPr="00942E32" w14:paraId="15FEEB7E" w14:textId="77777777" w:rsidTr="004E7C9A">
        <w:trPr>
          <w:trHeight w:val="251"/>
        </w:trPr>
        <w:tc>
          <w:tcPr>
            <w:tcW w:w="1675" w:type="dxa"/>
            <w:shd w:val="clear" w:color="auto" w:fill="EAF1DD"/>
            <w:noWrap/>
            <w:vAlign w:val="center"/>
          </w:tcPr>
          <w:p w14:paraId="4713EF35" w14:textId="4C5DA97D" w:rsidR="000350C5" w:rsidRPr="00942E32" w:rsidRDefault="000A7071" w:rsidP="000350C5">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noWrap/>
            <w:vAlign w:val="center"/>
          </w:tcPr>
          <w:p w14:paraId="62CCABF4" w14:textId="5F22599E" w:rsidR="000350C5" w:rsidRPr="00942E32" w:rsidRDefault="005F71C3" w:rsidP="000350C5">
            <w:pPr>
              <w:tabs>
                <w:tab w:val="left" w:pos="4820"/>
              </w:tabs>
              <w:spacing w:after="0" w:line="240" w:lineRule="auto"/>
              <w:jc w:val="both"/>
              <w:rPr>
                <w:rFonts w:cstheme="minorHAnsi"/>
                <w:b/>
                <w:bCs/>
                <w:sz w:val="20"/>
                <w:szCs w:val="20"/>
              </w:rPr>
            </w:pPr>
            <w:r w:rsidRPr="005F71C3">
              <w:rPr>
                <w:rFonts w:cstheme="minorHAnsi"/>
                <w:b/>
                <w:bCs/>
                <w:sz w:val="20"/>
                <w:szCs w:val="20"/>
              </w:rPr>
              <w:t>CENTRAL GOODS AND SERVICES TAX (FOURTH AMENDMENT) RULES, 2023</w:t>
            </w:r>
          </w:p>
        </w:tc>
        <w:tc>
          <w:tcPr>
            <w:tcW w:w="851" w:type="dxa"/>
            <w:shd w:val="clear" w:color="auto" w:fill="EAF1DD" w:themeFill="accent3" w:themeFillTint="33"/>
            <w:noWrap/>
            <w:vAlign w:val="center"/>
          </w:tcPr>
          <w:p w14:paraId="60ED9877" w14:textId="77777777" w:rsidR="000350C5" w:rsidRPr="00942E32" w:rsidRDefault="000350C5" w:rsidP="000350C5">
            <w:pPr>
              <w:tabs>
                <w:tab w:val="left" w:pos="4820"/>
              </w:tabs>
              <w:spacing w:after="0" w:line="240" w:lineRule="auto"/>
              <w:jc w:val="center"/>
              <w:rPr>
                <w:rFonts w:cstheme="minorHAnsi"/>
                <w:b/>
                <w:bCs/>
                <w:sz w:val="20"/>
                <w:szCs w:val="20"/>
              </w:rPr>
            </w:pPr>
          </w:p>
        </w:tc>
      </w:tr>
      <w:tr w:rsidR="00663AA3" w:rsidRPr="00942E32" w14:paraId="6790641B" w14:textId="77777777" w:rsidTr="004E7C9A">
        <w:trPr>
          <w:trHeight w:val="251"/>
        </w:trPr>
        <w:tc>
          <w:tcPr>
            <w:tcW w:w="1675" w:type="dxa"/>
            <w:shd w:val="clear" w:color="auto" w:fill="EAF1DD"/>
            <w:noWrap/>
            <w:vAlign w:val="center"/>
          </w:tcPr>
          <w:p w14:paraId="11B94D01" w14:textId="402EB91E" w:rsidR="00663AA3" w:rsidRDefault="00663AA3" w:rsidP="00663AA3">
            <w:pPr>
              <w:tabs>
                <w:tab w:val="left" w:pos="4820"/>
              </w:tabs>
              <w:spacing w:after="0" w:line="240" w:lineRule="auto"/>
              <w:jc w:val="center"/>
              <w:rPr>
                <w:rFonts w:cstheme="minorHAnsi"/>
                <w:b/>
                <w:bCs/>
                <w:sz w:val="20"/>
                <w:szCs w:val="20"/>
              </w:rPr>
            </w:pPr>
            <w:r w:rsidRPr="00D5742E">
              <w:rPr>
                <w:rFonts w:cstheme="minorHAnsi"/>
                <w:b/>
                <w:bCs/>
                <w:sz w:val="20"/>
                <w:szCs w:val="20"/>
              </w:rPr>
              <w:t>NOTIFICATION</w:t>
            </w:r>
          </w:p>
        </w:tc>
        <w:tc>
          <w:tcPr>
            <w:tcW w:w="8788" w:type="dxa"/>
            <w:shd w:val="clear" w:color="auto" w:fill="EAF1DD"/>
            <w:noWrap/>
            <w:vAlign w:val="center"/>
          </w:tcPr>
          <w:p w14:paraId="0CCBDB76" w14:textId="60437307" w:rsidR="00663AA3" w:rsidRPr="00D6105A" w:rsidRDefault="005F71C3" w:rsidP="00663AA3">
            <w:pPr>
              <w:tabs>
                <w:tab w:val="left" w:pos="4820"/>
              </w:tabs>
              <w:spacing w:after="0" w:line="240" w:lineRule="auto"/>
              <w:jc w:val="both"/>
              <w:rPr>
                <w:rFonts w:cstheme="minorHAnsi"/>
                <w:b/>
                <w:bCs/>
                <w:sz w:val="20"/>
                <w:szCs w:val="20"/>
              </w:rPr>
            </w:pPr>
            <w:r w:rsidRPr="005F71C3">
              <w:rPr>
                <w:rFonts w:cstheme="minorHAnsi"/>
                <w:b/>
                <w:bCs/>
                <w:sz w:val="20"/>
                <w:szCs w:val="20"/>
              </w:rPr>
              <w:t>GOODS AND SERVICES TAX APPELLATE TRIBUNAL (APPOINTMENT AND CONDITIONS OF SERVICE OF PRESIDENT AND MEMBERS) RULES, 2023</w:t>
            </w:r>
          </w:p>
        </w:tc>
        <w:tc>
          <w:tcPr>
            <w:tcW w:w="851" w:type="dxa"/>
            <w:shd w:val="clear" w:color="auto" w:fill="EAF1DD" w:themeFill="accent3" w:themeFillTint="33"/>
            <w:noWrap/>
            <w:vAlign w:val="center"/>
          </w:tcPr>
          <w:p w14:paraId="03AEE4E9" w14:textId="77777777" w:rsidR="00663AA3" w:rsidRPr="00942E32" w:rsidRDefault="00663AA3" w:rsidP="00663AA3">
            <w:pPr>
              <w:tabs>
                <w:tab w:val="left" w:pos="4820"/>
              </w:tabs>
              <w:spacing w:after="0" w:line="240" w:lineRule="auto"/>
              <w:jc w:val="center"/>
              <w:rPr>
                <w:rFonts w:cstheme="minorHAnsi"/>
                <w:b/>
                <w:bCs/>
                <w:sz w:val="20"/>
                <w:szCs w:val="20"/>
              </w:rPr>
            </w:pPr>
          </w:p>
        </w:tc>
      </w:tr>
      <w:tr w:rsidR="000A7071" w:rsidRPr="00942E32" w14:paraId="0954ECC7" w14:textId="77777777" w:rsidTr="004E7C9A">
        <w:trPr>
          <w:trHeight w:val="251"/>
        </w:trPr>
        <w:tc>
          <w:tcPr>
            <w:tcW w:w="1675" w:type="dxa"/>
            <w:shd w:val="clear" w:color="auto" w:fill="EAF1DD"/>
            <w:noWrap/>
            <w:vAlign w:val="center"/>
          </w:tcPr>
          <w:p w14:paraId="7A81107F" w14:textId="243794F7" w:rsidR="000A7071" w:rsidRDefault="00663AA3" w:rsidP="000350C5">
            <w:pPr>
              <w:tabs>
                <w:tab w:val="left" w:pos="4820"/>
              </w:tabs>
              <w:spacing w:after="0" w:line="240" w:lineRule="auto"/>
              <w:jc w:val="center"/>
              <w:rPr>
                <w:rFonts w:cstheme="minorHAnsi"/>
                <w:b/>
                <w:bCs/>
                <w:sz w:val="20"/>
                <w:szCs w:val="20"/>
              </w:rPr>
            </w:pPr>
            <w:r>
              <w:rPr>
                <w:rFonts w:cstheme="minorHAnsi"/>
                <w:b/>
                <w:bCs/>
                <w:sz w:val="20"/>
                <w:szCs w:val="20"/>
              </w:rPr>
              <w:t>ADVISORY</w:t>
            </w:r>
          </w:p>
        </w:tc>
        <w:tc>
          <w:tcPr>
            <w:tcW w:w="8788" w:type="dxa"/>
            <w:shd w:val="clear" w:color="auto" w:fill="EAF1DD"/>
            <w:noWrap/>
            <w:vAlign w:val="center"/>
          </w:tcPr>
          <w:p w14:paraId="4462DA96" w14:textId="724EBF23" w:rsidR="000A7071" w:rsidRPr="00D6105A" w:rsidRDefault="005F71C3" w:rsidP="000350C5">
            <w:pPr>
              <w:tabs>
                <w:tab w:val="left" w:pos="4820"/>
              </w:tabs>
              <w:spacing w:after="0" w:line="240" w:lineRule="auto"/>
              <w:jc w:val="both"/>
              <w:rPr>
                <w:rFonts w:cstheme="minorHAnsi"/>
                <w:b/>
                <w:bCs/>
                <w:sz w:val="20"/>
                <w:szCs w:val="20"/>
              </w:rPr>
            </w:pPr>
            <w:r w:rsidRPr="005F71C3">
              <w:rPr>
                <w:rFonts w:cstheme="minorHAnsi"/>
                <w:b/>
                <w:bCs/>
                <w:sz w:val="20"/>
                <w:szCs w:val="20"/>
              </w:rPr>
              <w:t>ADVISORY RELATED TO CHANGES IN GSTR-5A</w:t>
            </w:r>
          </w:p>
        </w:tc>
        <w:tc>
          <w:tcPr>
            <w:tcW w:w="851" w:type="dxa"/>
            <w:shd w:val="clear" w:color="auto" w:fill="EAF1DD" w:themeFill="accent3" w:themeFillTint="33"/>
            <w:noWrap/>
            <w:vAlign w:val="center"/>
          </w:tcPr>
          <w:p w14:paraId="1F688F7A" w14:textId="77777777" w:rsidR="000A7071" w:rsidRPr="00942E32" w:rsidRDefault="000A7071" w:rsidP="000350C5">
            <w:pPr>
              <w:tabs>
                <w:tab w:val="left" w:pos="4820"/>
              </w:tabs>
              <w:spacing w:after="0" w:line="240" w:lineRule="auto"/>
              <w:jc w:val="center"/>
              <w:rPr>
                <w:rFonts w:cstheme="minorHAnsi"/>
                <w:b/>
                <w:bCs/>
                <w:sz w:val="20"/>
                <w:szCs w:val="20"/>
              </w:rPr>
            </w:pPr>
          </w:p>
        </w:tc>
      </w:tr>
      <w:tr w:rsidR="007A4166" w:rsidRPr="00942E32" w14:paraId="3C541A4D" w14:textId="77777777" w:rsidTr="004E7C9A">
        <w:trPr>
          <w:trHeight w:val="251"/>
        </w:trPr>
        <w:tc>
          <w:tcPr>
            <w:tcW w:w="1675" w:type="dxa"/>
            <w:shd w:val="clear" w:color="auto" w:fill="EAF1DD"/>
            <w:noWrap/>
            <w:vAlign w:val="center"/>
          </w:tcPr>
          <w:p w14:paraId="29E961C7" w14:textId="05AA836C" w:rsidR="007A4166" w:rsidRDefault="007A4166" w:rsidP="000350C5">
            <w:pPr>
              <w:tabs>
                <w:tab w:val="left" w:pos="4820"/>
              </w:tabs>
              <w:spacing w:after="0" w:line="240" w:lineRule="auto"/>
              <w:jc w:val="center"/>
              <w:rPr>
                <w:rFonts w:cstheme="minorHAnsi"/>
                <w:b/>
                <w:bCs/>
                <w:sz w:val="20"/>
                <w:szCs w:val="20"/>
              </w:rPr>
            </w:pPr>
            <w:r>
              <w:rPr>
                <w:rFonts w:cstheme="minorHAnsi"/>
                <w:b/>
                <w:bCs/>
                <w:sz w:val="20"/>
                <w:szCs w:val="20"/>
              </w:rPr>
              <w:t>CIRCULAR</w:t>
            </w:r>
          </w:p>
        </w:tc>
        <w:tc>
          <w:tcPr>
            <w:tcW w:w="8788" w:type="dxa"/>
            <w:shd w:val="clear" w:color="auto" w:fill="EAF1DD"/>
            <w:noWrap/>
            <w:vAlign w:val="center"/>
          </w:tcPr>
          <w:p w14:paraId="7958CC95" w14:textId="09A53493" w:rsidR="007A4166" w:rsidRPr="005F71C3" w:rsidRDefault="007A4166" w:rsidP="000350C5">
            <w:pPr>
              <w:tabs>
                <w:tab w:val="left" w:pos="4820"/>
              </w:tabs>
              <w:spacing w:after="0" w:line="240" w:lineRule="auto"/>
              <w:jc w:val="both"/>
              <w:rPr>
                <w:rFonts w:cstheme="minorHAnsi"/>
                <w:b/>
                <w:bCs/>
                <w:sz w:val="20"/>
                <w:szCs w:val="20"/>
              </w:rPr>
            </w:pPr>
            <w:r w:rsidRPr="007A4166">
              <w:rPr>
                <w:rFonts w:cstheme="minorHAnsi"/>
                <w:b/>
                <w:bCs/>
                <w:sz w:val="20"/>
                <w:szCs w:val="20"/>
              </w:rPr>
              <w:t>CLARIFICATION RELATING TO EXPORT OF SERVICES – SUB-CLAUSE (IV) OF THE SECTION 2 (6) OF THE IGST ACT 2017</w:t>
            </w:r>
          </w:p>
        </w:tc>
        <w:tc>
          <w:tcPr>
            <w:tcW w:w="851" w:type="dxa"/>
            <w:shd w:val="clear" w:color="auto" w:fill="EAF1DD" w:themeFill="accent3" w:themeFillTint="33"/>
            <w:noWrap/>
            <w:vAlign w:val="center"/>
          </w:tcPr>
          <w:p w14:paraId="5EAD604C" w14:textId="77777777" w:rsidR="007A4166" w:rsidRPr="00942E32" w:rsidRDefault="007A4166" w:rsidP="000350C5">
            <w:pPr>
              <w:tabs>
                <w:tab w:val="left" w:pos="4820"/>
              </w:tabs>
              <w:spacing w:after="0" w:line="240" w:lineRule="auto"/>
              <w:jc w:val="center"/>
              <w:rPr>
                <w:rFonts w:cstheme="minorHAnsi"/>
                <w:b/>
                <w:bCs/>
                <w:sz w:val="20"/>
                <w:szCs w:val="20"/>
              </w:rPr>
            </w:pPr>
          </w:p>
        </w:tc>
      </w:tr>
      <w:tr w:rsidR="007A4166" w:rsidRPr="00942E32" w14:paraId="4382F14C" w14:textId="77777777" w:rsidTr="004E7C9A">
        <w:trPr>
          <w:trHeight w:val="251"/>
        </w:trPr>
        <w:tc>
          <w:tcPr>
            <w:tcW w:w="1675" w:type="dxa"/>
            <w:shd w:val="clear" w:color="auto" w:fill="EAF1DD"/>
            <w:noWrap/>
            <w:vAlign w:val="center"/>
          </w:tcPr>
          <w:p w14:paraId="4B2E2DDF" w14:textId="76983DE0" w:rsidR="007A4166" w:rsidRDefault="007A4166" w:rsidP="000350C5">
            <w:pPr>
              <w:tabs>
                <w:tab w:val="left" w:pos="4820"/>
              </w:tabs>
              <w:spacing w:after="0" w:line="240" w:lineRule="auto"/>
              <w:jc w:val="center"/>
              <w:rPr>
                <w:rFonts w:cstheme="minorHAnsi"/>
                <w:b/>
                <w:bCs/>
                <w:sz w:val="20"/>
                <w:szCs w:val="20"/>
              </w:rPr>
            </w:pPr>
            <w:r>
              <w:rPr>
                <w:rFonts w:cstheme="minorHAnsi"/>
                <w:b/>
                <w:bCs/>
                <w:sz w:val="20"/>
                <w:szCs w:val="20"/>
              </w:rPr>
              <w:t>CIRCULAR</w:t>
            </w:r>
          </w:p>
        </w:tc>
        <w:tc>
          <w:tcPr>
            <w:tcW w:w="8788" w:type="dxa"/>
            <w:shd w:val="clear" w:color="auto" w:fill="EAF1DD"/>
            <w:noWrap/>
            <w:vAlign w:val="center"/>
          </w:tcPr>
          <w:p w14:paraId="45A2B23B" w14:textId="3FF3A2B2" w:rsidR="007A4166" w:rsidRPr="005F71C3" w:rsidRDefault="007A4166" w:rsidP="000350C5">
            <w:pPr>
              <w:tabs>
                <w:tab w:val="left" w:pos="4820"/>
              </w:tabs>
              <w:spacing w:after="0" w:line="240" w:lineRule="auto"/>
              <w:jc w:val="both"/>
              <w:rPr>
                <w:rFonts w:cstheme="minorHAnsi"/>
                <w:b/>
                <w:bCs/>
                <w:sz w:val="20"/>
                <w:szCs w:val="20"/>
              </w:rPr>
            </w:pPr>
            <w:r w:rsidRPr="007A4166">
              <w:rPr>
                <w:rFonts w:cstheme="minorHAnsi"/>
                <w:b/>
                <w:bCs/>
                <w:sz w:val="20"/>
                <w:szCs w:val="20"/>
              </w:rPr>
              <w:t>CLARIFICATION REGARDING DETERMINATION OF PLACE OF SUPPLY IN VARIOUS CASES</w:t>
            </w:r>
          </w:p>
        </w:tc>
        <w:tc>
          <w:tcPr>
            <w:tcW w:w="851" w:type="dxa"/>
            <w:shd w:val="clear" w:color="auto" w:fill="EAF1DD" w:themeFill="accent3" w:themeFillTint="33"/>
            <w:noWrap/>
            <w:vAlign w:val="center"/>
          </w:tcPr>
          <w:p w14:paraId="0D9C62B2" w14:textId="77777777" w:rsidR="007A4166" w:rsidRPr="00942E32" w:rsidRDefault="007A4166" w:rsidP="000350C5">
            <w:pPr>
              <w:tabs>
                <w:tab w:val="left" w:pos="4820"/>
              </w:tabs>
              <w:spacing w:after="0" w:line="240" w:lineRule="auto"/>
              <w:jc w:val="center"/>
              <w:rPr>
                <w:rFonts w:cstheme="minorHAnsi"/>
                <w:b/>
                <w:bCs/>
                <w:sz w:val="20"/>
                <w:szCs w:val="20"/>
              </w:rPr>
            </w:pPr>
          </w:p>
        </w:tc>
      </w:tr>
      <w:tr w:rsidR="007A4166" w:rsidRPr="00942E32" w14:paraId="60603234" w14:textId="77777777" w:rsidTr="004E7C9A">
        <w:trPr>
          <w:trHeight w:val="251"/>
        </w:trPr>
        <w:tc>
          <w:tcPr>
            <w:tcW w:w="1675" w:type="dxa"/>
            <w:shd w:val="clear" w:color="auto" w:fill="EAF1DD"/>
            <w:noWrap/>
            <w:vAlign w:val="center"/>
          </w:tcPr>
          <w:p w14:paraId="22BF2A4F" w14:textId="48D5092C" w:rsidR="007A4166" w:rsidRDefault="007A4166" w:rsidP="000350C5">
            <w:pPr>
              <w:tabs>
                <w:tab w:val="left" w:pos="4820"/>
              </w:tabs>
              <w:spacing w:after="0" w:line="240" w:lineRule="auto"/>
              <w:jc w:val="center"/>
              <w:rPr>
                <w:rFonts w:cstheme="minorHAnsi"/>
                <w:b/>
                <w:bCs/>
                <w:sz w:val="20"/>
                <w:szCs w:val="20"/>
              </w:rPr>
            </w:pPr>
            <w:r>
              <w:rPr>
                <w:rFonts w:cstheme="minorHAnsi"/>
                <w:b/>
                <w:bCs/>
                <w:sz w:val="20"/>
                <w:szCs w:val="20"/>
              </w:rPr>
              <w:t>CIRCULAR</w:t>
            </w:r>
          </w:p>
        </w:tc>
        <w:tc>
          <w:tcPr>
            <w:tcW w:w="8788" w:type="dxa"/>
            <w:shd w:val="clear" w:color="auto" w:fill="EAF1DD"/>
            <w:noWrap/>
            <w:vAlign w:val="center"/>
          </w:tcPr>
          <w:p w14:paraId="1AC6E847" w14:textId="49C9FCF6" w:rsidR="007A4166" w:rsidRPr="005F71C3" w:rsidRDefault="007A4166" w:rsidP="000350C5">
            <w:pPr>
              <w:tabs>
                <w:tab w:val="left" w:pos="4820"/>
              </w:tabs>
              <w:spacing w:after="0" w:line="240" w:lineRule="auto"/>
              <w:jc w:val="both"/>
              <w:rPr>
                <w:rFonts w:cstheme="minorHAnsi"/>
                <w:b/>
                <w:bCs/>
                <w:sz w:val="20"/>
                <w:szCs w:val="20"/>
              </w:rPr>
            </w:pPr>
            <w:r w:rsidRPr="007A4166">
              <w:rPr>
                <w:rFonts w:cstheme="minorHAnsi"/>
                <w:b/>
                <w:bCs/>
                <w:sz w:val="20"/>
                <w:szCs w:val="20"/>
              </w:rPr>
              <w:t>CLARIFICATION ON ISSUES PERTAINING TO TAXABILITY OF PERSONAL GUARANTEE AND CORPORATE GUARANTEE IN GST</w:t>
            </w:r>
          </w:p>
        </w:tc>
        <w:tc>
          <w:tcPr>
            <w:tcW w:w="851" w:type="dxa"/>
            <w:shd w:val="clear" w:color="auto" w:fill="EAF1DD" w:themeFill="accent3" w:themeFillTint="33"/>
            <w:noWrap/>
            <w:vAlign w:val="center"/>
          </w:tcPr>
          <w:p w14:paraId="5BC99B85" w14:textId="77777777" w:rsidR="007A4166" w:rsidRPr="00942E32" w:rsidRDefault="007A4166" w:rsidP="000350C5">
            <w:pPr>
              <w:tabs>
                <w:tab w:val="left" w:pos="4820"/>
              </w:tabs>
              <w:spacing w:after="0" w:line="240" w:lineRule="auto"/>
              <w:jc w:val="center"/>
              <w:rPr>
                <w:rFonts w:cstheme="minorHAnsi"/>
                <w:b/>
                <w:bCs/>
                <w:sz w:val="20"/>
                <w:szCs w:val="20"/>
              </w:rPr>
            </w:pPr>
          </w:p>
        </w:tc>
      </w:tr>
      <w:tr w:rsidR="000350C5" w:rsidRPr="00942E32" w14:paraId="46B8D53D" w14:textId="77777777" w:rsidTr="00F20908">
        <w:trPr>
          <w:trHeight w:hRule="exact" w:val="344"/>
        </w:trPr>
        <w:tc>
          <w:tcPr>
            <w:tcW w:w="1675" w:type="dxa"/>
            <w:shd w:val="clear" w:color="auto" w:fill="B3D5AB"/>
            <w:vAlign w:val="center"/>
          </w:tcPr>
          <w:p w14:paraId="6F9D0794"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4]</w:t>
            </w:r>
          </w:p>
        </w:tc>
        <w:tc>
          <w:tcPr>
            <w:tcW w:w="8788" w:type="dxa"/>
            <w:shd w:val="clear" w:color="auto" w:fill="B3D5AB"/>
            <w:vAlign w:val="center"/>
          </w:tcPr>
          <w:p w14:paraId="7638AB8E"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FEMA</w:t>
            </w:r>
          </w:p>
        </w:tc>
        <w:tc>
          <w:tcPr>
            <w:tcW w:w="851" w:type="dxa"/>
            <w:shd w:val="clear" w:color="auto" w:fill="B3D5AB"/>
            <w:vAlign w:val="center"/>
          </w:tcPr>
          <w:p w14:paraId="771A4AE9" w14:textId="576FFE50" w:rsidR="000350C5" w:rsidRPr="00942E32" w:rsidRDefault="00955B67" w:rsidP="000350C5">
            <w:pPr>
              <w:tabs>
                <w:tab w:val="left" w:pos="4820"/>
              </w:tabs>
              <w:spacing w:after="0" w:line="240" w:lineRule="auto"/>
              <w:jc w:val="center"/>
              <w:rPr>
                <w:rFonts w:cstheme="minorHAnsi"/>
                <w:b/>
                <w:sz w:val="20"/>
                <w:szCs w:val="20"/>
              </w:rPr>
            </w:pPr>
            <w:r>
              <w:rPr>
                <w:rFonts w:cstheme="minorHAnsi"/>
                <w:b/>
                <w:sz w:val="20"/>
                <w:szCs w:val="20"/>
              </w:rPr>
              <w:t>17</w:t>
            </w:r>
          </w:p>
        </w:tc>
      </w:tr>
      <w:tr w:rsidR="000350C5" w:rsidRPr="00942E32" w14:paraId="00E96464" w14:textId="77777777" w:rsidTr="006B6C5C">
        <w:trPr>
          <w:trHeight w:hRule="exact" w:val="608"/>
        </w:trPr>
        <w:tc>
          <w:tcPr>
            <w:tcW w:w="1675" w:type="dxa"/>
            <w:shd w:val="clear" w:color="auto" w:fill="EAF1DD"/>
            <w:vAlign w:val="center"/>
          </w:tcPr>
          <w:p w14:paraId="3BD96418" w14:textId="141AD648" w:rsidR="000350C5" w:rsidRPr="00942E32" w:rsidRDefault="000350C5" w:rsidP="000350C5">
            <w:pPr>
              <w:tabs>
                <w:tab w:val="left" w:pos="4820"/>
              </w:tabs>
              <w:spacing w:after="0" w:line="240" w:lineRule="auto"/>
              <w:jc w:val="center"/>
              <w:rPr>
                <w:rFonts w:cstheme="minorHAnsi"/>
                <w:b/>
                <w:bCs/>
                <w:sz w:val="20"/>
                <w:szCs w:val="20"/>
              </w:rPr>
            </w:pPr>
            <w:r>
              <w:rPr>
                <w:rFonts w:cstheme="minorHAnsi"/>
                <w:b/>
                <w:bCs/>
                <w:sz w:val="20"/>
                <w:szCs w:val="20"/>
              </w:rPr>
              <w:t>CASE LAW</w:t>
            </w:r>
          </w:p>
        </w:tc>
        <w:tc>
          <w:tcPr>
            <w:tcW w:w="8788" w:type="dxa"/>
            <w:shd w:val="clear" w:color="auto" w:fill="EAF1DD"/>
            <w:vAlign w:val="center"/>
          </w:tcPr>
          <w:p w14:paraId="1DE1CBE1" w14:textId="0C3B111A" w:rsidR="000350C5" w:rsidRPr="00942E32" w:rsidRDefault="006B6C5C" w:rsidP="000350C5">
            <w:pPr>
              <w:tabs>
                <w:tab w:val="left" w:pos="4820"/>
              </w:tabs>
              <w:spacing w:after="0" w:line="240" w:lineRule="auto"/>
              <w:jc w:val="both"/>
              <w:rPr>
                <w:rFonts w:cstheme="minorHAnsi"/>
                <w:b/>
                <w:bCs/>
                <w:sz w:val="20"/>
                <w:szCs w:val="20"/>
              </w:rPr>
            </w:pPr>
            <w:r w:rsidRPr="006B6C5C">
              <w:rPr>
                <w:rFonts w:cstheme="minorHAnsi"/>
                <w:b/>
                <w:bCs/>
                <w:sz w:val="20"/>
                <w:szCs w:val="20"/>
              </w:rPr>
              <w:t xml:space="preserve">PROCEEDINGS INITIATED U/S 56 OF FERA - NON ISSUE OF SCN - VIOLATION OF PRINCIPLE OF NATURAL </w:t>
            </w:r>
            <w:proofErr w:type="gramStart"/>
            <w:r w:rsidRPr="006B6C5C">
              <w:rPr>
                <w:rFonts w:cstheme="minorHAnsi"/>
                <w:b/>
                <w:bCs/>
                <w:sz w:val="20"/>
                <w:szCs w:val="20"/>
              </w:rPr>
              <w:t>JUSTICE :</w:t>
            </w:r>
            <w:proofErr w:type="gramEnd"/>
            <w:r w:rsidRPr="006B6C5C">
              <w:rPr>
                <w:rFonts w:cstheme="minorHAnsi"/>
                <w:b/>
                <w:bCs/>
                <w:sz w:val="20"/>
                <w:szCs w:val="20"/>
              </w:rPr>
              <w:t xml:space="preserve"> DELHI HIGH COURT</w:t>
            </w:r>
          </w:p>
        </w:tc>
        <w:tc>
          <w:tcPr>
            <w:tcW w:w="851" w:type="dxa"/>
            <w:shd w:val="clear" w:color="auto" w:fill="EAF1DD"/>
            <w:vAlign w:val="center"/>
          </w:tcPr>
          <w:p w14:paraId="7A574470" w14:textId="77777777" w:rsidR="000350C5" w:rsidRPr="00942E32" w:rsidRDefault="000350C5" w:rsidP="000350C5">
            <w:pPr>
              <w:tabs>
                <w:tab w:val="left" w:pos="4820"/>
              </w:tabs>
              <w:spacing w:after="0" w:line="240" w:lineRule="auto"/>
              <w:rPr>
                <w:rFonts w:cstheme="minorHAnsi"/>
                <w:b/>
                <w:sz w:val="20"/>
                <w:szCs w:val="20"/>
              </w:rPr>
            </w:pPr>
          </w:p>
        </w:tc>
      </w:tr>
      <w:tr w:rsidR="000350C5" w:rsidRPr="00942E32" w14:paraId="48F92353" w14:textId="77777777" w:rsidTr="00F20908">
        <w:trPr>
          <w:trHeight w:hRule="exact" w:val="310"/>
        </w:trPr>
        <w:tc>
          <w:tcPr>
            <w:tcW w:w="1675" w:type="dxa"/>
            <w:shd w:val="clear" w:color="auto" w:fill="B3D5AB"/>
            <w:vAlign w:val="center"/>
          </w:tcPr>
          <w:p w14:paraId="14BD12CB"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5]</w:t>
            </w:r>
          </w:p>
        </w:tc>
        <w:tc>
          <w:tcPr>
            <w:tcW w:w="8788" w:type="dxa"/>
            <w:shd w:val="clear" w:color="auto" w:fill="B3D5AB"/>
            <w:vAlign w:val="center"/>
          </w:tcPr>
          <w:p w14:paraId="3486ADA5" w14:textId="77777777" w:rsidR="000350C5" w:rsidRPr="00942E32" w:rsidRDefault="000350C5" w:rsidP="000350C5">
            <w:pPr>
              <w:tabs>
                <w:tab w:val="left" w:pos="4820"/>
              </w:tabs>
              <w:spacing w:after="0" w:line="240" w:lineRule="auto"/>
              <w:jc w:val="center"/>
              <w:rPr>
                <w:rFonts w:cstheme="minorHAnsi"/>
                <w:b/>
                <w:bCs/>
                <w:caps/>
                <w:color w:val="000000" w:themeColor="text1"/>
                <w:sz w:val="20"/>
                <w:szCs w:val="20"/>
              </w:rPr>
            </w:pPr>
            <w:r w:rsidRPr="00942E32">
              <w:rPr>
                <w:rFonts w:cstheme="minorHAnsi"/>
                <w:b/>
                <w:bCs/>
                <w:sz w:val="20"/>
                <w:szCs w:val="20"/>
              </w:rPr>
              <w:t>CUSTOMS</w:t>
            </w:r>
          </w:p>
        </w:tc>
        <w:tc>
          <w:tcPr>
            <w:tcW w:w="851" w:type="dxa"/>
            <w:shd w:val="clear" w:color="auto" w:fill="B3D5AB"/>
            <w:vAlign w:val="center"/>
          </w:tcPr>
          <w:p w14:paraId="2DC06540" w14:textId="7C2847AC" w:rsidR="000350C5" w:rsidRPr="00942E32" w:rsidRDefault="00260C99" w:rsidP="000350C5">
            <w:pPr>
              <w:tabs>
                <w:tab w:val="left" w:pos="4820"/>
              </w:tabs>
              <w:spacing w:after="0" w:line="240" w:lineRule="auto"/>
              <w:jc w:val="center"/>
              <w:rPr>
                <w:rFonts w:cstheme="minorHAnsi"/>
                <w:b/>
                <w:sz w:val="20"/>
                <w:szCs w:val="20"/>
              </w:rPr>
            </w:pPr>
            <w:r>
              <w:rPr>
                <w:rFonts w:cstheme="minorHAnsi"/>
                <w:b/>
                <w:sz w:val="20"/>
                <w:szCs w:val="20"/>
              </w:rPr>
              <w:t>1</w:t>
            </w:r>
            <w:r w:rsidR="00955B67">
              <w:rPr>
                <w:rFonts w:cstheme="minorHAnsi"/>
                <w:b/>
                <w:sz w:val="20"/>
                <w:szCs w:val="20"/>
              </w:rPr>
              <w:t>8</w:t>
            </w:r>
            <w:r w:rsidR="00760140">
              <w:rPr>
                <w:rFonts w:cstheme="minorHAnsi"/>
                <w:b/>
                <w:sz w:val="20"/>
                <w:szCs w:val="20"/>
              </w:rPr>
              <w:t>-1</w:t>
            </w:r>
            <w:r w:rsidR="00955B67">
              <w:rPr>
                <w:rFonts w:cstheme="minorHAnsi"/>
                <w:b/>
                <w:sz w:val="20"/>
                <w:szCs w:val="20"/>
              </w:rPr>
              <w:t>9</w:t>
            </w:r>
          </w:p>
        </w:tc>
      </w:tr>
      <w:tr w:rsidR="000350C5" w:rsidRPr="00942E32" w14:paraId="0B517B03" w14:textId="77777777" w:rsidTr="00F20908">
        <w:trPr>
          <w:trHeight w:hRule="exact" w:val="262"/>
        </w:trPr>
        <w:tc>
          <w:tcPr>
            <w:tcW w:w="1675" w:type="dxa"/>
            <w:shd w:val="clear" w:color="auto" w:fill="EAF1DD"/>
            <w:vAlign w:val="center"/>
          </w:tcPr>
          <w:p w14:paraId="18CD0BE5"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0D4E1F2B" w14:textId="1EE8D374" w:rsidR="000350C5" w:rsidRPr="00942E32" w:rsidRDefault="00760140" w:rsidP="000350C5">
            <w:pPr>
              <w:tabs>
                <w:tab w:val="left" w:pos="4820"/>
              </w:tabs>
              <w:spacing w:after="0" w:line="240" w:lineRule="auto"/>
              <w:jc w:val="both"/>
              <w:rPr>
                <w:rFonts w:cstheme="minorHAnsi"/>
                <w:b/>
                <w:bCs/>
                <w:caps/>
                <w:color w:val="000000" w:themeColor="text1"/>
                <w:sz w:val="20"/>
                <w:szCs w:val="20"/>
              </w:rPr>
            </w:pPr>
            <w:r w:rsidRPr="00760140">
              <w:rPr>
                <w:rFonts w:cstheme="minorHAnsi"/>
                <w:b/>
                <w:bCs/>
                <w:caps/>
                <w:color w:val="000000" w:themeColor="text1"/>
                <w:sz w:val="20"/>
                <w:szCs w:val="20"/>
              </w:rPr>
              <w:t>FIXATION OF TARIFF VALUE OF EDIBLE OILS, BRASS SCRAP, ARECA NUT, GOLD AND SILVER</w:t>
            </w:r>
          </w:p>
        </w:tc>
        <w:tc>
          <w:tcPr>
            <w:tcW w:w="851" w:type="dxa"/>
            <w:shd w:val="clear" w:color="auto" w:fill="EAF1DD"/>
            <w:vAlign w:val="center"/>
          </w:tcPr>
          <w:p w14:paraId="090E7956"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7A02CCA1" w14:textId="77777777" w:rsidTr="00760140">
        <w:trPr>
          <w:trHeight w:hRule="exact" w:val="838"/>
        </w:trPr>
        <w:tc>
          <w:tcPr>
            <w:tcW w:w="1675" w:type="dxa"/>
            <w:shd w:val="clear" w:color="auto" w:fill="EAF1DD"/>
            <w:vAlign w:val="center"/>
          </w:tcPr>
          <w:p w14:paraId="4FE8E05B" w14:textId="34F2A5E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33F3DABA" w14:textId="482FF32B" w:rsidR="000350C5" w:rsidRPr="00942E32" w:rsidRDefault="00760140" w:rsidP="000350C5">
            <w:pPr>
              <w:tabs>
                <w:tab w:val="left" w:pos="4820"/>
              </w:tabs>
              <w:spacing w:after="0" w:line="240" w:lineRule="auto"/>
              <w:jc w:val="both"/>
              <w:rPr>
                <w:b/>
                <w:bCs/>
                <w:sz w:val="20"/>
                <w:szCs w:val="20"/>
              </w:rPr>
            </w:pPr>
            <w:r w:rsidRPr="00760140">
              <w:rPr>
                <w:b/>
                <w:bCs/>
                <w:sz w:val="20"/>
                <w:szCs w:val="20"/>
              </w:rPr>
              <w:t>LEVY ANTI DUMPING DUTY (ADD) ON JUTE PRODUCTS ORIGINATING IN OR EXPORTED FROM NEPAL AND BANGLADESH (SSR) - SUNSET REVIEW INVESTIGATION CONCERNING IMPORTS OF JUTE PRODUCTS</w:t>
            </w:r>
          </w:p>
        </w:tc>
        <w:tc>
          <w:tcPr>
            <w:tcW w:w="851" w:type="dxa"/>
            <w:shd w:val="clear" w:color="auto" w:fill="EAF1DD"/>
            <w:vAlign w:val="center"/>
          </w:tcPr>
          <w:p w14:paraId="2D1AD8FA"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6A89201E" w14:textId="77777777" w:rsidTr="00F20908">
        <w:trPr>
          <w:trHeight w:hRule="exact" w:val="296"/>
        </w:trPr>
        <w:tc>
          <w:tcPr>
            <w:tcW w:w="1675" w:type="dxa"/>
            <w:shd w:val="clear" w:color="auto" w:fill="B3D5AB"/>
            <w:vAlign w:val="center"/>
          </w:tcPr>
          <w:p w14:paraId="58712636"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6]</w:t>
            </w:r>
          </w:p>
        </w:tc>
        <w:tc>
          <w:tcPr>
            <w:tcW w:w="8788" w:type="dxa"/>
            <w:shd w:val="clear" w:color="auto" w:fill="B3D5AB"/>
            <w:vAlign w:val="center"/>
          </w:tcPr>
          <w:p w14:paraId="07D3CAD9" w14:textId="77777777" w:rsidR="000350C5" w:rsidRPr="00942E32" w:rsidRDefault="000350C5" w:rsidP="000350C5">
            <w:pPr>
              <w:tabs>
                <w:tab w:val="left" w:pos="4820"/>
              </w:tabs>
              <w:spacing w:after="0" w:line="240" w:lineRule="auto"/>
              <w:jc w:val="center"/>
              <w:rPr>
                <w:rFonts w:cstheme="minorHAnsi"/>
                <w:b/>
                <w:bCs/>
                <w:caps/>
                <w:color w:val="000000" w:themeColor="text1"/>
                <w:sz w:val="20"/>
                <w:szCs w:val="20"/>
              </w:rPr>
            </w:pPr>
            <w:r w:rsidRPr="00942E32">
              <w:rPr>
                <w:rFonts w:cstheme="minorHAnsi"/>
                <w:b/>
                <w:bCs/>
                <w:sz w:val="20"/>
                <w:szCs w:val="20"/>
              </w:rPr>
              <w:t>DGFT</w:t>
            </w:r>
          </w:p>
        </w:tc>
        <w:tc>
          <w:tcPr>
            <w:tcW w:w="851" w:type="dxa"/>
            <w:shd w:val="clear" w:color="auto" w:fill="B3D5AB"/>
            <w:vAlign w:val="center"/>
          </w:tcPr>
          <w:p w14:paraId="6319A984" w14:textId="086D46FD" w:rsidR="000350C5" w:rsidRPr="00942E32" w:rsidRDefault="00955B67" w:rsidP="000350C5">
            <w:pPr>
              <w:tabs>
                <w:tab w:val="left" w:pos="4820"/>
              </w:tabs>
              <w:spacing w:after="0" w:line="240" w:lineRule="auto"/>
              <w:jc w:val="center"/>
              <w:rPr>
                <w:rFonts w:cstheme="minorHAnsi"/>
                <w:b/>
                <w:sz w:val="20"/>
                <w:szCs w:val="20"/>
              </w:rPr>
            </w:pPr>
            <w:r>
              <w:rPr>
                <w:rFonts w:cstheme="minorHAnsi"/>
                <w:b/>
                <w:sz w:val="20"/>
                <w:szCs w:val="20"/>
              </w:rPr>
              <w:t>20</w:t>
            </w:r>
            <w:r w:rsidR="0005271A">
              <w:rPr>
                <w:rFonts w:cstheme="minorHAnsi"/>
                <w:b/>
                <w:sz w:val="20"/>
                <w:szCs w:val="20"/>
              </w:rPr>
              <w:t>-</w:t>
            </w:r>
            <w:r>
              <w:rPr>
                <w:rFonts w:cstheme="minorHAnsi"/>
                <w:b/>
                <w:sz w:val="20"/>
                <w:szCs w:val="20"/>
              </w:rPr>
              <w:t>21</w:t>
            </w:r>
          </w:p>
        </w:tc>
      </w:tr>
      <w:tr w:rsidR="000350C5" w:rsidRPr="00942E32" w14:paraId="432AE226" w14:textId="77777777" w:rsidTr="0005271A">
        <w:trPr>
          <w:trHeight w:hRule="exact" w:val="273"/>
        </w:trPr>
        <w:tc>
          <w:tcPr>
            <w:tcW w:w="1675" w:type="dxa"/>
            <w:shd w:val="clear" w:color="auto" w:fill="EAF1DD"/>
            <w:vAlign w:val="center"/>
          </w:tcPr>
          <w:p w14:paraId="29A1FFB5" w14:textId="4E5A72F1"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46DB904E" w14:textId="1E4AB162" w:rsidR="000350C5" w:rsidRPr="00942E32" w:rsidRDefault="0005271A" w:rsidP="000350C5">
            <w:pPr>
              <w:tabs>
                <w:tab w:val="left" w:pos="4820"/>
              </w:tabs>
              <w:spacing w:after="0" w:line="240" w:lineRule="auto"/>
              <w:jc w:val="both"/>
              <w:rPr>
                <w:rFonts w:cstheme="minorHAnsi"/>
                <w:b/>
                <w:bCs/>
                <w:caps/>
                <w:sz w:val="20"/>
                <w:szCs w:val="20"/>
              </w:rPr>
            </w:pPr>
            <w:r w:rsidRPr="0005271A">
              <w:rPr>
                <w:rFonts w:cstheme="minorHAnsi"/>
                <w:b/>
                <w:bCs/>
                <w:caps/>
                <w:sz w:val="20"/>
                <w:szCs w:val="20"/>
              </w:rPr>
              <w:t>STREAMLINING OF HALAL CERTIFICATION PROCESS FOR MEAT AND MEAT PRODUCTS</w:t>
            </w:r>
          </w:p>
        </w:tc>
        <w:tc>
          <w:tcPr>
            <w:tcW w:w="851" w:type="dxa"/>
            <w:shd w:val="clear" w:color="auto" w:fill="EAF1DD"/>
            <w:vAlign w:val="center"/>
          </w:tcPr>
          <w:p w14:paraId="703BDA19"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0B8E4D49" w14:textId="77777777" w:rsidTr="00F20908">
        <w:trPr>
          <w:trHeight w:hRule="exact" w:val="536"/>
        </w:trPr>
        <w:tc>
          <w:tcPr>
            <w:tcW w:w="1675" w:type="dxa"/>
            <w:shd w:val="clear" w:color="auto" w:fill="EAF1DD"/>
            <w:vAlign w:val="center"/>
          </w:tcPr>
          <w:p w14:paraId="69530091" w14:textId="65559B2D" w:rsidR="000350C5" w:rsidRPr="00942E32" w:rsidRDefault="00663AA3" w:rsidP="000350C5">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3049B4E3" w14:textId="36CD4D0F" w:rsidR="000350C5" w:rsidRPr="004911B4" w:rsidRDefault="0005271A" w:rsidP="000350C5">
            <w:pPr>
              <w:tabs>
                <w:tab w:val="left" w:pos="4820"/>
              </w:tabs>
              <w:spacing w:after="0" w:line="240" w:lineRule="auto"/>
              <w:jc w:val="both"/>
              <w:rPr>
                <w:rFonts w:cstheme="minorHAnsi"/>
                <w:b/>
                <w:bCs/>
                <w:caps/>
                <w:sz w:val="20"/>
                <w:szCs w:val="20"/>
              </w:rPr>
            </w:pPr>
            <w:r w:rsidRPr="0005271A">
              <w:rPr>
                <w:rFonts w:cstheme="minorHAnsi"/>
                <w:b/>
                <w:bCs/>
                <w:caps/>
                <w:sz w:val="20"/>
                <w:szCs w:val="20"/>
              </w:rPr>
              <w:t>AMENDMENT IN POLICY CONDITION 1 OF CHAPTER 15 OF ITC (HS), 2022, SCHEDULE — I (IMPORT POLICY)</w:t>
            </w:r>
          </w:p>
        </w:tc>
        <w:tc>
          <w:tcPr>
            <w:tcW w:w="851" w:type="dxa"/>
            <w:shd w:val="clear" w:color="auto" w:fill="EAF1DD"/>
            <w:vAlign w:val="center"/>
          </w:tcPr>
          <w:p w14:paraId="16AD25C2"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0459C8D6" w14:textId="77777777" w:rsidTr="0005271A">
        <w:trPr>
          <w:trHeight w:hRule="exact" w:val="596"/>
        </w:trPr>
        <w:tc>
          <w:tcPr>
            <w:tcW w:w="1675" w:type="dxa"/>
            <w:shd w:val="clear" w:color="auto" w:fill="EAF1DD"/>
            <w:vAlign w:val="center"/>
          </w:tcPr>
          <w:p w14:paraId="7A775EFB" w14:textId="6EDA0593" w:rsidR="000350C5" w:rsidRPr="00942E32" w:rsidRDefault="00663AA3" w:rsidP="000350C5">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5083C9E7" w14:textId="7A7107CF" w:rsidR="000350C5" w:rsidRPr="004911B4" w:rsidRDefault="0005271A" w:rsidP="000350C5">
            <w:pPr>
              <w:tabs>
                <w:tab w:val="left" w:pos="4820"/>
              </w:tabs>
              <w:spacing w:after="0" w:line="240" w:lineRule="auto"/>
              <w:jc w:val="both"/>
              <w:rPr>
                <w:rFonts w:cstheme="minorHAnsi"/>
                <w:b/>
                <w:bCs/>
                <w:caps/>
                <w:sz w:val="20"/>
                <w:szCs w:val="20"/>
              </w:rPr>
            </w:pPr>
            <w:r w:rsidRPr="0005271A">
              <w:rPr>
                <w:rFonts w:cstheme="minorHAnsi"/>
                <w:b/>
                <w:bCs/>
                <w:caps/>
                <w:sz w:val="20"/>
                <w:szCs w:val="20"/>
              </w:rPr>
              <w:t>AMENDMENT OF IMPORT POLICY CONDITIONS FOR ITEM UNDER ITC(HS) CODE 0511 99 99 OF CHAPTER 05 OF ITC(HS), 2022, SCHEDULE -I (IMPORT POLICY)</w:t>
            </w:r>
          </w:p>
        </w:tc>
        <w:tc>
          <w:tcPr>
            <w:tcW w:w="851" w:type="dxa"/>
            <w:shd w:val="clear" w:color="auto" w:fill="EAF1DD"/>
            <w:vAlign w:val="center"/>
          </w:tcPr>
          <w:p w14:paraId="6AE59388" w14:textId="77777777" w:rsidR="000350C5" w:rsidRPr="00942E32" w:rsidRDefault="000350C5" w:rsidP="000350C5">
            <w:pPr>
              <w:tabs>
                <w:tab w:val="left" w:pos="4820"/>
              </w:tabs>
              <w:spacing w:after="0" w:line="240" w:lineRule="auto"/>
              <w:jc w:val="center"/>
              <w:rPr>
                <w:rFonts w:cstheme="minorHAnsi"/>
                <w:b/>
                <w:sz w:val="20"/>
                <w:szCs w:val="20"/>
              </w:rPr>
            </w:pPr>
          </w:p>
        </w:tc>
      </w:tr>
      <w:tr w:rsidR="00A00FA3" w:rsidRPr="00942E32" w14:paraId="2B7A09F6" w14:textId="77777777" w:rsidTr="00F20908">
        <w:trPr>
          <w:trHeight w:hRule="exact" w:val="348"/>
        </w:trPr>
        <w:tc>
          <w:tcPr>
            <w:tcW w:w="1675" w:type="dxa"/>
            <w:shd w:val="clear" w:color="auto" w:fill="B3D5AB"/>
            <w:vAlign w:val="center"/>
          </w:tcPr>
          <w:p w14:paraId="5F32A963" w14:textId="77777777" w:rsidR="00A00FA3" w:rsidRPr="00942E32" w:rsidRDefault="00A00FA3" w:rsidP="00A00FA3">
            <w:pPr>
              <w:tabs>
                <w:tab w:val="left" w:pos="4820"/>
              </w:tabs>
              <w:spacing w:after="0" w:line="240" w:lineRule="auto"/>
              <w:jc w:val="center"/>
              <w:rPr>
                <w:rFonts w:cstheme="minorHAnsi"/>
                <w:b/>
                <w:bCs/>
                <w:sz w:val="20"/>
                <w:szCs w:val="20"/>
              </w:rPr>
            </w:pPr>
            <w:r w:rsidRPr="00942E32">
              <w:rPr>
                <w:rFonts w:cstheme="minorHAnsi"/>
                <w:b/>
                <w:bCs/>
                <w:sz w:val="20"/>
                <w:szCs w:val="20"/>
              </w:rPr>
              <w:t>7]</w:t>
            </w:r>
          </w:p>
        </w:tc>
        <w:tc>
          <w:tcPr>
            <w:tcW w:w="8788" w:type="dxa"/>
            <w:shd w:val="clear" w:color="auto" w:fill="B3D5AB"/>
            <w:vAlign w:val="center"/>
          </w:tcPr>
          <w:p w14:paraId="35993626" w14:textId="77777777" w:rsidR="00A00FA3" w:rsidRPr="00942E32" w:rsidRDefault="00A00FA3" w:rsidP="00A00FA3">
            <w:pPr>
              <w:tabs>
                <w:tab w:val="left" w:pos="4820"/>
              </w:tabs>
              <w:spacing w:after="0" w:line="240" w:lineRule="auto"/>
              <w:jc w:val="both"/>
              <w:rPr>
                <w:rFonts w:cstheme="minorHAnsi"/>
                <w:b/>
                <w:bCs/>
                <w:sz w:val="20"/>
                <w:szCs w:val="20"/>
              </w:rPr>
            </w:pPr>
            <w:r w:rsidRPr="00942E32">
              <w:rPr>
                <w:rFonts w:cstheme="minorHAnsi"/>
                <w:b/>
                <w:bCs/>
                <w:sz w:val="20"/>
                <w:szCs w:val="20"/>
              </w:rPr>
              <w:t>HANDBOOK ON GST 2022</w:t>
            </w:r>
          </w:p>
        </w:tc>
        <w:tc>
          <w:tcPr>
            <w:tcW w:w="851" w:type="dxa"/>
            <w:shd w:val="clear" w:color="auto" w:fill="B3D5AB"/>
            <w:vAlign w:val="center"/>
          </w:tcPr>
          <w:p w14:paraId="51BF1AF5" w14:textId="033872CC" w:rsidR="00A00FA3" w:rsidRPr="00942E32" w:rsidRDefault="00955B67" w:rsidP="00A00FA3">
            <w:pPr>
              <w:tabs>
                <w:tab w:val="left" w:pos="4820"/>
              </w:tabs>
              <w:spacing w:after="0" w:line="240" w:lineRule="auto"/>
              <w:jc w:val="center"/>
              <w:rPr>
                <w:rFonts w:cstheme="minorHAnsi"/>
                <w:b/>
                <w:sz w:val="20"/>
                <w:szCs w:val="20"/>
              </w:rPr>
            </w:pPr>
            <w:r>
              <w:rPr>
                <w:rFonts w:cstheme="minorHAnsi"/>
                <w:b/>
                <w:sz w:val="20"/>
                <w:szCs w:val="20"/>
              </w:rPr>
              <w:t>22</w:t>
            </w:r>
          </w:p>
        </w:tc>
      </w:tr>
      <w:tr w:rsidR="00A00FA3" w:rsidRPr="00942E32" w14:paraId="32C57519" w14:textId="77777777" w:rsidTr="00F20908">
        <w:trPr>
          <w:trHeight w:hRule="exact" w:val="352"/>
        </w:trPr>
        <w:tc>
          <w:tcPr>
            <w:tcW w:w="1675" w:type="dxa"/>
            <w:shd w:val="clear" w:color="auto" w:fill="B3D5AB"/>
            <w:vAlign w:val="center"/>
          </w:tcPr>
          <w:p w14:paraId="03DCFDDC" w14:textId="77777777" w:rsidR="00A00FA3" w:rsidRPr="00942E32" w:rsidRDefault="00A00FA3" w:rsidP="00A00FA3">
            <w:pPr>
              <w:tabs>
                <w:tab w:val="left" w:pos="4820"/>
              </w:tabs>
              <w:spacing w:after="0" w:line="240" w:lineRule="auto"/>
              <w:jc w:val="center"/>
              <w:rPr>
                <w:rFonts w:cstheme="minorHAnsi"/>
                <w:b/>
                <w:bCs/>
                <w:sz w:val="20"/>
                <w:szCs w:val="20"/>
              </w:rPr>
            </w:pPr>
            <w:r w:rsidRPr="00942E32">
              <w:rPr>
                <w:rFonts w:cstheme="minorHAnsi"/>
                <w:b/>
                <w:bCs/>
                <w:sz w:val="20"/>
                <w:szCs w:val="20"/>
              </w:rPr>
              <w:t>8]</w:t>
            </w:r>
          </w:p>
        </w:tc>
        <w:tc>
          <w:tcPr>
            <w:tcW w:w="8788" w:type="dxa"/>
            <w:shd w:val="clear" w:color="auto" w:fill="B3D5AB"/>
            <w:vAlign w:val="center"/>
          </w:tcPr>
          <w:p w14:paraId="50038C14" w14:textId="77777777" w:rsidR="00A00FA3" w:rsidRPr="00942E32" w:rsidRDefault="00A00FA3" w:rsidP="00A00FA3">
            <w:pPr>
              <w:tabs>
                <w:tab w:val="left" w:pos="4820"/>
              </w:tabs>
              <w:spacing w:after="0" w:line="240" w:lineRule="auto"/>
              <w:jc w:val="both"/>
              <w:rPr>
                <w:rFonts w:cstheme="minorHAnsi"/>
                <w:b/>
                <w:bCs/>
                <w:sz w:val="20"/>
                <w:szCs w:val="20"/>
              </w:rPr>
            </w:pPr>
            <w:r w:rsidRPr="00942E32">
              <w:rPr>
                <w:rFonts w:cstheme="minorHAnsi"/>
                <w:b/>
                <w:bCs/>
                <w:sz w:val="20"/>
                <w:szCs w:val="20"/>
              </w:rPr>
              <w:t>HOW TO HANDLE GST LITIGATION: ASSESSMENT, SCRUTINY, AUDIT &amp; APPEAL</w:t>
            </w:r>
          </w:p>
        </w:tc>
        <w:tc>
          <w:tcPr>
            <w:tcW w:w="851" w:type="dxa"/>
            <w:shd w:val="clear" w:color="auto" w:fill="B3D5AB"/>
            <w:vAlign w:val="center"/>
          </w:tcPr>
          <w:p w14:paraId="3321CD15" w14:textId="2798B2E2" w:rsidR="00A00FA3" w:rsidRPr="00942E32" w:rsidRDefault="00955B67" w:rsidP="00A00FA3">
            <w:pPr>
              <w:tabs>
                <w:tab w:val="left" w:pos="4820"/>
              </w:tabs>
              <w:spacing w:after="0" w:line="240" w:lineRule="auto"/>
              <w:jc w:val="center"/>
              <w:rPr>
                <w:rFonts w:cstheme="minorHAnsi"/>
                <w:b/>
                <w:sz w:val="20"/>
                <w:szCs w:val="20"/>
              </w:rPr>
            </w:pPr>
            <w:r>
              <w:rPr>
                <w:rFonts w:cstheme="minorHAnsi"/>
                <w:b/>
                <w:sz w:val="20"/>
                <w:szCs w:val="20"/>
              </w:rPr>
              <w:t>23</w:t>
            </w:r>
          </w:p>
        </w:tc>
      </w:tr>
      <w:tr w:rsidR="00A00FA3" w:rsidRPr="00942E32" w14:paraId="67BE150F" w14:textId="77777777" w:rsidTr="00F20908">
        <w:trPr>
          <w:trHeight w:hRule="exact" w:val="512"/>
        </w:trPr>
        <w:tc>
          <w:tcPr>
            <w:tcW w:w="1675" w:type="dxa"/>
            <w:shd w:val="clear" w:color="auto" w:fill="B3D5AB"/>
            <w:vAlign w:val="center"/>
          </w:tcPr>
          <w:p w14:paraId="5C2A0B15" w14:textId="77777777" w:rsidR="00A00FA3" w:rsidRPr="00942E32" w:rsidRDefault="00A00FA3" w:rsidP="00A00FA3">
            <w:pPr>
              <w:tabs>
                <w:tab w:val="left" w:pos="4820"/>
              </w:tabs>
              <w:spacing w:after="0" w:line="240" w:lineRule="auto"/>
              <w:jc w:val="center"/>
              <w:rPr>
                <w:rFonts w:cstheme="minorHAnsi"/>
                <w:b/>
                <w:bCs/>
                <w:sz w:val="20"/>
                <w:szCs w:val="20"/>
              </w:rPr>
            </w:pPr>
            <w:r w:rsidRPr="00942E32">
              <w:rPr>
                <w:rFonts w:cstheme="minorHAnsi"/>
                <w:b/>
                <w:bCs/>
                <w:sz w:val="20"/>
                <w:szCs w:val="20"/>
              </w:rPr>
              <w:t>9]</w:t>
            </w:r>
          </w:p>
        </w:tc>
        <w:tc>
          <w:tcPr>
            <w:tcW w:w="8788" w:type="dxa"/>
            <w:shd w:val="clear" w:color="auto" w:fill="B3D5AB"/>
            <w:vAlign w:val="center"/>
          </w:tcPr>
          <w:p w14:paraId="53F81E03" w14:textId="77777777" w:rsidR="00A00FA3" w:rsidRPr="00942E32" w:rsidRDefault="00A00FA3" w:rsidP="00A00FA3">
            <w:pPr>
              <w:tabs>
                <w:tab w:val="left" w:pos="4820"/>
              </w:tabs>
              <w:spacing w:after="0" w:line="240" w:lineRule="auto"/>
              <w:rPr>
                <w:rFonts w:cstheme="minorHAnsi"/>
                <w:b/>
                <w:bCs/>
                <w:sz w:val="20"/>
                <w:szCs w:val="20"/>
              </w:rPr>
            </w:pPr>
            <w:r w:rsidRPr="00942E32">
              <w:rPr>
                <w:rFonts w:cstheme="minorHAnsi"/>
                <w:b/>
                <w:bCs/>
                <w:sz w:val="20"/>
                <w:szCs w:val="20"/>
              </w:rPr>
              <w:t>GST PLEADING AND PRACTICE: WITH SECTION-WISE GST CASES &amp; GST NOTICES AND THEIR REPLIES</w:t>
            </w:r>
          </w:p>
        </w:tc>
        <w:tc>
          <w:tcPr>
            <w:tcW w:w="851" w:type="dxa"/>
            <w:shd w:val="clear" w:color="auto" w:fill="B3D5AB"/>
            <w:vAlign w:val="center"/>
          </w:tcPr>
          <w:p w14:paraId="70A43CD1" w14:textId="2813597A" w:rsidR="00A00FA3" w:rsidRPr="00942E32" w:rsidRDefault="00955B67" w:rsidP="00A00FA3">
            <w:pPr>
              <w:tabs>
                <w:tab w:val="left" w:pos="4820"/>
              </w:tabs>
              <w:spacing w:after="0" w:line="240" w:lineRule="auto"/>
              <w:jc w:val="center"/>
              <w:rPr>
                <w:rFonts w:cstheme="minorHAnsi"/>
                <w:b/>
                <w:sz w:val="20"/>
                <w:szCs w:val="20"/>
              </w:rPr>
            </w:pPr>
            <w:r>
              <w:rPr>
                <w:rFonts w:cstheme="minorHAnsi"/>
                <w:b/>
                <w:sz w:val="20"/>
                <w:szCs w:val="20"/>
              </w:rPr>
              <w:t>24</w:t>
            </w:r>
          </w:p>
        </w:tc>
      </w:tr>
      <w:tr w:rsidR="00A00FA3" w:rsidRPr="00942E32" w14:paraId="21DD1A67" w14:textId="77777777" w:rsidTr="00F20908">
        <w:trPr>
          <w:trHeight w:hRule="exact" w:val="295"/>
        </w:trPr>
        <w:tc>
          <w:tcPr>
            <w:tcW w:w="1675" w:type="dxa"/>
            <w:shd w:val="clear" w:color="auto" w:fill="B3D5AB"/>
            <w:vAlign w:val="center"/>
          </w:tcPr>
          <w:p w14:paraId="023AD976" w14:textId="77777777" w:rsidR="00A00FA3" w:rsidRPr="00942E32" w:rsidRDefault="00A00FA3" w:rsidP="00A00FA3">
            <w:pPr>
              <w:tabs>
                <w:tab w:val="left" w:pos="4820"/>
              </w:tabs>
              <w:spacing w:after="0" w:line="240" w:lineRule="auto"/>
              <w:jc w:val="center"/>
              <w:rPr>
                <w:rFonts w:cstheme="minorHAnsi"/>
                <w:b/>
                <w:bCs/>
                <w:sz w:val="20"/>
                <w:szCs w:val="20"/>
              </w:rPr>
            </w:pPr>
            <w:r w:rsidRPr="00942E32">
              <w:rPr>
                <w:rFonts w:cstheme="minorHAnsi"/>
                <w:b/>
                <w:bCs/>
                <w:sz w:val="20"/>
                <w:szCs w:val="20"/>
              </w:rPr>
              <w:t>10]</w:t>
            </w:r>
          </w:p>
        </w:tc>
        <w:tc>
          <w:tcPr>
            <w:tcW w:w="8788" w:type="dxa"/>
            <w:shd w:val="clear" w:color="auto" w:fill="B3D5AB"/>
            <w:vAlign w:val="center"/>
          </w:tcPr>
          <w:p w14:paraId="26B544C2" w14:textId="77777777" w:rsidR="00A00FA3" w:rsidRPr="00942E32" w:rsidRDefault="00A00FA3" w:rsidP="00A00FA3">
            <w:pPr>
              <w:tabs>
                <w:tab w:val="left" w:pos="4820"/>
              </w:tabs>
              <w:spacing w:after="0" w:line="240" w:lineRule="auto"/>
              <w:rPr>
                <w:rFonts w:cstheme="minorHAnsi"/>
                <w:b/>
                <w:bCs/>
                <w:sz w:val="20"/>
                <w:szCs w:val="20"/>
              </w:rPr>
            </w:pPr>
            <w:r w:rsidRPr="00942E32">
              <w:rPr>
                <w:rFonts w:cstheme="minorHAnsi"/>
                <w:b/>
                <w:bCs/>
                <w:sz w:val="20"/>
                <w:szCs w:val="20"/>
              </w:rPr>
              <w:t>LET’S DISCUSS FURTHER</w:t>
            </w:r>
          </w:p>
        </w:tc>
        <w:tc>
          <w:tcPr>
            <w:tcW w:w="851" w:type="dxa"/>
            <w:shd w:val="clear" w:color="auto" w:fill="B3D5AB"/>
            <w:vAlign w:val="center"/>
          </w:tcPr>
          <w:p w14:paraId="131B857F" w14:textId="095C71D8" w:rsidR="00A00FA3" w:rsidRPr="00942E32" w:rsidRDefault="00955B67" w:rsidP="00C52BAC">
            <w:pPr>
              <w:tabs>
                <w:tab w:val="left" w:pos="4820"/>
              </w:tabs>
              <w:spacing w:after="0" w:line="240" w:lineRule="auto"/>
              <w:ind w:left="-116" w:right="-111"/>
              <w:jc w:val="center"/>
              <w:rPr>
                <w:rFonts w:cstheme="minorHAnsi"/>
                <w:b/>
                <w:sz w:val="20"/>
                <w:szCs w:val="20"/>
              </w:rPr>
            </w:pPr>
            <w:r>
              <w:rPr>
                <w:rFonts w:cstheme="minorHAnsi"/>
                <w:b/>
                <w:sz w:val="20"/>
                <w:szCs w:val="20"/>
              </w:rPr>
              <w:t>25</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tblInd w:w="113" w:type="dxa"/>
        <w:tblLook w:val="04A0" w:firstRow="1" w:lastRow="0" w:firstColumn="1" w:lastColumn="0" w:noHBand="0" w:noVBand="1"/>
      </w:tblPr>
      <w:tblGrid>
        <w:gridCol w:w="1781"/>
        <w:gridCol w:w="2096"/>
        <w:gridCol w:w="1505"/>
        <w:gridCol w:w="5698"/>
      </w:tblGrid>
      <w:tr w:rsidR="004D5B69" w:rsidRPr="004D5B69" w14:paraId="729FDF37" w14:textId="77777777" w:rsidTr="00372433">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hideMark/>
          </w:tcPr>
          <w:p w14:paraId="03AC136F" w14:textId="77777777" w:rsidR="004D5B69" w:rsidRPr="004D5B69" w:rsidRDefault="004D5B69" w:rsidP="004D5B69">
            <w:pPr>
              <w:spacing w:after="0" w:line="240" w:lineRule="auto"/>
              <w:jc w:val="center"/>
              <w:rPr>
                <w:b/>
                <w:bCs/>
                <w:color w:val="FFFFFF"/>
              </w:rPr>
            </w:pPr>
            <w:r w:rsidRPr="004D5B69">
              <w:rPr>
                <w:b/>
                <w:bCs/>
                <w:color w:val="FFFFFF"/>
              </w:rPr>
              <w:lastRenderedPageBreak/>
              <w:t>Due Date</w:t>
            </w:r>
          </w:p>
        </w:tc>
        <w:tc>
          <w:tcPr>
            <w:tcW w:w="2096" w:type="dxa"/>
            <w:tcBorders>
              <w:top w:val="single" w:sz="4" w:space="0" w:color="auto"/>
              <w:left w:val="nil"/>
              <w:bottom w:val="single" w:sz="4" w:space="0" w:color="auto"/>
              <w:right w:val="single" w:sz="4" w:space="0" w:color="auto"/>
            </w:tcBorders>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05" w:type="dxa"/>
            <w:tcBorders>
              <w:top w:val="single" w:sz="4" w:space="0" w:color="auto"/>
              <w:left w:val="nil"/>
              <w:bottom w:val="single" w:sz="4" w:space="0" w:color="auto"/>
              <w:right w:val="single" w:sz="4" w:space="0" w:color="auto"/>
            </w:tcBorders>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98" w:type="dxa"/>
            <w:tcBorders>
              <w:top w:val="single" w:sz="4" w:space="0" w:color="auto"/>
              <w:left w:val="nil"/>
              <w:bottom w:val="single" w:sz="4" w:space="0" w:color="auto"/>
              <w:right w:val="single" w:sz="4" w:space="0" w:color="auto"/>
            </w:tcBorders>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9A5BBE" w:rsidRPr="004D5B69" w14:paraId="578079CA" w14:textId="77777777" w:rsidTr="007C5DE8">
        <w:trPr>
          <w:trHeight w:val="896"/>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A432C33" w14:textId="5B34DFF0" w:rsidR="009A5BBE" w:rsidRPr="004D5B69" w:rsidRDefault="009A5BBE" w:rsidP="009A5BBE">
            <w:pPr>
              <w:spacing w:after="0" w:line="240" w:lineRule="auto"/>
              <w:jc w:val="center"/>
              <w:rPr>
                <w:b/>
                <w:bCs/>
                <w:color w:val="FFFFFF"/>
              </w:rPr>
            </w:pPr>
            <w:r>
              <w:rPr>
                <w:b/>
                <w:bCs/>
                <w:color w:val="FFFFFF"/>
              </w:rPr>
              <w:t>30</w:t>
            </w:r>
            <w:r w:rsidRPr="009A5BBE">
              <w:rPr>
                <w:b/>
                <w:bCs/>
                <w:color w:val="FFFFFF"/>
                <w:vertAlign w:val="superscript"/>
              </w:rPr>
              <w:t>th</w:t>
            </w:r>
            <w:r>
              <w:rPr>
                <w:b/>
                <w:bCs/>
                <w:color w:val="FFFFFF"/>
              </w:rPr>
              <w:t xml:space="preserve"> October</w:t>
            </w:r>
          </w:p>
        </w:tc>
        <w:tc>
          <w:tcPr>
            <w:tcW w:w="2096" w:type="dxa"/>
            <w:tcBorders>
              <w:top w:val="nil"/>
              <w:left w:val="nil"/>
              <w:bottom w:val="single" w:sz="4" w:space="0" w:color="auto"/>
              <w:right w:val="single" w:sz="4" w:space="0" w:color="auto"/>
            </w:tcBorders>
            <w:shd w:val="clear" w:color="000000" w:fill="D6E3BC"/>
            <w:vAlign w:val="center"/>
            <w:hideMark/>
          </w:tcPr>
          <w:p w14:paraId="7E039E07" w14:textId="5C88FA39" w:rsidR="009A5BBE" w:rsidRPr="004D5B69" w:rsidRDefault="009A5BBE" w:rsidP="009A5BBE">
            <w:pPr>
              <w:spacing w:after="0" w:line="240" w:lineRule="auto"/>
              <w:jc w:val="center"/>
              <w:rPr>
                <w:b/>
                <w:bCs/>
                <w:color w:val="000000"/>
              </w:rPr>
            </w:pPr>
            <w:r>
              <w:rPr>
                <w:b/>
                <w:bCs/>
                <w:color w:val="000000"/>
              </w:rPr>
              <w:t>TDS challan-cum-statement</w:t>
            </w:r>
          </w:p>
        </w:tc>
        <w:tc>
          <w:tcPr>
            <w:tcW w:w="1505" w:type="dxa"/>
            <w:tcBorders>
              <w:top w:val="nil"/>
              <w:left w:val="nil"/>
              <w:bottom w:val="single" w:sz="4" w:space="0" w:color="auto"/>
              <w:right w:val="single" w:sz="4" w:space="0" w:color="auto"/>
            </w:tcBorders>
            <w:shd w:val="clear" w:color="000000" w:fill="D6E3BC"/>
            <w:vAlign w:val="center"/>
            <w:hideMark/>
          </w:tcPr>
          <w:p w14:paraId="6BD27C55" w14:textId="6ACD2A55" w:rsidR="009A5BBE" w:rsidRPr="004D5B69" w:rsidRDefault="009A5BBE" w:rsidP="009A5BBE">
            <w:pPr>
              <w:spacing w:after="0" w:line="240" w:lineRule="auto"/>
              <w:jc w:val="center"/>
              <w:rPr>
                <w:b/>
                <w:bCs/>
                <w:color w:val="000000"/>
              </w:rPr>
            </w:pPr>
            <w:r>
              <w:rPr>
                <w:b/>
                <w:bCs/>
                <w:color w:val="000000"/>
              </w:rPr>
              <w:t>September 2023</w:t>
            </w:r>
          </w:p>
        </w:tc>
        <w:tc>
          <w:tcPr>
            <w:tcW w:w="5698" w:type="dxa"/>
            <w:tcBorders>
              <w:top w:val="nil"/>
              <w:left w:val="nil"/>
              <w:bottom w:val="single" w:sz="4" w:space="0" w:color="auto"/>
              <w:right w:val="single" w:sz="4" w:space="0" w:color="auto"/>
            </w:tcBorders>
            <w:shd w:val="clear" w:color="000000" w:fill="D6E3BC"/>
            <w:vAlign w:val="center"/>
            <w:hideMark/>
          </w:tcPr>
          <w:p w14:paraId="04F8CA95" w14:textId="0158D1BA" w:rsidR="009A5BBE" w:rsidRPr="009A5BBE" w:rsidRDefault="009A5BBE" w:rsidP="009A5BBE">
            <w:pPr>
              <w:tabs>
                <w:tab w:val="left" w:pos="4820"/>
              </w:tabs>
              <w:spacing w:after="0" w:line="240" w:lineRule="auto"/>
              <w:jc w:val="both"/>
              <w:rPr>
                <w:color w:val="000000"/>
              </w:rPr>
            </w:pPr>
            <w:r w:rsidRPr="009A5BBE">
              <w:rPr>
                <w:color w:val="000000"/>
              </w:rPr>
              <w:t>Due date for furnishing of challan-cum-statement in respect of tax deducted under section 194-IA</w:t>
            </w:r>
            <w:r>
              <w:rPr>
                <w:color w:val="000000"/>
              </w:rPr>
              <w:t>, 194-IB, 194M, 194S</w:t>
            </w:r>
            <w:r w:rsidRPr="009A5BBE">
              <w:rPr>
                <w:color w:val="000000"/>
              </w:rPr>
              <w:t xml:space="preserve"> in the month of September, 2023</w:t>
            </w:r>
          </w:p>
        </w:tc>
      </w:tr>
      <w:tr w:rsidR="009A5BBE" w:rsidRPr="004D5B69" w14:paraId="53B46B2F" w14:textId="77777777" w:rsidTr="007C5DE8">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6CD150B" w14:textId="4847B93F" w:rsidR="009A5BBE" w:rsidRPr="004D5B69" w:rsidRDefault="009A5BBE" w:rsidP="009A5BBE">
            <w:pPr>
              <w:spacing w:after="0" w:line="240" w:lineRule="auto"/>
              <w:jc w:val="center"/>
              <w:rPr>
                <w:b/>
                <w:bCs/>
                <w:color w:val="FFFFFF"/>
              </w:rPr>
            </w:pPr>
            <w:r>
              <w:rPr>
                <w:b/>
                <w:bCs/>
                <w:color w:val="FFFFFF"/>
              </w:rPr>
              <w:t>30</w:t>
            </w:r>
            <w:r w:rsidRPr="009A5BBE">
              <w:rPr>
                <w:b/>
                <w:bCs/>
                <w:color w:val="FFFFFF"/>
                <w:vertAlign w:val="superscript"/>
              </w:rPr>
              <w:t>th</w:t>
            </w:r>
            <w:r>
              <w:rPr>
                <w:b/>
                <w:bCs/>
                <w:color w:val="FFFFFF"/>
              </w:rPr>
              <w:t xml:space="preserve"> October</w:t>
            </w:r>
          </w:p>
        </w:tc>
        <w:tc>
          <w:tcPr>
            <w:tcW w:w="2096" w:type="dxa"/>
            <w:tcBorders>
              <w:top w:val="nil"/>
              <w:left w:val="nil"/>
              <w:bottom w:val="single" w:sz="4" w:space="0" w:color="auto"/>
              <w:right w:val="single" w:sz="4" w:space="0" w:color="auto"/>
            </w:tcBorders>
            <w:shd w:val="clear" w:color="000000" w:fill="D6E3BC"/>
            <w:vAlign w:val="center"/>
            <w:hideMark/>
          </w:tcPr>
          <w:p w14:paraId="34AD3EF5" w14:textId="623F5B68" w:rsidR="009A5BBE" w:rsidRPr="004D5B69" w:rsidRDefault="009A5BBE" w:rsidP="009A5BBE">
            <w:pPr>
              <w:spacing w:after="0" w:line="240" w:lineRule="auto"/>
              <w:jc w:val="center"/>
              <w:rPr>
                <w:b/>
                <w:bCs/>
                <w:color w:val="000000"/>
              </w:rPr>
            </w:pPr>
            <w:r w:rsidRPr="009A5BBE">
              <w:rPr>
                <w:b/>
                <w:bCs/>
                <w:color w:val="000000"/>
              </w:rPr>
              <w:t>​Quarterly TCS certificate</w:t>
            </w:r>
          </w:p>
        </w:tc>
        <w:tc>
          <w:tcPr>
            <w:tcW w:w="1505" w:type="dxa"/>
            <w:tcBorders>
              <w:top w:val="nil"/>
              <w:left w:val="nil"/>
              <w:bottom w:val="single" w:sz="4" w:space="0" w:color="auto"/>
              <w:right w:val="single" w:sz="4" w:space="0" w:color="auto"/>
            </w:tcBorders>
            <w:shd w:val="clear" w:color="000000" w:fill="D6E3BC"/>
            <w:vAlign w:val="center"/>
            <w:hideMark/>
          </w:tcPr>
          <w:p w14:paraId="75550F7F" w14:textId="663C7699" w:rsidR="009A5BBE" w:rsidRPr="004D5B69" w:rsidRDefault="009A5BBE" w:rsidP="009A5BBE">
            <w:pPr>
              <w:spacing w:after="0" w:line="240" w:lineRule="auto"/>
              <w:jc w:val="center"/>
              <w:rPr>
                <w:b/>
                <w:bCs/>
                <w:color w:val="000000"/>
              </w:rPr>
            </w:pPr>
            <w:r>
              <w:rPr>
                <w:b/>
                <w:bCs/>
                <w:color w:val="000000"/>
              </w:rPr>
              <w:t>July-September 2023</w:t>
            </w:r>
          </w:p>
        </w:tc>
        <w:tc>
          <w:tcPr>
            <w:tcW w:w="5698" w:type="dxa"/>
            <w:tcBorders>
              <w:top w:val="nil"/>
              <w:left w:val="nil"/>
              <w:bottom w:val="single" w:sz="4" w:space="0" w:color="auto"/>
              <w:right w:val="single" w:sz="4" w:space="0" w:color="auto"/>
            </w:tcBorders>
            <w:shd w:val="clear" w:color="000000" w:fill="D6E3BC"/>
            <w:vAlign w:val="center"/>
            <w:hideMark/>
          </w:tcPr>
          <w:p w14:paraId="5B407AD0" w14:textId="13404583" w:rsidR="009A5BBE" w:rsidRPr="00A8073B" w:rsidRDefault="009A5BBE" w:rsidP="009A5BBE">
            <w:pPr>
              <w:tabs>
                <w:tab w:val="left" w:pos="4820"/>
              </w:tabs>
              <w:spacing w:after="0" w:line="240" w:lineRule="auto"/>
              <w:jc w:val="both"/>
              <w:rPr>
                <w:rFonts w:cstheme="minorHAnsi"/>
                <w:bCs/>
              </w:rPr>
            </w:pPr>
            <w:r w:rsidRPr="009A5BBE">
              <w:rPr>
                <w:color w:val="000000"/>
              </w:rPr>
              <w:t>​Quarterly TCS certificate (in respect of tax collected by any person) for the quarter ending September 30, 2023</w:t>
            </w:r>
            <w:r>
              <w:rPr>
                <w:color w:val="000000"/>
              </w:rPr>
              <w:t>2</w:t>
            </w:r>
          </w:p>
        </w:tc>
      </w:tr>
      <w:tr w:rsidR="009A5BBE" w:rsidRPr="004D5B69" w14:paraId="52AF6260" w14:textId="77777777" w:rsidTr="007C5DE8">
        <w:trPr>
          <w:trHeight w:val="68"/>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65E123A7" w14:textId="2022A65F" w:rsidR="009A5BBE" w:rsidRDefault="009A5BBE" w:rsidP="009A5BBE">
            <w:pPr>
              <w:spacing w:after="0" w:line="240" w:lineRule="auto"/>
              <w:jc w:val="center"/>
              <w:rPr>
                <w:b/>
                <w:bCs/>
                <w:color w:val="FFFFFF"/>
              </w:rPr>
            </w:pPr>
            <w:r>
              <w:rPr>
                <w:b/>
                <w:bCs/>
                <w:color w:val="FFFFFF"/>
              </w:rPr>
              <w:t>31</w:t>
            </w:r>
            <w:r w:rsidRPr="009A5BBE">
              <w:rPr>
                <w:b/>
                <w:bCs/>
                <w:color w:val="FFFFFF"/>
                <w:vertAlign w:val="superscript"/>
              </w:rPr>
              <w:t>st</w:t>
            </w:r>
            <w:r>
              <w:rPr>
                <w:b/>
                <w:bCs/>
                <w:color w:val="FFFFFF"/>
              </w:rPr>
              <w:t xml:space="preserve"> 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09219DE1" w14:textId="4DFFE122" w:rsidR="009A5BBE" w:rsidRDefault="009A5BBE" w:rsidP="009A5BBE">
            <w:pPr>
              <w:spacing w:after="0" w:line="240" w:lineRule="auto"/>
              <w:jc w:val="center"/>
              <w:rPr>
                <w:b/>
                <w:bCs/>
                <w:color w:val="000000"/>
              </w:rPr>
            </w:pPr>
            <w:r w:rsidRPr="009A5BBE">
              <w:rPr>
                <w:b/>
                <w:bCs/>
                <w:color w:val="000000"/>
              </w:rPr>
              <w:t>Form no. 3CEAB</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69B27CE7" w14:textId="58F67387" w:rsidR="009A5BBE" w:rsidRDefault="009A5BBE" w:rsidP="009A5BBE">
            <w:pPr>
              <w:spacing w:after="0" w:line="240" w:lineRule="auto"/>
              <w:jc w:val="center"/>
              <w:rPr>
                <w:b/>
                <w:bCs/>
                <w:color w:val="000000"/>
              </w:rPr>
            </w:pPr>
            <w:r w:rsidRPr="009A5BBE">
              <w:rPr>
                <w:b/>
                <w:bCs/>
                <w:color w:val="000000"/>
              </w:rPr>
              <w:t>2022-23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7F6EA4A6" w14:textId="23298389" w:rsidR="009A5BBE" w:rsidRPr="00756177" w:rsidRDefault="009A5BBE" w:rsidP="009A5BBE">
            <w:pPr>
              <w:tabs>
                <w:tab w:val="left" w:pos="4820"/>
              </w:tabs>
              <w:spacing w:after="0" w:line="240" w:lineRule="auto"/>
              <w:jc w:val="both"/>
              <w:rPr>
                <w:rFonts w:cstheme="minorHAnsi"/>
                <w:bCs/>
              </w:rPr>
            </w:pPr>
            <w:r w:rsidRPr="009A5BBE">
              <w:rPr>
                <w:color w:val="000000"/>
              </w:rPr>
              <w:t>​Intimation by a designated constituent entity, resident in India, of an international group in Form no. 3CEAB for the accounting year 2022-23​​</w:t>
            </w:r>
          </w:p>
        </w:tc>
      </w:tr>
      <w:tr w:rsidR="009A5BBE" w:rsidRPr="004D5B69" w14:paraId="39402F3D" w14:textId="77777777" w:rsidTr="007C5DE8">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tcPr>
          <w:p w14:paraId="0F93E0B4" w14:textId="52108E47" w:rsidR="009A5BBE" w:rsidRDefault="009A5BBE" w:rsidP="009A5BBE">
            <w:pPr>
              <w:spacing w:after="0" w:line="240" w:lineRule="auto"/>
              <w:jc w:val="center"/>
              <w:rPr>
                <w:b/>
                <w:bCs/>
                <w:color w:val="FFFFFF"/>
              </w:rPr>
            </w:pPr>
            <w:r w:rsidRPr="00596A7C">
              <w:rPr>
                <w:b/>
                <w:bCs/>
                <w:color w:val="FFFFFF"/>
              </w:rPr>
              <w:t>31</w:t>
            </w:r>
            <w:r w:rsidRPr="00596A7C">
              <w:rPr>
                <w:b/>
                <w:bCs/>
                <w:color w:val="FFFFFF"/>
                <w:vertAlign w:val="superscript"/>
              </w:rPr>
              <w:t>st</w:t>
            </w:r>
            <w:r w:rsidRPr="00596A7C">
              <w:rPr>
                <w:b/>
                <w:bCs/>
                <w:color w:val="FFFFFF"/>
              </w:rPr>
              <w:t xml:space="preserve"> October</w:t>
            </w:r>
          </w:p>
        </w:tc>
        <w:tc>
          <w:tcPr>
            <w:tcW w:w="2096" w:type="dxa"/>
            <w:tcBorders>
              <w:top w:val="nil"/>
              <w:left w:val="nil"/>
              <w:bottom w:val="single" w:sz="4" w:space="0" w:color="auto"/>
              <w:right w:val="single" w:sz="4" w:space="0" w:color="auto"/>
            </w:tcBorders>
            <w:shd w:val="clear" w:color="000000" w:fill="D6E3BC"/>
            <w:vAlign w:val="center"/>
          </w:tcPr>
          <w:p w14:paraId="37201FD3" w14:textId="7FAF974E" w:rsidR="009A5BBE" w:rsidRPr="009A5BBE" w:rsidRDefault="009A5BBE" w:rsidP="009A5BBE">
            <w:pPr>
              <w:spacing w:after="0" w:line="240" w:lineRule="auto"/>
              <w:jc w:val="center"/>
              <w:rPr>
                <w:b/>
                <w:bCs/>
              </w:rPr>
            </w:pPr>
            <w:r w:rsidRPr="009A5BBE">
              <w:rPr>
                <w:b/>
                <w:bCs/>
              </w:rPr>
              <w:t>​Quarterly statement of TDS</w:t>
            </w:r>
          </w:p>
        </w:tc>
        <w:tc>
          <w:tcPr>
            <w:tcW w:w="1505" w:type="dxa"/>
            <w:tcBorders>
              <w:top w:val="nil"/>
              <w:left w:val="nil"/>
              <w:bottom w:val="single" w:sz="4" w:space="0" w:color="auto"/>
              <w:right w:val="single" w:sz="4" w:space="0" w:color="auto"/>
            </w:tcBorders>
            <w:shd w:val="clear" w:color="000000" w:fill="D6E3BC"/>
            <w:vAlign w:val="center"/>
          </w:tcPr>
          <w:p w14:paraId="6671B199" w14:textId="56FA1CFD" w:rsidR="009A5BBE" w:rsidRDefault="009A5BBE" w:rsidP="009A5BBE">
            <w:pPr>
              <w:spacing w:after="0" w:line="240" w:lineRule="auto"/>
              <w:jc w:val="center"/>
              <w:rPr>
                <w:b/>
                <w:bCs/>
                <w:color w:val="000000"/>
              </w:rPr>
            </w:pPr>
            <w:r>
              <w:rPr>
                <w:b/>
                <w:bCs/>
                <w:color w:val="000000"/>
              </w:rPr>
              <w:t>July-September 2023</w:t>
            </w:r>
          </w:p>
        </w:tc>
        <w:tc>
          <w:tcPr>
            <w:tcW w:w="5698" w:type="dxa"/>
            <w:tcBorders>
              <w:top w:val="nil"/>
              <w:left w:val="nil"/>
              <w:bottom w:val="single" w:sz="4" w:space="0" w:color="auto"/>
              <w:right w:val="single" w:sz="4" w:space="0" w:color="auto"/>
            </w:tcBorders>
            <w:shd w:val="clear" w:color="000000" w:fill="D6E3BC"/>
            <w:vAlign w:val="center"/>
          </w:tcPr>
          <w:p w14:paraId="32B73384" w14:textId="37569FAB" w:rsidR="009A5BBE" w:rsidRPr="00756177" w:rsidRDefault="009A5BBE" w:rsidP="009A5BBE">
            <w:pPr>
              <w:tabs>
                <w:tab w:val="left" w:pos="4820"/>
              </w:tabs>
              <w:spacing w:after="0" w:line="240" w:lineRule="auto"/>
              <w:jc w:val="both"/>
              <w:rPr>
                <w:rFonts w:cstheme="minorHAnsi"/>
                <w:bCs/>
              </w:rPr>
            </w:pPr>
            <w:r w:rsidRPr="009A5BBE">
              <w:rPr>
                <w:color w:val="000000"/>
              </w:rPr>
              <w:t>​Quarterly statement of TDS deposited for the quarter ending September, 2023</w:t>
            </w:r>
          </w:p>
        </w:tc>
      </w:tr>
      <w:tr w:rsidR="009A5BBE" w:rsidRPr="004D5B69" w14:paraId="3F426589" w14:textId="77777777" w:rsidTr="007C5DE8">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58C77F66" w14:textId="602F0D09" w:rsidR="009A5BBE" w:rsidRDefault="009A5BBE" w:rsidP="009A5BBE">
            <w:pPr>
              <w:spacing w:after="0" w:line="240" w:lineRule="auto"/>
              <w:jc w:val="center"/>
              <w:rPr>
                <w:b/>
                <w:bCs/>
                <w:color w:val="FFFFFF"/>
              </w:rPr>
            </w:pPr>
            <w:r w:rsidRPr="00596A7C">
              <w:rPr>
                <w:b/>
                <w:bCs/>
                <w:color w:val="FFFFFF"/>
              </w:rPr>
              <w:t>31</w:t>
            </w:r>
            <w:r w:rsidRPr="00596A7C">
              <w:rPr>
                <w:b/>
                <w:bCs/>
                <w:color w:val="FFFFFF"/>
                <w:vertAlign w:val="superscript"/>
              </w:rPr>
              <w:t>st</w:t>
            </w:r>
            <w:r w:rsidRPr="00596A7C">
              <w:rPr>
                <w:b/>
                <w:bCs/>
                <w:color w:val="FFFFFF"/>
              </w:rPr>
              <w:t xml:space="preserve"> 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786F478A" w14:textId="100ABB99" w:rsidR="009A5BBE" w:rsidRDefault="007C5DE8" w:rsidP="009A5BBE">
            <w:pPr>
              <w:spacing w:after="0" w:line="240" w:lineRule="auto"/>
              <w:jc w:val="center"/>
              <w:rPr>
                <w:b/>
                <w:bCs/>
                <w:color w:val="000000"/>
              </w:rPr>
            </w:pPr>
            <w:r>
              <w:rPr>
                <w:b/>
                <w:bCs/>
                <w:color w:val="000000"/>
              </w:rPr>
              <w:t xml:space="preserve">Tax </w:t>
            </w:r>
            <w:r w:rsidR="009A5BBE" w:rsidRPr="009A5BBE">
              <w:rPr>
                <w:b/>
                <w:bCs/>
                <w:color w:val="000000"/>
              </w:rPr>
              <w:t>Audit report</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60187104" w14:textId="5D58F7C7" w:rsidR="009A5BBE" w:rsidRDefault="009A5BBE" w:rsidP="009A5BBE">
            <w:pPr>
              <w:spacing w:after="0" w:line="240" w:lineRule="auto"/>
              <w:jc w:val="center"/>
              <w:rPr>
                <w:b/>
                <w:bCs/>
                <w:color w:val="000000"/>
              </w:rPr>
            </w:pPr>
            <w:r>
              <w:rPr>
                <w:b/>
                <w:bCs/>
                <w:color w:val="000000"/>
              </w:rPr>
              <w:t>2022-23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24B49845" w14:textId="2AB1F72D" w:rsidR="009A5BBE" w:rsidRPr="00C63713" w:rsidRDefault="009A5BBE" w:rsidP="009A5BBE">
            <w:pPr>
              <w:tabs>
                <w:tab w:val="left" w:pos="4820"/>
              </w:tabs>
              <w:spacing w:after="0" w:line="240" w:lineRule="auto"/>
              <w:jc w:val="both"/>
              <w:rPr>
                <w:color w:val="000000"/>
              </w:rPr>
            </w:pPr>
            <w:r w:rsidRPr="009A5BBE">
              <w:rPr>
                <w:color w:val="000000"/>
              </w:rPr>
              <w:t>Audit report under section 44AB for the assessment year 2023-24 in the case of an assessee who is also required to submit a report pertaining to international or specified domestic transactions under section 92E</w:t>
            </w:r>
          </w:p>
        </w:tc>
      </w:tr>
      <w:tr w:rsidR="009A5BBE" w:rsidRPr="004D5B69" w14:paraId="534E68B7" w14:textId="77777777" w:rsidTr="007C5DE8">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39B02585" w14:textId="08140AE8" w:rsidR="009A5BBE" w:rsidRDefault="009A5BBE" w:rsidP="009A5BBE">
            <w:pPr>
              <w:spacing w:after="0" w:line="240" w:lineRule="auto"/>
              <w:jc w:val="center"/>
              <w:rPr>
                <w:b/>
                <w:bCs/>
                <w:color w:val="FFFFFF"/>
              </w:rPr>
            </w:pPr>
            <w:r w:rsidRPr="00596A7C">
              <w:rPr>
                <w:b/>
                <w:bCs/>
                <w:color w:val="FFFFFF"/>
              </w:rPr>
              <w:t>31</w:t>
            </w:r>
            <w:r w:rsidRPr="00596A7C">
              <w:rPr>
                <w:b/>
                <w:bCs/>
                <w:color w:val="FFFFFF"/>
                <w:vertAlign w:val="superscript"/>
              </w:rPr>
              <w:t>st</w:t>
            </w:r>
            <w:r w:rsidRPr="00596A7C">
              <w:rPr>
                <w:b/>
                <w:bCs/>
                <w:color w:val="FFFFFF"/>
              </w:rPr>
              <w:t xml:space="preserve"> 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359C272C" w14:textId="0C9D34A7" w:rsidR="009A5BBE" w:rsidRDefault="009A5BBE" w:rsidP="009A5BBE">
            <w:pPr>
              <w:spacing w:after="0" w:line="240" w:lineRule="auto"/>
              <w:jc w:val="center"/>
              <w:rPr>
                <w:b/>
                <w:bCs/>
                <w:color w:val="000000"/>
              </w:rPr>
            </w:pPr>
            <w:r w:rsidRPr="009A5BBE">
              <w:rPr>
                <w:b/>
                <w:bCs/>
                <w:color w:val="000000"/>
              </w:rPr>
              <w:t>Form 3CEB</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4297A43E" w14:textId="5551564F" w:rsidR="009A5BBE" w:rsidRDefault="009A5BBE" w:rsidP="009A5BBE">
            <w:pPr>
              <w:spacing w:after="0" w:line="240" w:lineRule="auto"/>
              <w:jc w:val="center"/>
              <w:rPr>
                <w:b/>
                <w:bCs/>
                <w:color w:val="000000"/>
              </w:rPr>
            </w:pPr>
            <w:r w:rsidRPr="009A5BBE">
              <w:rPr>
                <w:b/>
                <w:bCs/>
                <w:color w:val="000000"/>
              </w:rPr>
              <w:t>2022-23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4E84AF85" w14:textId="42F5B29F" w:rsidR="009A5BBE" w:rsidRPr="00C63713" w:rsidRDefault="009A5BBE" w:rsidP="009A5BBE">
            <w:pPr>
              <w:tabs>
                <w:tab w:val="left" w:pos="4820"/>
              </w:tabs>
              <w:spacing w:after="0" w:line="240" w:lineRule="auto"/>
              <w:jc w:val="both"/>
              <w:rPr>
                <w:color w:val="000000"/>
              </w:rPr>
            </w:pPr>
            <w:r w:rsidRPr="009A5BBE">
              <w:rPr>
                <w:color w:val="000000"/>
              </w:rPr>
              <w:t>Report to be furnished in Form 3CEB in respect of international transaction and specified domestic transaction.​</w:t>
            </w:r>
          </w:p>
        </w:tc>
      </w:tr>
      <w:tr w:rsidR="009A5BBE" w:rsidRPr="004D5B69" w14:paraId="4DCB9D7D" w14:textId="77777777" w:rsidTr="007C5DE8">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5B14BE30" w14:textId="03F32AB2" w:rsidR="009A5BBE" w:rsidRDefault="009A5BBE" w:rsidP="009A5BBE">
            <w:pPr>
              <w:spacing w:after="0" w:line="240" w:lineRule="auto"/>
              <w:jc w:val="center"/>
              <w:rPr>
                <w:b/>
                <w:bCs/>
                <w:color w:val="FFFFFF"/>
              </w:rPr>
            </w:pPr>
            <w:r w:rsidRPr="00596A7C">
              <w:rPr>
                <w:b/>
                <w:bCs/>
                <w:color w:val="FFFFFF"/>
              </w:rPr>
              <w:t>31</w:t>
            </w:r>
            <w:r w:rsidRPr="00596A7C">
              <w:rPr>
                <w:b/>
                <w:bCs/>
                <w:color w:val="FFFFFF"/>
                <w:vertAlign w:val="superscript"/>
              </w:rPr>
              <w:t>st</w:t>
            </w:r>
            <w:r w:rsidRPr="00596A7C">
              <w:rPr>
                <w:b/>
                <w:bCs/>
                <w:color w:val="FFFFFF"/>
              </w:rPr>
              <w:t xml:space="preserve"> 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45D10CA2" w14:textId="571A56BA" w:rsidR="009A5BBE" w:rsidRDefault="009A5BBE" w:rsidP="009A5BBE">
            <w:pPr>
              <w:spacing w:after="0" w:line="240" w:lineRule="auto"/>
              <w:jc w:val="center"/>
              <w:rPr>
                <w:b/>
                <w:bCs/>
                <w:color w:val="000000"/>
              </w:rPr>
            </w:pPr>
            <w:r w:rsidRPr="009A5BBE">
              <w:rPr>
                <w:b/>
                <w:bCs/>
                <w:color w:val="000000"/>
              </w:rPr>
              <w:t>Form 10BBB</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7FDE6A7B" w14:textId="0618AB55" w:rsidR="009A5BBE" w:rsidRDefault="009A5BBE" w:rsidP="009A5BBE">
            <w:pPr>
              <w:spacing w:after="0" w:line="240" w:lineRule="auto"/>
              <w:jc w:val="center"/>
              <w:rPr>
                <w:b/>
                <w:bCs/>
                <w:color w:val="000000"/>
              </w:rPr>
            </w:pPr>
            <w:r>
              <w:rPr>
                <w:b/>
                <w:bCs/>
                <w:color w:val="000000"/>
              </w:rPr>
              <w:t>July-September 2023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12A7E367" w14:textId="7E942AD8" w:rsidR="009A5BBE" w:rsidRPr="00C63713" w:rsidRDefault="00413F8B" w:rsidP="009A5BBE">
            <w:pPr>
              <w:tabs>
                <w:tab w:val="left" w:pos="4820"/>
              </w:tabs>
              <w:spacing w:after="0" w:line="240" w:lineRule="auto"/>
              <w:jc w:val="both"/>
              <w:rPr>
                <w:color w:val="000000"/>
              </w:rPr>
            </w:pPr>
            <w:r w:rsidRPr="00413F8B">
              <w:rPr>
                <w:color w:val="000000"/>
              </w:rPr>
              <w:t>​Intimation in Form 10BBB by a pension fund in respect of each investment made in India for quarter ending September, 2023​</w:t>
            </w:r>
          </w:p>
        </w:tc>
      </w:tr>
      <w:tr w:rsidR="009A5BBE" w:rsidRPr="004D5B69" w14:paraId="49C758CE" w14:textId="77777777" w:rsidTr="007C5DE8">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7511D45E" w14:textId="22B99BEC" w:rsidR="009A5BBE" w:rsidRDefault="009A5BBE" w:rsidP="009A5BBE">
            <w:pPr>
              <w:spacing w:after="0" w:line="240" w:lineRule="auto"/>
              <w:jc w:val="center"/>
              <w:rPr>
                <w:b/>
                <w:bCs/>
                <w:color w:val="FFFFFF"/>
              </w:rPr>
            </w:pPr>
            <w:r w:rsidRPr="00596A7C">
              <w:rPr>
                <w:b/>
                <w:bCs/>
                <w:color w:val="FFFFFF"/>
              </w:rPr>
              <w:t>31</w:t>
            </w:r>
            <w:r w:rsidRPr="00596A7C">
              <w:rPr>
                <w:b/>
                <w:bCs/>
                <w:color w:val="FFFFFF"/>
                <w:vertAlign w:val="superscript"/>
              </w:rPr>
              <w:t>st</w:t>
            </w:r>
            <w:r w:rsidRPr="00596A7C">
              <w:rPr>
                <w:b/>
                <w:bCs/>
                <w:color w:val="FFFFFF"/>
              </w:rPr>
              <w:t xml:space="preserve"> 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480D0E5D" w14:textId="1B5677F0" w:rsidR="009A5BBE" w:rsidRDefault="00413F8B" w:rsidP="009A5BBE">
            <w:pPr>
              <w:spacing w:after="0" w:line="240" w:lineRule="auto"/>
              <w:jc w:val="center"/>
              <w:rPr>
                <w:b/>
                <w:bCs/>
                <w:color w:val="000000"/>
              </w:rPr>
            </w:pPr>
            <w:r w:rsidRPr="00413F8B">
              <w:rPr>
                <w:b/>
                <w:bCs/>
                <w:color w:val="000000"/>
              </w:rPr>
              <w:t>Form II</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37ECD523" w14:textId="7B71A262" w:rsidR="009A5BBE" w:rsidRDefault="009A5BBE" w:rsidP="009A5BBE">
            <w:pPr>
              <w:spacing w:after="0" w:line="240" w:lineRule="auto"/>
              <w:jc w:val="center"/>
              <w:rPr>
                <w:b/>
                <w:bCs/>
                <w:color w:val="000000"/>
              </w:rPr>
            </w:pPr>
            <w:r>
              <w:rPr>
                <w:b/>
                <w:bCs/>
                <w:color w:val="000000"/>
              </w:rPr>
              <w:t>July-September 2023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13B960E8" w14:textId="7E547BF9" w:rsidR="009A5BBE" w:rsidRPr="00C63713" w:rsidRDefault="00413F8B" w:rsidP="009A5BBE">
            <w:pPr>
              <w:tabs>
                <w:tab w:val="left" w:pos="4820"/>
              </w:tabs>
              <w:spacing w:after="0" w:line="240" w:lineRule="auto"/>
              <w:jc w:val="both"/>
              <w:rPr>
                <w:color w:val="000000"/>
              </w:rPr>
            </w:pPr>
            <w:r w:rsidRPr="00413F8B">
              <w:rPr>
                <w:color w:val="000000"/>
              </w:rPr>
              <w:t>​Intimation in Form II by Sovereign Wealth Fund in respect of investment made in India for quarter ending September, 2023​</w:t>
            </w:r>
          </w:p>
        </w:tc>
      </w:tr>
      <w:tr w:rsidR="009A5BBE" w:rsidRPr="004D5B69" w14:paraId="2DBC4EA4" w14:textId="77777777" w:rsidTr="007C5DE8">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2C1A0E2E" w14:textId="77777777" w:rsidR="00413F8B" w:rsidRDefault="00413F8B" w:rsidP="009A5BBE">
            <w:pPr>
              <w:spacing w:after="0" w:line="240" w:lineRule="auto"/>
              <w:jc w:val="center"/>
              <w:rPr>
                <w:b/>
                <w:bCs/>
                <w:color w:val="FFFFFF"/>
              </w:rPr>
            </w:pPr>
          </w:p>
          <w:p w14:paraId="2C55ED87" w14:textId="77777777" w:rsidR="00413F8B" w:rsidRDefault="00413F8B" w:rsidP="009A5BBE">
            <w:pPr>
              <w:spacing w:after="0" w:line="240" w:lineRule="auto"/>
              <w:jc w:val="center"/>
              <w:rPr>
                <w:b/>
                <w:bCs/>
                <w:color w:val="FFFFFF"/>
              </w:rPr>
            </w:pPr>
          </w:p>
          <w:p w14:paraId="706496BD" w14:textId="77777777" w:rsidR="00413F8B" w:rsidRDefault="00413F8B" w:rsidP="009A5BBE">
            <w:pPr>
              <w:spacing w:after="0" w:line="240" w:lineRule="auto"/>
              <w:jc w:val="center"/>
              <w:rPr>
                <w:b/>
                <w:bCs/>
                <w:color w:val="FFFFFF"/>
              </w:rPr>
            </w:pPr>
          </w:p>
          <w:p w14:paraId="7C3122A6" w14:textId="778625C9" w:rsidR="009A5BBE" w:rsidRDefault="009A5BBE" w:rsidP="009A5BBE">
            <w:pPr>
              <w:spacing w:after="0" w:line="240" w:lineRule="auto"/>
              <w:jc w:val="center"/>
              <w:rPr>
                <w:b/>
                <w:bCs/>
                <w:color w:val="FFFFFF"/>
              </w:rPr>
            </w:pPr>
            <w:r w:rsidRPr="00596A7C">
              <w:rPr>
                <w:b/>
                <w:bCs/>
                <w:color w:val="FFFFFF"/>
              </w:rPr>
              <w:t>31</w:t>
            </w:r>
            <w:r w:rsidRPr="00596A7C">
              <w:rPr>
                <w:b/>
                <w:bCs/>
                <w:color w:val="FFFFFF"/>
                <w:vertAlign w:val="superscript"/>
              </w:rPr>
              <w:t>st</w:t>
            </w:r>
            <w:r w:rsidRPr="00596A7C">
              <w:rPr>
                <w:b/>
                <w:bCs/>
                <w:color w:val="FFFFFF"/>
              </w:rPr>
              <w:t xml:space="preserve"> 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040B2A7A" w14:textId="4CA0D66F" w:rsidR="009A5BBE" w:rsidRDefault="00413F8B" w:rsidP="009A5BBE">
            <w:pPr>
              <w:spacing w:after="0" w:line="240" w:lineRule="auto"/>
              <w:jc w:val="center"/>
              <w:rPr>
                <w:b/>
                <w:bCs/>
                <w:color w:val="000000"/>
              </w:rPr>
            </w:pPr>
            <w:r w:rsidRPr="00413F8B">
              <w:rPr>
                <w:b/>
                <w:bCs/>
                <w:color w:val="000000"/>
              </w:rPr>
              <w:t>Form no. 10B/10BB</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3B693AA6" w14:textId="3632F8A1" w:rsidR="009A5BBE" w:rsidRDefault="00413F8B" w:rsidP="009A5BBE">
            <w:pPr>
              <w:spacing w:after="0" w:line="240" w:lineRule="auto"/>
              <w:jc w:val="center"/>
              <w:rPr>
                <w:b/>
                <w:bCs/>
                <w:color w:val="000000"/>
              </w:rPr>
            </w:pPr>
            <w:r w:rsidRPr="009A5BBE">
              <w:rPr>
                <w:b/>
                <w:bCs/>
                <w:color w:val="000000"/>
              </w:rPr>
              <w:t>2022-23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1B9A3ACF" w14:textId="77777777" w:rsidR="00413F8B" w:rsidRPr="00413F8B" w:rsidRDefault="00413F8B" w:rsidP="00413F8B">
            <w:pPr>
              <w:tabs>
                <w:tab w:val="left" w:pos="4820"/>
              </w:tabs>
              <w:spacing w:after="0" w:line="240" w:lineRule="auto"/>
              <w:jc w:val="both"/>
              <w:rPr>
                <w:color w:val="000000"/>
              </w:rPr>
            </w:pPr>
            <w:r w:rsidRPr="00413F8B">
              <w:rPr>
                <w:color w:val="000000"/>
              </w:rPr>
              <w:t>Furnishing of Audit report in Form no. 10B/10BB by a fund or trust or institution or any university or other educational institution or any hospital or other medical institution.</w:t>
            </w:r>
          </w:p>
          <w:p w14:paraId="06CEDC49" w14:textId="77777777" w:rsidR="00413F8B" w:rsidRPr="00413F8B" w:rsidRDefault="00413F8B" w:rsidP="00413F8B">
            <w:pPr>
              <w:tabs>
                <w:tab w:val="left" w:pos="4820"/>
              </w:tabs>
              <w:spacing w:after="0" w:line="240" w:lineRule="auto"/>
              <w:jc w:val="both"/>
              <w:rPr>
                <w:color w:val="000000"/>
              </w:rPr>
            </w:pPr>
          </w:p>
          <w:p w14:paraId="4EFBD236" w14:textId="48E5A221" w:rsidR="009A5BBE" w:rsidRPr="00C63713" w:rsidRDefault="00413F8B" w:rsidP="00413F8B">
            <w:pPr>
              <w:tabs>
                <w:tab w:val="left" w:pos="4820"/>
              </w:tabs>
              <w:spacing w:after="0" w:line="240" w:lineRule="auto"/>
              <w:jc w:val="both"/>
              <w:rPr>
                <w:color w:val="000000"/>
              </w:rPr>
            </w:pPr>
            <w:r w:rsidRPr="00413F8B">
              <w:rPr>
                <w:color w:val="000000"/>
              </w:rPr>
              <w:t>Note: the due date for furnishing the Audit report in Form no. 10B/10BB has been extended from September 30, 2023 to October 31, 2023 vide Circular no. 16/2​023, dated 18-09-2023</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49EDF70C" w14:textId="2319B239" w:rsidR="008E1DCC" w:rsidRDefault="00DD59CB" w:rsidP="00DD59CB">
      <w:pPr>
        <w:tabs>
          <w:tab w:val="left" w:pos="3240"/>
        </w:tabs>
        <w:rPr>
          <w:rFonts w:cstheme="minorHAnsi"/>
          <w:lang w:val="en-GB"/>
        </w:rPr>
      </w:pPr>
      <w:r>
        <w:rPr>
          <w:rFonts w:cstheme="minorHAnsi"/>
          <w:lang w:val="en-GB"/>
        </w:rPr>
        <w:tab/>
      </w:r>
    </w:p>
    <w:p w14:paraId="001768D3" w14:textId="492B744E" w:rsidR="00DD59CB" w:rsidRPr="00DD59CB" w:rsidRDefault="00DD59CB" w:rsidP="00DD59CB">
      <w:pPr>
        <w:tabs>
          <w:tab w:val="left" w:pos="3240"/>
        </w:tabs>
        <w:rPr>
          <w:rFonts w:cstheme="minorHAnsi"/>
          <w:lang w:val="en-GB"/>
        </w:rPr>
        <w:sectPr w:rsidR="00DD59CB" w:rsidRPr="00DD59CB"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094CE7A9" w14:textId="3CF8B24E" w:rsidR="006D1A45" w:rsidRPr="006D10B5" w:rsidRDefault="006D1A45" w:rsidP="00C4035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484569FB" w14:textId="6E2DC469" w:rsidR="00951211" w:rsidRPr="00A256A0" w:rsidRDefault="00951211" w:rsidP="00C40350">
      <w:pPr>
        <w:shd w:val="clear" w:color="auto" w:fill="8DC182"/>
        <w:tabs>
          <w:tab w:val="left" w:pos="4820"/>
        </w:tabs>
        <w:autoSpaceDE w:val="0"/>
        <w:autoSpaceDN w:val="0"/>
        <w:adjustRightInd w:val="0"/>
        <w:spacing w:after="0" w:line="276" w:lineRule="auto"/>
        <w:ind w:right="11"/>
        <w:jc w:val="both"/>
        <w:rPr>
          <w:rFonts w:cstheme="minorHAnsi"/>
          <w:b/>
          <w:bCs/>
          <w:caps/>
        </w:rPr>
      </w:pPr>
      <w:r w:rsidRPr="00951211">
        <w:rPr>
          <w:rFonts w:cstheme="minorHAnsi"/>
          <w:b/>
          <w:bCs/>
          <w:caps/>
        </w:rPr>
        <w:t>Exemption from specified income U/s 10(46) – ‘Telangana Building and Other Construction Workers Welfare Board’ notified</w:t>
      </w:r>
    </w:p>
    <w:p w14:paraId="5A075A7B" w14:textId="77777777" w:rsidR="00951211" w:rsidRDefault="006D1A45"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sidR="004943DB">
        <w:rPr>
          <w:rFonts w:asciiTheme="minorHAnsi" w:hAnsiTheme="minorHAnsi" w:cstheme="minorHAnsi"/>
          <w:sz w:val="22"/>
          <w:szCs w:val="22"/>
        </w:rPr>
        <w:t>9</w:t>
      </w:r>
      <w:r w:rsidR="00951211">
        <w:rPr>
          <w:rFonts w:asciiTheme="minorHAnsi" w:hAnsiTheme="minorHAnsi" w:cstheme="minorHAnsi"/>
          <w:sz w:val="22"/>
          <w:szCs w:val="22"/>
        </w:rPr>
        <w:t>3</w:t>
      </w:r>
      <w:r>
        <w:rPr>
          <w:rFonts w:asciiTheme="minorHAnsi" w:hAnsiTheme="minorHAnsi" w:cstheme="minorHAnsi"/>
          <w:sz w:val="22"/>
          <w:szCs w:val="22"/>
        </w:rPr>
        <w:t>/2023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sidR="00951211">
        <w:rPr>
          <w:rFonts w:asciiTheme="minorHAnsi" w:hAnsiTheme="minorHAnsi" w:cstheme="minorHAnsi"/>
          <w:sz w:val="22"/>
          <w:szCs w:val="22"/>
        </w:rPr>
        <w:t>26</w:t>
      </w:r>
      <w:r w:rsidRPr="006D10B5">
        <w:rPr>
          <w:rFonts w:asciiTheme="minorHAnsi" w:hAnsiTheme="minorHAnsi" w:cstheme="minorHAnsi"/>
          <w:sz w:val="22"/>
          <w:szCs w:val="22"/>
        </w:rPr>
        <w:t>.</w:t>
      </w:r>
      <w:r w:rsidR="005B7826">
        <w:rPr>
          <w:rFonts w:asciiTheme="minorHAnsi" w:hAnsiTheme="minorHAnsi" w:cstheme="minorHAnsi"/>
          <w:sz w:val="22"/>
          <w:szCs w:val="22"/>
        </w:rPr>
        <w:t>10</w:t>
      </w:r>
      <w:r w:rsidRPr="006D10B5">
        <w:rPr>
          <w:rFonts w:asciiTheme="minorHAnsi" w:hAnsiTheme="minorHAnsi" w:cstheme="minorHAnsi"/>
          <w:sz w:val="22"/>
          <w:szCs w:val="22"/>
        </w:rPr>
        <w:t xml:space="preserve">.2023 </w:t>
      </w:r>
      <w:r w:rsidR="00951211" w:rsidRPr="00951211">
        <w:rPr>
          <w:rFonts w:asciiTheme="minorHAnsi" w:hAnsiTheme="minorHAnsi" w:cstheme="minorHAnsi"/>
          <w:sz w:val="22"/>
          <w:szCs w:val="22"/>
        </w:rPr>
        <w:t>In exercise of the powers conferred by </w:t>
      </w:r>
      <w:hyperlink r:id="rId26" w:history="1">
        <w:r w:rsidR="00951211" w:rsidRPr="00951211">
          <w:rPr>
            <w:rFonts w:asciiTheme="minorHAnsi" w:hAnsiTheme="minorHAnsi" w:cstheme="minorHAnsi"/>
            <w:sz w:val="22"/>
            <w:szCs w:val="22"/>
          </w:rPr>
          <w:t>clause (46) of section 10</w:t>
        </w:r>
      </w:hyperlink>
      <w:r w:rsidR="00951211" w:rsidRPr="00951211">
        <w:rPr>
          <w:rFonts w:asciiTheme="minorHAnsi" w:hAnsiTheme="minorHAnsi" w:cstheme="minorHAnsi"/>
          <w:sz w:val="22"/>
          <w:szCs w:val="22"/>
        </w:rPr>
        <w:t> of the </w:t>
      </w:r>
      <w:hyperlink r:id="rId27" w:history="1">
        <w:r w:rsidR="00951211" w:rsidRPr="00951211">
          <w:rPr>
            <w:rFonts w:asciiTheme="minorHAnsi" w:hAnsiTheme="minorHAnsi" w:cstheme="minorHAnsi"/>
            <w:sz w:val="22"/>
            <w:szCs w:val="22"/>
          </w:rPr>
          <w:t>Income-tax Act, 1961 (43 of 1961)</w:t>
        </w:r>
      </w:hyperlink>
      <w:r w:rsidR="00951211" w:rsidRPr="00951211">
        <w:rPr>
          <w:rFonts w:asciiTheme="minorHAnsi" w:hAnsiTheme="minorHAnsi" w:cstheme="minorHAnsi"/>
          <w:sz w:val="22"/>
          <w:szCs w:val="22"/>
        </w:rPr>
        <w:t>, the Central Government hereby notifies for the purposes of the said clause, ‘Telangana Building and Other Construction Workers Welfare Board’, (PAN AAEAT9368D), a board established by the Government of Telangana, in respect of the following specified income arising to that board, namely:</w:t>
      </w:r>
    </w:p>
    <w:p w14:paraId="0D70700C" w14:textId="77777777" w:rsidR="00370EDE" w:rsidRPr="00951211"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67270875" w14:textId="77777777" w:rsidR="00951211" w:rsidRPr="00951211" w:rsidRDefault="00951211"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951211">
        <w:rPr>
          <w:rFonts w:asciiTheme="minorHAnsi" w:hAnsiTheme="minorHAnsi" w:cstheme="minorHAnsi"/>
          <w:sz w:val="22"/>
          <w:szCs w:val="22"/>
        </w:rPr>
        <w:t>(a) Cess received;</w:t>
      </w:r>
    </w:p>
    <w:p w14:paraId="5F7C604C" w14:textId="77777777" w:rsidR="00951211" w:rsidRPr="00951211" w:rsidRDefault="00951211"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951211">
        <w:rPr>
          <w:rFonts w:asciiTheme="minorHAnsi" w:hAnsiTheme="minorHAnsi" w:cstheme="minorHAnsi"/>
          <w:sz w:val="22"/>
          <w:szCs w:val="22"/>
        </w:rPr>
        <w:t xml:space="preserve">(b) Registration and renewal fee collection from the </w:t>
      </w:r>
      <w:proofErr w:type="gramStart"/>
      <w:r w:rsidRPr="00951211">
        <w:rPr>
          <w:rFonts w:asciiTheme="minorHAnsi" w:hAnsiTheme="minorHAnsi" w:cstheme="minorHAnsi"/>
          <w:sz w:val="22"/>
          <w:szCs w:val="22"/>
        </w:rPr>
        <w:t>Building</w:t>
      </w:r>
      <w:proofErr w:type="gramEnd"/>
      <w:r w:rsidRPr="00951211">
        <w:rPr>
          <w:rFonts w:asciiTheme="minorHAnsi" w:hAnsiTheme="minorHAnsi" w:cstheme="minorHAnsi"/>
          <w:sz w:val="22"/>
          <w:szCs w:val="22"/>
        </w:rPr>
        <w:t xml:space="preserve"> and other construction workers; and</w:t>
      </w:r>
    </w:p>
    <w:p w14:paraId="41871DC0" w14:textId="77777777" w:rsidR="00951211" w:rsidRDefault="00951211"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951211">
        <w:rPr>
          <w:rFonts w:asciiTheme="minorHAnsi" w:hAnsiTheme="minorHAnsi" w:cstheme="minorHAnsi"/>
          <w:sz w:val="22"/>
          <w:szCs w:val="22"/>
        </w:rPr>
        <w:t>(c) Interest received on bank deposits.</w:t>
      </w:r>
    </w:p>
    <w:p w14:paraId="366294FE" w14:textId="77777777" w:rsidR="00370EDE" w:rsidRPr="00951211"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778D15EE" w14:textId="77777777" w:rsidR="00951211" w:rsidRPr="00951211" w:rsidRDefault="00951211"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951211">
        <w:rPr>
          <w:rFonts w:asciiTheme="minorHAnsi" w:hAnsiTheme="minorHAnsi" w:cstheme="minorHAnsi"/>
          <w:sz w:val="22"/>
          <w:szCs w:val="22"/>
        </w:rPr>
        <w:t>2. This notification shall be effective subject to the conditions that Telangana Building and Other Construction Workers Welfare Board, -</w:t>
      </w:r>
    </w:p>
    <w:p w14:paraId="7A8F3ABA" w14:textId="77777777" w:rsidR="00951211" w:rsidRPr="00951211" w:rsidRDefault="00951211"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951211">
        <w:rPr>
          <w:rFonts w:asciiTheme="minorHAnsi" w:hAnsiTheme="minorHAnsi" w:cstheme="minorHAnsi"/>
          <w:sz w:val="22"/>
          <w:szCs w:val="22"/>
        </w:rPr>
        <w:t>(a) shall not engage in any commercial activity;</w:t>
      </w:r>
    </w:p>
    <w:p w14:paraId="63CCE7BB" w14:textId="77777777" w:rsidR="00951211" w:rsidRPr="00951211" w:rsidRDefault="00951211"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951211">
        <w:rPr>
          <w:rFonts w:asciiTheme="minorHAnsi" w:hAnsiTheme="minorHAnsi" w:cstheme="minorHAnsi"/>
          <w:sz w:val="22"/>
          <w:szCs w:val="22"/>
        </w:rPr>
        <w:t>(b) activities and the nature of the specified income shall remain unchanged throughout the financial year; and</w:t>
      </w:r>
    </w:p>
    <w:p w14:paraId="46E2DC02" w14:textId="77777777" w:rsidR="00951211" w:rsidRDefault="00951211"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951211">
        <w:rPr>
          <w:rFonts w:asciiTheme="minorHAnsi" w:hAnsiTheme="minorHAnsi" w:cstheme="minorHAnsi"/>
          <w:sz w:val="22"/>
          <w:szCs w:val="22"/>
        </w:rPr>
        <w:t>(c) shall file return of income in accordance with the provision of </w:t>
      </w:r>
      <w:hyperlink r:id="rId28" w:history="1">
        <w:r w:rsidRPr="00951211">
          <w:rPr>
            <w:rFonts w:asciiTheme="minorHAnsi" w:hAnsiTheme="minorHAnsi" w:cstheme="minorHAnsi"/>
            <w:sz w:val="22"/>
            <w:szCs w:val="22"/>
          </w:rPr>
          <w:t>clause (g) of sub-section (4C) of section 139</w:t>
        </w:r>
      </w:hyperlink>
      <w:r w:rsidRPr="00951211">
        <w:rPr>
          <w:rFonts w:asciiTheme="minorHAnsi" w:hAnsiTheme="minorHAnsi" w:cstheme="minorHAnsi"/>
          <w:sz w:val="22"/>
          <w:szCs w:val="22"/>
        </w:rPr>
        <w:t> of the </w:t>
      </w:r>
      <w:hyperlink r:id="rId29" w:history="1">
        <w:r w:rsidRPr="00951211">
          <w:rPr>
            <w:rFonts w:asciiTheme="minorHAnsi" w:hAnsiTheme="minorHAnsi" w:cstheme="minorHAnsi"/>
            <w:sz w:val="22"/>
            <w:szCs w:val="22"/>
          </w:rPr>
          <w:t>Income-tax Act, 1961</w:t>
        </w:r>
      </w:hyperlink>
      <w:r w:rsidRPr="00951211">
        <w:rPr>
          <w:rFonts w:asciiTheme="minorHAnsi" w:hAnsiTheme="minorHAnsi" w:cstheme="minorHAnsi"/>
          <w:sz w:val="22"/>
          <w:szCs w:val="22"/>
        </w:rPr>
        <w:t>.</w:t>
      </w:r>
    </w:p>
    <w:p w14:paraId="70D9CD02" w14:textId="77777777" w:rsidR="00370EDE" w:rsidRPr="00951211"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081F01DC" w14:textId="77777777" w:rsidR="00951211" w:rsidRPr="00951211" w:rsidRDefault="00951211"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951211">
        <w:rPr>
          <w:rFonts w:asciiTheme="minorHAnsi" w:hAnsiTheme="minorHAnsi" w:cstheme="minorHAnsi"/>
          <w:sz w:val="22"/>
          <w:szCs w:val="22"/>
        </w:rPr>
        <w:t>3. This notification shall be deemed to have been applied for assessment year 2023-2024 relevant to the financial year 2022-2023.</w:t>
      </w:r>
    </w:p>
    <w:p w14:paraId="7B71B1BD" w14:textId="46B26F9C" w:rsidR="00357103" w:rsidRDefault="00B90E12" w:rsidP="00C40350">
      <w:pPr>
        <w:pStyle w:val="NormalWeb"/>
        <w:shd w:val="clear" w:color="auto" w:fill="FFFFFF"/>
        <w:spacing w:line="276" w:lineRule="auto"/>
        <w:jc w:val="both"/>
        <w:rPr>
          <w:rFonts w:cstheme="minorHAnsi"/>
          <w:b/>
          <w:bCs/>
          <w:noProof/>
          <w:color w:val="FFFFFF" w:themeColor="background1"/>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r w:rsidR="007F131A">
        <w:rPr>
          <w:rFonts w:cstheme="minorHAnsi"/>
          <w:b/>
          <w:bCs/>
          <w:noProof/>
          <w:color w:val="FFFFFF" w:themeColor="background1"/>
          <w:sz w:val="22"/>
          <w:szCs w:val="22"/>
          <w:lang w:val="en-US"/>
        </w:rPr>
        <w:t>T</w:t>
      </w:r>
    </w:p>
    <w:p w14:paraId="4F06AA32" w14:textId="77777777" w:rsidR="000350C5" w:rsidRPr="006D10B5" w:rsidRDefault="000350C5" w:rsidP="00C4035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4473F12" w14:textId="46ADC388" w:rsidR="00370EDE" w:rsidRDefault="00370EDE" w:rsidP="00C40350">
      <w:pPr>
        <w:shd w:val="clear" w:color="auto" w:fill="8DC182"/>
        <w:tabs>
          <w:tab w:val="left" w:pos="4820"/>
        </w:tabs>
        <w:autoSpaceDE w:val="0"/>
        <w:autoSpaceDN w:val="0"/>
        <w:adjustRightInd w:val="0"/>
        <w:spacing w:after="0" w:line="276" w:lineRule="auto"/>
        <w:ind w:right="11"/>
        <w:jc w:val="both"/>
        <w:rPr>
          <w:rFonts w:cstheme="minorHAnsi"/>
          <w:b/>
          <w:bCs/>
          <w:caps/>
        </w:rPr>
      </w:pPr>
      <w:r w:rsidRPr="00370EDE">
        <w:rPr>
          <w:rFonts w:cstheme="minorHAnsi"/>
          <w:b/>
          <w:bCs/>
          <w:caps/>
        </w:rPr>
        <w:t>Exemption from specified income U/s 10(46) – ‘West Bengal Pollution Control Board’ notified</w:t>
      </w:r>
    </w:p>
    <w:p w14:paraId="2592E7B7" w14:textId="77777777" w:rsidR="00370EDE" w:rsidRPr="00370EDE" w:rsidRDefault="000350C5" w:rsidP="00C40350">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sidR="00357103">
        <w:rPr>
          <w:rFonts w:asciiTheme="minorHAnsi" w:hAnsiTheme="minorHAnsi" w:cstheme="minorHAnsi"/>
          <w:sz w:val="22"/>
          <w:szCs w:val="22"/>
        </w:rPr>
        <w:t>9</w:t>
      </w:r>
      <w:r w:rsidR="00370EDE">
        <w:rPr>
          <w:rFonts w:asciiTheme="minorHAnsi" w:hAnsiTheme="minorHAnsi" w:cstheme="minorHAnsi"/>
          <w:sz w:val="22"/>
          <w:szCs w:val="22"/>
        </w:rPr>
        <w:t>2</w:t>
      </w:r>
      <w:r>
        <w:rPr>
          <w:rFonts w:asciiTheme="minorHAnsi" w:hAnsiTheme="minorHAnsi" w:cstheme="minorHAnsi"/>
          <w:sz w:val="22"/>
          <w:szCs w:val="22"/>
        </w:rPr>
        <w:t>/2023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sidR="00370EDE">
        <w:rPr>
          <w:rFonts w:asciiTheme="minorHAnsi" w:hAnsiTheme="minorHAnsi" w:cstheme="minorHAnsi"/>
          <w:sz w:val="22"/>
          <w:szCs w:val="22"/>
        </w:rPr>
        <w:t>26</w:t>
      </w:r>
      <w:r w:rsidRPr="006D10B5">
        <w:rPr>
          <w:rFonts w:asciiTheme="minorHAnsi" w:hAnsiTheme="minorHAnsi" w:cstheme="minorHAnsi"/>
          <w:sz w:val="22"/>
          <w:szCs w:val="22"/>
        </w:rPr>
        <w:t>.</w:t>
      </w:r>
      <w:r>
        <w:rPr>
          <w:rFonts w:asciiTheme="minorHAnsi" w:hAnsiTheme="minorHAnsi" w:cstheme="minorHAnsi"/>
          <w:sz w:val="22"/>
          <w:szCs w:val="22"/>
        </w:rPr>
        <w:t>10</w:t>
      </w:r>
      <w:r w:rsidRPr="006D10B5">
        <w:rPr>
          <w:rFonts w:asciiTheme="minorHAnsi" w:hAnsiTheme="minorHAnsi" w:cstheme="minorHAnsi"/>
          <w:sz w:val="22"/>
          <w:szCs w:val="22"/>
        </w:rPr>
        <w:t xml:space="preserve">.2023 </w:t>
      </w:r>
      <w:r w:rsidR="00370EDE" w:rsidRPr="00370EDE">
        <w:rPr>
          <w:rFonts w:asciiTheme="minorHAnsi" w:hAnsiTheme="minorHAnsi" w:cstheme="minorHAnsi"/>
          <w:sz w:val="22"/>
          <w:szCs w:val="22"/>
        </w:rPr>
        <w:t> In exercise of the powers conferred by </w:t>
      </w:r>
      <w:hyperlink r:id="rId30" w:history="1">
        <w:r w:rsidR="00370EDE" w:rsidRPr="00370EDE">
          <w:rPr>
            <w:rFonts w:asciiTheme="minorHAnsi" w:hAnsiTheme="minorHAnsi" w:cstheme="minorHAnsi"/>
            <w:sz w:val="22"/>
            <w:szCs w:val="22"/>
          </w:rPr>
          <w:t>clause (46) of section 10</w:t>
        </w:r>
      </w:hyperlink>
      <w:r w:rsidR="00370EDE" w:rsidRPr="00370EDE">
        <w:rPr>
          <w:rFonts w:asciiTheme="minorHAnsi" w:hAnsiTheme="minorHAnsi" w:cstheme="minorHAnsi"/>
          <w:sz w:val="22"/>
          <w:szCs w:val="22"/>
        </w:rPr>
        <w:t> of the </w:t>
      </w:r>
      <w:hyperlink r:id="rId31" w:history="1">
        <w:r w:rsidR="00370EDE" w:rsidRPr="00370EDE">
          <w:rPr>
            <w:rFonts w:asciiTheme="minorHAnsi" w:hAnsiTheme="minorHAnsi" w:cstheme="minorHAnsi"/>
            <w:sz w:val="22"/>
            <w:szCs w:val="22"/>
          </w:rPr>
          <w:t>Income-tax Act, 1961 (43 of 1961)</w:t>
        </w:r>
      </w:hyperlink>
      <w:r w:rsidR="00370EDE" w:rsidRPr="00370EDE">
        <w:rPr>
          <w:rFonts w:asciiTheme="minorHAnsi" w:hAnsiTheme="minorHAnsi" w:cstheme="minorHAnsi"/>
          <w:sz w:val="22"/>
          <w:szCs w:val="22"/>
        </w:rPr>
        <w:t xml:space="preserve">, the Central Government hereby notifies for the purposes of the said clause, ‘West Bengal Pollution Control Board’ (PAN: AAALW0078B), a Board established by the State </w:t>
      </w:r>
      <w:r w:rsidR="00370EDE" w:rsidRPr="00370EDE">
        <w:rPr>
          <w:rFonts w:asciiTheme="minorHAnsi" w:hAnsiTheme="minorHAnsi" w:cstheme="minorHAnsi"/>
          <w:sz w:val="22"/>
          <w:szCs w:val="22"/>
        </w:rPr>
        <w:t>Government of West Bengal, in respect of the following income arising to that Board, namely:-</w:t>
      </w:r>
    </w:p>
    <w:p w14:paraId="0FD02449"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 xml:space="preserve">(a) fees which includes the </w:t>
      </w:r>
      <w:proofErr w:type="gramStart"/>
      <w:r w:rsidRPr="00370EDE">
        <w:rPr>
          <w:rFonts w:asciiTheme="minorHAnsi" w:hAnsiTheme="minorHAnsi" w:cstheme="minorHAnsi"/>
          <w:sz w:val="22"/>
          <w:szCs w:val="22"/>
        </w:rPr>
        <w:t>following:-</w:t>
      </w:r>
      <w:proofErr w:type="gramEnd"/>
    </w:p>
    <w:p w14:paraId="3F0CBEF7"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w:t>
      </w:r>
      <w:proofErr w:type="spellStart"/>
      <w:r w:rsidRPr="00370EDE">
        <w:rPr>
          <w:rFonts w:asciiTheme="minorHAnsi" w:hAnsiTheme="minorHAnsi" w:cstheme="minorHAnsi"/>
          <w:sz w:val="22"/>
          <w:szCs w:val="22"/>
        </w:rPr>
        <w:t>i</w:t>
      </w:r>
      <w:proofErr w:type="spellEnd"/>
      <w:r w:rsidRPr="00370EDE">
        <w:rPr>
          <w:rFonts w:asciiTheme="minorHAnsi" w:hAnsiTheme="minorHAnsi" w:cstheme="minorHAnsi"/>
          <w:sz w:val="22"/>
          <w:szCs w:val="22"/>
        </w:rPr>
        <w:t>). consent fees or no objection certificate fees,</w:t>
      </w:r>
    </w:p>
    <w:p w14:paraId="6706D747"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(ii). analysis fees,</w:t>
      </w:r>
    </w:p>
    <w:p w14:paraId="0C7DBEEC"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(iii). authorisation fees,</w:t>
      </w:r>
    </w:p>
    <w:p w14:paraId="4F122E70"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(iv). public hearing fees,</w:t>
      </w:r>
    </w:p>
    <w:p w14:paraId="078C5C34"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(v). fees received for processing by State Environmental Impact Assessment Authority,</w:t>
      </w:r>
    </w:p>
    <w:p w14:paraId="2EB9DE61"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(vi). fees collected for training conducted by the Environmental Training Institute of the Board,</w:t>
      </w:r>
    </w:p>
    <w:p w14:paraId="2B94FE84"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(vii). fees received under the Right to Information Act, 2005 (22 of 2005) and appeal fees,</w:t>
      </w:r>
    </w:p>
    <w:p w14:paraId="0DF4C82D"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(viii). tender fees, and</w:t>
      </w:r>
    </w:p>
    <w:p w14:paraId="02B01EFF" w14:textId="77777777" w:rsid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(ix). cess appeal fees.</w:t>
      </w:r>
    </w:p>
    <w:p w14:paraId="4080260A"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39A1DC67"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 xml:space="preserve">(b) reimbursement of the </w:t>
      </w:r>
      <w:proofErr w:type="gramStart"/>
      <w:r w:rsidRPr="00370EDE">
        <w:rPr>
          <w:rFonts w:asciiTheme="minorHAnsi" w:hAnsiTheme="minorHAnsi" w:cstheme="minorHAnsi"/>
          <w:sz w:val="22"/>
          <w:szCs w:val="22"/>
        </w:rPr>
        <w:t>following:-</w:t>
      </w:r>
      <w:proofErr w:type="gramEnd"/>
    </w:p>
    <w:p w14:paraId="11912501"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w:t>
      </w:r>
      <w:proofErr w:type="spellStart"/>
      <w:r w:rsidRPr="00370EDE">
        <w:rPr>
          <w:rFonts w:asciiTheme="minorHAnsi" w:hAnsiTheme="minorHAnsi" w:cstheme="minorHAnsi"/>
          <w:sz w:val="22"/>
          <w:szCs w:val="22"/>
        </w:rPr>
        <w:t>i</w:t>
      </w:r>
      <w:proofErr w:type="spellEnd"/>
      <w:r w:rsidRPr="00370EDE">
        <w:rPr>
          <w:rFonts w:asciiTheme="minorHAnsi" w:hAnsiTheme="minorHAnsi" w:cstheme="minorHAnsi"/>
          <w:sz w:val="22"/>
          <w:szCs w:val="22"/>
        </w:rPr>
        <w:t>). cess, and</w:t>
      </w:r>
    </w:p>
    <w:p w14:paraId="084549B8" w14:textId="77777777" w:rsid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(ii). expenses received from the Central Pollution Control Board towards National Air Monitoring Program, the Monitoring of Indian National Aquatic resources and like schemes.</w:t>
      </w:r>
    </w:p>
    <w:p w14:paraId="2A0C2C15"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6529CDB7" w14:textId="77777777" w:rsid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(c) sale of books relating to environmental law, regulations, important judicial orders and environmental issues where no profit element is involved and the activity is not commercial in nature;</w:t>
      </w:r>
    </w:p>
    <w:p w14:paraId="1EFEF3E1"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0FC5D653" w14:textId="77777777" w:rsid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(d) pollution cost or forfeiture of bank guarantee due to non-compliance;</w:t>
      </w:r>
    </w:p>
    <w:p w14:paraId="3C702DC1"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33BBF6C2" w14:textId="77777777" w:rsid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(e) miscellaneous income including sale of old or scrap items, and other matters relating thereto, where no profit element is involved; and</w:t>
      </w:r>
    </w:p>
    <w:p w14:paraId="05838155"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4CF64AB1" w14:textId="77777777" w:rsid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(f) interest on bank deposits, and on loans and advances given to staff.</w:t>
      </w:r>
    </w:p>
    <w:p w14:paraId="64896150"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1F9C3674" w14:textId="77777777" w:rsid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2. The provisions of this notification shall be effective subject to the conditions that West Bengal Pollution Control Board-</w:t>
      </w:r>
    </w:p>
    <w:p w14:paraId="6255E9D7"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46E1C4ED"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(a) shall not engage in any commercial activity;</w:t>
      </w:r>
    </w:p>
    <w:p w14:paraId="5E4C8832"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(b) activities and the nature of the specified income remain unchanged throughout the financial years;</w:t>
      </w:r>
    </w:p>
    <w:p w14:paraId="3911C6AC"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and</w:t>
      </w:r>
    </w:p>
    <w:p w14:paraId="79FF8C86" w14:textId="77777777" w:rsid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lastRenderedPageBreak/>
        <w:t>(c) shall file returns of income in accordance with the provision of </w:t>
      </w:r>
      <w:hyperlink r:id="rId32" w:history="1">
        <w:r w:rsidRPr="00370EDE">
          <w:rPr>
            <w:rFonts w:asciiTheme="minorHAnsi" w:hAnsiTheme="minorHAnsi" w:cstheme="minorHAnsi"/>
            <w:sz w:val="22"/>
            <w:szCs w:val="22"/>
          </w:rPr>
          <w:t>clause (g) of sub-section (4C) of section 139</w:t>
        </w:r>
      </w:hyperlink>
      <w:r w:rsidRPr="00370EDE">
        <w:rPr>
          <w:rFonts w:asciiTheme="minorHAnsi" w:hAnsiTheme="minorHAnsi" w:cstheme="minorHAnsi"/>
          <w:sz w:val="22"/>
          <w:szCs w:val="22"/>
        </w:rPr>
        <w:t> of the </w:t>
      </w:r>
      <w:hyperlink r:id="rId33" w:history="1">
        <w:r w:rsidRPr="00370EDE">
          <w:rPr>
            <w:rFonts w:asciiTheme="minorHAnsi" w:hAnsiTheme="minorHAnsi" w:cstheme="minorHAnsi"/>
            <w:sz w:val="22"/>
            <w:szCs w:val="22"/>
          </w:rPr>
          <w:t>Income-tax Act, 1961</w:t>
        </w:r>
      </w:hyperlink>
      <w:r w:rsidRPr="00370EDE">
        <w:rPr>
          <w:rFonts w:asciiTheme="minorHAnsi" w:hAnsiTheme="minorHAnsi" w:cstheme="minorHAnsi"/>
          <w:sz w:val="22"/>
          <w:szCs w:val="22"/>
        </w:rPr>
        <w:t>.</w:t>
      </w:r>
    </w:p>
    <w:p w14:paraId="29467D45"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p>
    <w:p w14:paraId="5BBEDAED" w14:textId="77777777" w:rsidR="00370EDE" w:rsidRPr="00370EDE" w:rsidRDefault="00370EDE" w:rsidP="00C40350">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370EDE">
        <w:rPr>
          <w:rFonts w:asciiTheme="minorHAnsi" w:hAnsiTheme="minorHAnsi" w:cstheme="minorHAnsi"/>
          <w:sz w:val="22"/>
          <w:szCs w:val="22"/>
        </w:rPr>
        <w:t>3. This notification shall be deemed to have been applied for assessment years 2021-2022 to 2023-2024 relevant for the financial years 2020-2021 to 2022-2023 respectively.</w:t>
      </w:r>
    </w:p>
    <w:p w14:paraId="242634FD" w14:textId="48A5C4C4" w:rsidR="000350C5" w:rsidRPr="001174E1" w:rsidRDefault="000350C5" w:rsidP="00C40350">
      <w:pPr>
        <w:pStyle w:val="NormalWeb"/>
        <w:shd w:val="clear" w:color="auto" w:fill="FFFFFF"/>
        <w:spacing w:line="276" w:lineRule="auto"/>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r>
        <w:rPr>
          <w:rFonts w:cstheme="minorHAnsi"/>
          <w:b/>
          <w:bCs/>
          <w:noProof/>
          <w:color w:val="FFFFFF" w:themeColor="background1"/>
          <w:sz w:val="22"/>
          <w:szCs w:val="22"/>
          <w:lang w:val="en-US"/>
        </w:rPr>
        <w:t>T</w:t>
      </w:r>
    </w:p>
    <w:p w14:paraId="4029955F" w14:textId="6819131E" w:rsidR="00C40350" w:rsidRPr="006D10B5" w:rsidRDefault="00C40350" w:rsidP="00C4035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CIRCULAR</w:t>
      </w:r>
    </w:p>
    <w:p w14:paraId="5E9F2718" w14:textId="77777777" w:rsidR="00C40350" w:rsidRPr="00C40350" w:rsidRDefault="00C40350" w:rsidP="00C40350">
      <w:pPr>
        <w:shd w:val="clear" w:color="auto" w:fill="8DC182"/>
        <w:tabs>
          <w:tab w:val="left" w:pos="4820"/>
        </w:tabs>
        <w:autoSpaceDE w:val="0"/>
        <w:autoSpaceDN w:val="0"/>
        <w:adjustRightInd w:val="0"/>
        <w:spacing w:after="0" w:line="276" w:lineRule="auto"/>
        <w:ind w:right="11"/>
        <w:jc w:val="both"/>
        <w:rPr>
          <w:rFonts w:cstheme="minorHAnsi"/>
          <w:b/>
          <w:bCs/>
          <w:caps/>
        </w:rPr>
      </w:pPr>
      <w:r w:rsidRPr="00C40350">
        <w:rPr>
          <w:rFonts w:cstheme="minorHAnsi"/>
          <w:b/>
          <w:bCs/>
          <w:caps/>
        </w:rPr>
        <w:t>CBDT extends due date of Filing Audit report- Section 10</w:t>
      </w:r>
      <w:proofErr w:type="gramStart"/>
      <w:r w:rsidRPr="00C40350">
        <w:rPr>
          <w:rFonts w:cstheme="minorHAnsi"/>
          <w:b/>
          <w:bCs/>
          <w:caps/>
        </w:rPr>
        <w:t>AA(</w:t>
      </w:r>
      <w:proofErr w:type="gramEnd"/>
      <w:r w:rsidRPr="00C40350">
        <w:rPr>
          <w:rFonts w:cstheme="minorHAnsi"/>
          <w:b/>
          <w:bCs/>
          <w:caps/>
        </w:rPr>
        <w:t>8)</w:t>
      </w:r>
    </w:p>
    <w:p w14:paraId="64A3B3E4" w14:textId="2C64158C" w:rsidR="000350C5" w:rsidRDefault="00C40350" w:rsidP="00C40350">
      <w:pPr>
        <w:pStyle w:val="NormalWeb"/>
        <w:shd w:val="clear" w:color="auto" w:fill="FFFFFF"/>
        <w:spacing w:line="276" w:lineRule="auto"/>
        <w:jc w:val="both"/>
        <w:rPr>
          <w:rFonts w:cstheme="minorHAnsi"/>
          <w:b/>
          <w:bCs/>
          <w:noProof/>
          <w:color w:val="FFFFFF" w:themeColor="background1"/>
          <w:sz w:val="22"/>
          <w:szCs w:val="22"/>
          <w:lang w:val="en-US"/>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circular </w:t>
      </w:r>
      <w:r w:rsidRPr="006D10B5">
        <w:rPr>
          <w:rFonts w:asciiTheme="minorHAnsi" w:hAnsiTheme="minorHAnsi" w:cstheme="minorHAnsi"/>
          <w:sz w:val="22"/>
          <w:szCs w:val="22"/>
        </w:rPr>
        <w:t xml:space="preserve">No. </w:t>
      </w:r>
      <w:r>
        <w:rPr>
          <w:rFonts w:asciiTheme="minorHAnsi" w:hAnsiTheme="minorHAnsi" w:cstheme="minorHAnsi"/>
          <w:sz w:val="22"/>
          <w:szCs w:val="22"/>
        </w:rPr>
        <w:t>18 of 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20</w:t>
      </w:r>
      <w:r w:rsidRPr="006D10B5">
        <w:rPr>
          <w:rFonts w:asciiTheme="minorHAnsi" w:hAnsiTheme="minorHAnsi" w:cstheme="minorHAnsi"/>
          <w:sz w:val="22"/>
          <w:szCs w:val="22"/>
        </w:rPr>
        <w:t>.</w:t>
      </w:r>
      <w:r>
        <w:rPr>
          <w:rFonts w:asciiTheme="minorHAnsi" w:hAnsiTheme="minorHAnsi" w:cstheme="minorHAnsi"/>
          <w:sz w:val="22"/>
          <w:szCs w:val="22"/>
        </w:rPr>
        <w:t>10</w:t>
      </w:r>
      <w:r w:rsidRPr="006D10B5">
        <w:rPr>
          <w:rFonts w:asciiTheme="minorHAnsi" w:hAnsiTheme="minorHAnsi" w:cstheme="minorHAnsi"/>
          <w:sz w:val="22"/>
          <w:szCs w:val="22"/>
        </w:rPr>
        <w:t xml:space="preserve">.2023 </w:t>
      </w:r>
      <w:r w:rsidRPr="00370EDE">
        <w:rPr>
          <w:rFonts w:asciiTheme="minorHAnsi" w:hAnsiTheme="minorHAnsi" w:cstheme="minorHAnsi"/>
          <w:sz w:val="22"/>
          <w:szCs w:val="22"/>
        </w:rPr>
        <w:t> </w:t>
      </w:r>
      <w:r>
        <w:rPr>
          <w:rFonts w:asciiTheme="minorHAnsi" w:hAnsiTheme="minorHAnsi" w:cstheme="minorHAnsi"/>
          <w:sz w:val="22"/>
          <w:szCs w:val="22"/>
        </w:rPr>
        <w:t xml:space="preserve">circulated that </w:t>
      </w:r>
      <w:r w:rsidRPr="00C40350">
        <w:rPr>
          <w:rFonts w:asciiTheme="minorHAnsi" w:hAnsiTheme="minorHAnsi" w:cstheme="minorHAnsi"/>
          <w:sz w:val="22"/>
          <w:szCs w:val="22"/>
        </w:rPr>
        <w:t>On consideration of difficulties arising to the taxpayers and other stakeholders in timely filing of report of accountant required to be filed under </w:t>
      </w:r>
      <w:hyperlink r:id="rId34" w:history="1">
        <w:r w:rsidRPr="00C40350">
          <w:rPr>
            <w:rFonts w:asciiTheme="minorHAnsi" w:hAnsiTheme="minorHAnsi" w:cstheme="minorHAnsi"/>
            <w:sz w:val="22"/>
            <w:szCs w:val="22"/>
          </w:rPr>
          <w:t>clause (8) of section 10AA</w:t>
        </w:r>
      </w:hyperlink>
      <w:r w:rsidRPr="00C40350">
        <w:rPr>
          <w:rFonts w:asciiTheme="minorHAnsi" w:hAnsiTheme="minorHAnsi" w:cstheme="minorHAnsi"/>
          <w:sz w:val="22"/>
          <w:szCs w:val="22"/>
        </w:rPr>
        <w:t> read with </w:t>
      </w:r>
      <w:hyperlink r:id="rId35" w:history="1">
        <w:r w:rsidRPr="00C40350">
          <w:rPr>
            <w:rFonts w:asciiTheme="minorHAnsi" w:hAnsiTheme="minorHAnsi" w:cstheme="minorHAnsi"/>
            <w:sz w:val="22"/>
            <w:szCs w:val="22"/>
          </w:rPr>
          <w:t>clause (5) of section 10A</w:t>
        </w:r>
      </w:hyperlink>
      <w:r w:rsidRPr="00C40350">
        <w:rPr>
          <w:rFonts w:asciiTheme="minorHAnsi" w:hAnsiTheme="minorHAnsi" w:cstheme="minorHAnsi"/>
          <w:sz w:val="22"/>
          <w:szCs w:val="22"/>
        </w:rPr>
        <w:t> of the </w:t>
      </w:r>
      <w:hyperlink r:id="rId36" w:history="1">
        <w:r w:rsidRPr="00C40350">
          <w:rPr>
            <w:rFonts w:asciiTheme="minorHAnsi" w:hAnsiTheme="minorHAnsi" w:cstheme="minorHAnsi"/>
            <w:sz w:val="22"/>
            <w:szCs w:val="22"/>
          </w:rPr>
          <w:t>Income tax Act, 1961</w:t>
        </w:r>
      </w:hyperlink>
      <w:r w:rsidRPr="00C40350">
        <w:rPr>
          <w:rFonts w:asciiTheme="minorHAnsi" w:hAnsiTheme="minorHAnsi" w:cstheme="minorHAnsi"/>
          <w:sz w:val="22"/>
          <w:szCs w:val="22"/>
        </w:rPr>
        <w:t> on account of notification of relevant</w:t>
      </w:r>
      <w:hyperlink r:id="rId37" w:history="1">
        <w:r w:rsidRPr="00C40350">
          <w:rPr>
            <w:rFonts w:asciiTheme="minorHAnsi" w:hAnsiTheme="minorHAnsi" w:cstheme="minorHAnsi"/>
            <w:sz w:val="22"/>
            <w:szCs w:val="22"/>
          </w:rPr>
          <w:t> Form 56F</w:t>
        </w:r>
      </w:hyperlink>
      <w:r w:rsidRPr="00C40350">
        <w:rPr>
          <w:rFonts w:asciiTheme="minorHAnsi" w:hAnsiTheme="minorHAnsi" w:cstheme="minorHAnsi"/>
          <w:sz w:val="22"/>
          <w:szCs w:val="22"/>
        </w:rPr>
        <w:t> on 19.10.2023 and with a view to avoid genuine hardship to such cases, the Central Board of Direct Taxes, in exercise of its powers under </w:t>
      </w:r>
      <w:hyperlink r:id="rId38" w:history="1">
        <w:r w:rsidRPr="00C40350">
          <w:rPr>
            <w:rFonts w:asciiTheme="minorHAnsi" w:hAnsiTheme="minorHAnsi" w:cstheme="minorHAnsi"/>
            <w:sz w:val="22"/>
            <w:szCs w:val="22"/>
          </w:rPr>
          <w:t>119(2)(b)</w:t>
        </w:r>
      </w:hyperlink>
      <w:r w:rsidRPr="00C40350">
        <w:rPr>
          <w:rFonts w:asciiTheme="minorHAnsi" w:hAnsiTheme="minorHAnsi" w:cstheme="minorHAnsi"/>
          <w:sz w:val="22"/>
          <w:szCs w:val="22"/>
        </w:rPr>
        <w:t> of the </w:t>
      </w:r>
      <w:hyperlink r:id="rId39" w:history="1">
        <w:r w:rsidRPr="00C40350">
          <w:rPr>
            <w:rFonts w:asciiTheme="minorHAnsi" w:hAnsiTheme="minorHAnsi" w:cstheme="minorHAnsi"/>
            <w:sz w:val="22"/>
            <w:szCs w:val="22"/>
          </w:rPr>
          <w:t>Income Tax Act, 1961</w:t>
        </w:r>
      </w:hyperlink>
      <w:r w:rsidRPr="00C40350">
        <w:rPr>
          <w:rFonts w:asciiTheme="minorHAnsi" w:hAnsiTheme="minorHAnsi" w:cstheme="minorHAnsi"/>
          <w:sz w:val="22"/>
          <w:szCs w:val="22"/>
        </w:rPr>
        <w:t>, hereby extends the due date of filing of report of the accountant as required to be filed under </w:t>
      </w:r>
      <w:hyperlink r:id="rId40" w:history="1">
        <w:r w:rsidRPr="00C40350">
          <w:rPr>
            <w:rFonts w:asciiTheme="minorHAnsi" w:hAnsiTheme="minorHAnsi" w:cstheme="minorHAnsi"/>
            <w:sz w:val="22"/>
            <w:szCs w:val="22"/>
          </w:rPr>
          <w:t>clause (8) of section 10AA</w:t>
        </w:r>
      </w:hyperlink>
      <w:r w:rsidRPr="00C40350">
        <w:rPr>
          <w:rFonts w:asciiTheme="minorHAnsi" w:hAnsiTheme="minorHAnsi" w:cstheme="minorHAnsi"/>
          <w:sz w:val="22"/>
          <w:szCs w:val="22"/>
        </w:rPr>
        <w:t> read with </w:t>
      </w:r>
      <w:hyperlink r:id="rId41" w:history="1">
        <w:r w:rsidRPr="00C40350">
          <w:rPr>
            <w:rFonts w:asciiTheme="minorHAnsi" w:hAnsiTheme="minorHAnsi" w:cstheme="minorHAnsi"/>
            <w:sz w:val="22"/>
            <w:szCs w:val="22"/>
          </w:rPr>
          <w:t>clause (5) of section 10A</w:t>
        </w:r>
      </w:hyperlink>
      <w:r w:rsidRPr="00C40350">
        <w:rPr>
          <w:rFonts w:asciiTheme="minorHAnsi" w:hAnsiTheme="minorHAnsi" w:cstheme="minorHAnsi"/>
          <w:sz w:val="22"/>
          <w:szCs w:val="22"/>
        </w:rPr>
        <w:t> of the Act, for Assessment Year 2023-24 from the specified date under </w:t>
      </w:r>
      <w:hyperlink r:id="rId42" w:history="1">
        <w:r w:rsidRPr="00C40350">
          <w:rPr>
            <w:rFonts w:asciiTheme="minorHAnsi" w:hAnsiTheme="minorHAnsi" w:cstheme="minorHAnsi"/>
            <w:sz w:val="22"/>
            <w:szCs w:val="22"/>
          </w:rPr>
          <w:t>section 44AB</w:t>
        </w:r>
      </w:hyperlink>
      <w:r w:rsidRPr="00C40350">
        <w:rPr>
          <w:rFonts w:asciiTheme="minorHAnsi" w:hAnsiTheme="minorHAnsi" w:cstheme="minorHAnsi"/>
          <w:sz w:val="22"/>
          <w:szCs w:val="22"/>
        </w:rPr>
        <w:t> to 31st of December, 20</w:t>
      </w:r>
      <w:r>
        <w:rPr>
          <w:rFonts w:asciiTheme="minorHAnsi" w:hAnsiTheme="minorHAnsi" w:cstheme="minorHAnsi"/>
          <w:sz w:val="22"/>
          <w:szCs w:val="22"/>
        </w:rPr>
        <w:t>23.</w:t>
      </w:r>
    </w:p>
    <w:p w14:paraId="3CE64187" w14:textId="1A7A6E8B" w:rsidR="00C40350" w:rsidRPr="001174E1" w:rsidRDefault="00C40350" w:rsidP="00C40350">
      <w:pPr>
        <w:pStyle w:val="NormalWeb"/>
        <w:shd w:val="clear" w:color="auto" w:fill="FFFFFF"/>
        <w:spacing w:line="276" w:lineRule="auto"/>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circular</w:t>
      </w:r>
      <w:r w:rsidRPr="00176E78">
        <w:rPr>
          <w:rFonts w:asciiTheme="minorHAnsi" w:hAnsiTheme="minorHAnsi" w:cstheme="minorHAnsi"/>
          <w:b/>
          <w:bCs/>
          <w:noProof/>
          <w:sz w:val="22"/>
          <w:szCs w:val="22"/>
          <w:lang w:val="en-US"/>
        </w:rPr>
        <w:t>]</w:t>
      </w:r>
    </w:p>
    <w:p w14:paraId="686CA913" w14:textId="77777777" w:rsidR="00C40350" w:rsidRPr="006D10B5" w:rsidRDefault="00C40350" w:rsidP="00C4035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CIRCULAR</w:t>
      </w:r>
    </w:p>
    <w:p w14:paraId="67FA7A0A" w14:textId="0A058348" w:rsidR="00C40350" w:rsidRPr="00C40350" w:rsidRDefault="00C40350" w:rsidP="00C40350">
      <w:pPr>
        <w:shd w:val="clear" w:color="auto" w:fill="8DC182"/>
        <w:tabs>
          <w:tab w:val="left" w:pos="4820"/>
        </w:tabs>
        <w:autoSpaceDE w:val="0"/>
        <w:autoSpaceDN w:val="0"/>
        <w:adjustRightInd w:val="0"/>
        <w:spacing w:after="0" w:line="276" w:lineRule="auto"/>
        <w:ind w:right="11"/>
        <w:jc w:val="both"/>
        <w:rPr>
          <w:rFonts w:cstheme="minorHAnsi"/>
          <w:b/>
          <w:bCs/>
          <w:caps/>
        </w:rPr>
      </w:pPr>
      <w:r w:rsidRPr="00C40350">
        <w:rPr>
          <w:rFonts w:cstheme="minorHAnsi"/>
          <w:b/>
          <w:bCs/>
          <w:caps/>
        </w:rPr>
        <w:t>Condonation of delay under section 119(2)(b) of the Income-tax Act, 1961 in filing of Form No. 10-IC for Assessment Year 2021-22</w:t>
      </w:r>
    </w:p>
    <w:p w14:paraId="6225E7FD" w14:textId="77777777" w:rsidR="00C40350" w:rsidRPr="00C40350" w:rsidRDefault="00C40350" w:rsidP="00C40350">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circular </w:t>
      </w:r>
      <w:r w:rsidRPr="006D10B5">
        <w:rPr>
          <w:rFonts w:asciiTheme="minorHAnsi" w:hAnsiTheme="minorHAnsi" w:cstheme="minorHAnsi"/>
          <w:sz w:val="22"/>
          <w:szCs w:val="22"/>
        </w:rPr>
        <w:t xml:space="preserve">No. </w:t>
      </w:r>
      <w:r>
        <w:rPr>
          <w:rFonts w:asciiTheme="minorHAnsi" w:hAnsiTheme="minorHAnsi" w:cstheme="minorHAnsi"/>
          <w:sz w:val="22"/>
          <w:szCs w:val="22"/>
        </w:rPr>
        <w:t>19 of 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23</w:t>
      </w:r>
      <w:r w:rsidRPr="006D10B5">
        <w:rPr>
          <w:rFonts w:asciiTheme="minorHAnsi" w:hAnsiTheme="minorHAnsi" w:cstheme="minorHAnsi"/>
          <w:sz w:val="22"/>
          <w:szCs w:val="22"/>
        </w:rPr>
        <w:t>.</w:t>
      </w:r>
      <w:r>
        <w:rPr>
          <w:rFonts w:asciiTheme="minorHAnsi" w:hAnsiTheme="minorHAnsi" w:cstheme="minorHAnsi"/>
          <w:sz w:val="22"/>
          <w:szCs w:val="22"/>
        </w:rPr>
        <w:t>10</w:t>
      </w:r>
      <w:r w:rsidRPr="006D10B5">
        <w:rPr>
          <w:rFonts w:asciiTheme="minorHAnsi" w:hAnsiTheme="minorHAnsi" w:cstheme="minorHAnsi"/>
          <w:sz w:val="22"/>
          <w:szCs w:val="22"/>
        </w:rPr>
        <w:t xml:space="preserve">.2023 </w:t>
      </w:r>
      <w:r w:rsidRPr="00370EDE">
        <w:rPr>
          <w:rFonts w:asciiTheme="minorHAnsi" w:hAnsiTheme="minorHAnsi" w:cstheme="minorHAnsi"/>
          <w:sz w:val="22"/>
          <w:szCs w:val="22"/>
        </w:rPr>
        <w:t> </w:t>
      </w:r>
      <w:r>
        <w:rPr>
          <w:rFonts w:asciiTheme="minorHAnsi" w:hAnsiTheme="minorHAnsi" w:cstheme="minorHAnsi"/>
          <w:sz w:val="22"/>
          <w:szCs w:val="22"/>
        </w:rPr>
        <w:t xml:space="preserve">circulated that </w:t>
      </w:r>
      <w:r w:rsidRPr="00C40350">
        <w:rPr>
          <w:rFonts w:asciiTheme="minorHAnsi" w:hAnsiTheme="minorHAnsi" w:cstheme="minorHAnsi"/>
          <w:sz w:val="22"/>
          <w:szCs w:val="22"/>
        </w:rPr>
        <w:t>In exercise of the powers conferred under </w:t>
      </w:r>
      <w:hyperlink r:id="rId43" w:history="1">
        <w:r w:rsidRPr="00C40350">
          <w:rPr>
            <w:rFonts w:asciiTheme="minorHAnsi" w:hAnsiTheme="minorHAnsi" w:cstheme="minorHAnsi"/>
            <w:sz w:val="22"/>
            <w:szCs w:val="22"/>
          </w:rPr>
          <w:t>section 119(2)(b)</w:t>
        </w:r>
      </w:hyperlink>
      <w:r w:rsidRPr="00C40350">
        <w:rPr>
          <w:rFonts w:asciiTheme="minorHAnsi" w:hAnsiTheme="minorHAnsi" w:cstheme="minorHAnsi"/>
          <w:sz w:val="22"/>
          <w:szCs w:val="22"/>
        </w:rPr>
        <w:t> of the </w:t>
      </w:r>
      <w:hyperlink r:id="rId44" w:history="1">
        <w:r w:rsidRPr="00C40350">
          <w:rPr>
            <w:rFonts w:asciiTheme="minorHAnsi" w:hAnsiTheme="minorHAnsi" w:cstheme="minorHAnsi"/>
            <w:sz w:val="22"/>
            <w:szCs w:val="22"/>
          </w:rPr>
          <w:t>Income-tax Act, </w:t>
        </w:r>
      </w:hyperlink>
      <w:hyperlink r:id="rId45" w:history="1">
        <w:r w:rsidRPr="00C40350">
          <w:rPr>
            <w:rFonts w:asciiTheme="minorHAnsi" w:hAnsiTheme="minorHAnsi" w:cstheme="minorHAnsi"/>
            <w:sz w:val="22"/>
            <w:szCs w:val="22"/>
          </w:rPr>
          <w:t>1961</w:t>
        </w:r>
      </w:hyperlink>
      <w:r w:rsidRPr="00C40350">
        <w:rPr>
          <w:rFonts w:asciiTheme="minorHAnsi" w:hAnsiTheme="minorHAnsi" w:cstheme="minorHAnsi"/>
          <w:sz w:val="22"/>
          <w:szCs w:val="22"/>
        </w:rPr>
        <w:t> ('the Act'), the Central Board of Direct Taxes ('CBDT') by </w:t>
      </w:r>
      <w:hyperlink r:id="rId46" w:history="1">
        <w:r w:rsidRPr="00C40350">
          <w:rPr>
            <w:rFonts w:asciiTheme="minorHAnsi" w:hAnsiTheme="minorHAnsi" w:cstheme="minorHAnsi"/>
            <w:sz w:val="22"/>
            <w:szCs w:val="22"/>
          </w:rPr>
          <w:t>Circular No. 6/2022</w:t>
        </w:r>
      </w:hyperlink>
      <w:r w:rsidRPr="00C40350">
        <w:rPr>
          <w:rFonts w:asciiTheme="minorHAnsi" w:hAnsiTheme="minorHAnsi" w:cstheme="minorHAnsi"/>
          <w:sz w:val="22"/>
          <w:szCs w:val="22"/>
        </w:rPr>
        <w:t> of even number dated 17.03.2022 condoned the delay in filing of </w:t>
      </w:r>
      <w:hyperlink r:id="rId47" w:history="1">
        <w:r w:rsidRPr="00C40350">
          <w:rPr>
            <w:rFonts w:asciiTheme="minorHAnsi" w:hAnsiTheme="minorHAnsi" w:cstheme="minorHAnsi"/>
            <w:sz w:val="22"/>
            <w:szCs w:val="22"/>
          </w:rPr>
          <w:t>Form No. </w:t>
        </w:r>
      </w:hyperlink>
      <w:hyperlink r:id="rId48" w:history="1">
        <w:r w:rsidRPr="00C40350">
          <w:rPr>
            <w:rFonts w:asciiTheme="minorHAnsi" w:hAnsiTheme="minorHAnsi" w:cstheme="minorHAnsi"/>
            <w:sz w:val="22"/>
            <w:szCs w:val="22"/>
          </w:rPr>
          <w:t>10-IC</w:t>
        </w:r>
      </w:hyperlink>
      <w:r w:rsidRPr="00C40350">
        <w:rPr>
          <w:rFonts w:asciiTheme="minorHAnsi" w:hAnsiTheme="minorHAnsi" w:cstheme="minorHAnsi"/>
          <w:sz w:val="22"/>
          <w:szCs w:val="22"/>
        </w:rPr>
        <w:t> as per </w:t>
      </w:r>
      <w:hyperlink r:id="rId49" w:history="1">
        <w:r w:rsidRPr="00C40350">
          <w:rPr>
            <w:rFonts w:asciiTheme="minorHAnsi" w:hAnsiTheme="minorHAnsi" w:cstheme="minorHAnsi"/>
            <w:sz w:val="22"/>
            <w:szCs w:val="22"/>
          </w:rPr>
          <w:t>Rule </w:t>
        </w:r>
      </w:hyperlink>
      <w:hyperlink r:id="rId50" w:history="1">
        <w:r w:rsidRPr="00C40350">
          <w:rPr>
            <w:rFonts w:asciiTheme="minorHAnsi" w:hAnsiTheme="minorHAnsi" w:cstheme="minorHAnsi"/>
            <w:sz w:val="22"/>
            <w:szCs w:val="22"/>
          </w:rPr>
          <w:t>21AE</w:t>
        </w:r>
      </w:hyperlink>
      <w:r w:rsidRPr="00C40350">
        <w:rPr>
          <w:rFonts w:asciiTheme="minorHAnsi" w:hAnsiTheme="minorHAnsi" w:cstheme="minorHAnsi"/>
          <w:sz w:val="22"/>
          <w:szCs w:val="22"/>
        </w:rPr>
        <w:t> of the </w:t>
      </w:r>
      <w:hyperlink r:id="rId51" w:history="1">
        <w:r w:rsidRPr="00C40350">
          <w:rPr>
            <w:rFonts w:asciiTheme="minorHAnsi" w:hAnsiTheme="minorHAnsi" w:cstheme="minorHAnsi"/>
            <w:sz w:val="22"/>
            <w:szCs w:val="22"/>
          </w:rPr>
          <w:t>Income-tax Rules, 1962</w:t>
        </w:r>
      </w:hyperlink>
      <w:r w:rsidRPr="00C40350">
        <w:rPr>
          <w:rFonts w:asciiTheme="minorHAnsi" w:hAnsiTheme="minorHAnsi" w:cstheme="minorHAnsi"/>
          <w:sz w:val="22"/>
          <w:szCs w:val="22"/>
        </w:rPr>
        <w:t xml:space="preserve"> ('the Rules') for the previous year relevant to A.Y. 2020-21 in cases </w:t>
      </w:r>
      <w:r w:rsidRPr="00C40350">
        <w:rPr>
          <w:rFonts w:asciiTheme="minorHAnsi" w:hAnsiTheme="minorHAnsi" w:cstheme="minorHAnsi"/>
          <w:sz w:val="22"/>
          <w:szCs w:val="22"/>
        </w:rPr>
        <w:t>where the conditions stipulated in the said Circular are satisfied.</w:t>
      </w:r>
    </w:p>
    <w:p w14:paraId="6341C48D" w14:textId="77777777" w:rsidR="00C40350" w:rsidRPr="00C40350" w:rsidRDefault="00C40350" w:rsidP="00C40350">
      <w:pPr>
        <w:pStyle w:val="NormalWeb"/>
        <w:shd w:val="clear" w:color="auto" w:fill="FFFFFF"/>
        <w:spacing w:line="276" w:lineRule="auto"/>
        <w:jc w:val="both"/>
        <w:rPr>
          <w:rFonts w:asciiTheme="minorHAnsi" w:hAnsiTheme="minorHAnsi" w:cstheme="minorHAnsi"/>
          <w:sz w:val="22"/>
          <w:szCs w:val="22"/>
        </w:rPr>
      </w:pPr>
      <w:r w:rsidRPr="00C40350">
        <w:rPr>
          <w:rFonts w:asciiTheme="minorHAnsi" w:hAnsiTheme="minorHAnsi" w:cstheme="minorHAnsi"/>
          <w:sz w:val="22"/>
          <w:szCs w:val="22"/>
        </w:rPr>
        <w:t>2. Representations have been received by CBDT stating that </w:t>
      </w:r>
      <w:hyperlink r:id="rId52" w:history="1">
        <w:r w:rsidRPr="00C40350">
          <w:rPr>
            <w:rFonts w:asciiTheme="minorHAnsi" w:hAnsiTheme="minorHAnsi" w:cstheme="minorHAnsi"/>
            <w:sz w:val="22"/>
            <w:szCs w:val="22"/>
          </w:rPr>
          <w:t>Form No. 10-IC</w:t>
        </w:r>
      </w:hyperlink>
      <w:r w:rsidRPr="00C40350">
        <w:rPr>
          <w:rFonts w:asciiTheme="minorHAnsi" w:hAnsiTheme="minorHAnsi" w:cstheme="minorHAnsi"/>
          <w:sz w:val="22"/>
          <w:szCs w:val="22"/>
        </w:rPr>
        <w:t> could not be filed for A.Y. 2021-22 within the due date or extended due date, as the case may be. It has been requested that the delay in filing of </w:t>
      </w:r>
      <w:hyperlink r:id="rId53" w:history="1">
        <w:r w:rsidRPr="00C40350">
          <w:rPr>
            <w:rFonts w:asciiTheme="minorHAnsi" w:hAnsiTheme="minorHAnsi" w:cstheme="minorHAnsi"/>
            <w:sz w:val="22"/>
            <w:szCs w:val="22"/>
          </w:rPr>
          <w:t>Form No. </w:t>
        </w:r>
      </w:hyperlink>
      <w:hyperlink r:id="rId54" w:history="1">
        <w:r w:rsidRPr="00C40350">
          <w:rPr>
            <w:rFonts w:asciiTheme="minorHAnsi" w:hAnsiTheme="minorHAnsi" w:cstheme="minorHAnsi"/>
            <w:sz w:val="22"/>
            <w:szCs w:val="22"/>
          </w:rPr>
          <w:t>10-IC</w:t>
        </w:r>
      </w:hyperlink>
      <w:r w:rsidRPr="00C40350">
        <w:rPr>
          <w:rFonts w:asciiTheme="minorHAnsi" w:hAnsiTheme="minorHAnsi" w:cstheme="minorHAnsi"/>
          <w:sz w:val="22"/>
          <w:szCs w:val="22"/>
        </w:rPr>
        <w:t> for A.Y. 2021-22 may be condoned.</w:t>
      </w:r>
    </w:p>
    <w:p w14:paraId="6D1E47C9" w14:textId="77777777" w:rsidR="00C40350" w:rsidRPr="00C40350" w:rsidRDefault="00C40350" w:rsidP="00C40350">
      <w:pPr>
        <w:pStyle w:val="NormalWeb"/>
        <w:shd w:val="clear" w:color="auto" w:fill="FFFFFF"/>
        <w:spacing w:line="276" w:lineRule="auto"/>
        <w:jc w:val="both"/>
        <w:rPr>
          <w:rFonts w:asciiTheme="minorHAnsi" w:hAnsiTheme="minorHAnsi" w:cstheme="minorHAnsi"/>
          <w:sz w:val="22"/>
          <w:szCs w:val="22"/>
        </w:rPr>
      </w:pPr>
      <w:r w:rsidRPr="00C40350">
        <w:rPr>
          <w:rFonts w:asciiTheme="minorHAnsi" w:hAnsiTheme="minorHAnsi" w:cstheme="minorHAnsi"/>
          <w:sz w:val="22"/>
          <w:szCs w:val="22"/>
        </w:rPr>
        <w:t>3. On consideration of the matter, with a view to avoid genuine hardship to the domestic companies in exercising the option </w:t>
      </w:r>
      <w:hyperlink r:id="rId55" w:history="1">
        <w:r w:rsidRPr="00C40350">
          <w:rPr>
            <w:rFonts w:asciiTheme="minorHAnsi" w:hAnsiTheme="minorHAnsi" w:cstheme="minorHAnsi"/>
            <w:sz w:val="22"/>
            <w:szCs w:val="22"/>
          </w:rPr>
          <w:t>u/s </w:t>
        </w:r>
      </w:hyperlink>
      <w:hyperlink r:id="rId56" w:history="1">
        <w:r w:rsidRPr="00C40350">
          <w:rPr>
            <w:rFonts w:asciiTheme="minorHAnsi" w:hAnsiTheme="minorHAnsi" w:cstheme="minorHAnsi"/>
            <w:sz w:val="22"/>
            <w:szCs w:val="22"/>
          </w:rPr>
          <w:t>115BAA</w:t>
        </w:r>
      </w:hyperlink>
      <w:r w:rsidRPr="00C40350">
        <w:rPr>
          <w:rFonts w:asciiTheme="minorHAnsi" w:hAnsiTheme="minorHAnsi" w:cstheme="minorHAnsi"/>
          <w:sz w:val="22"/>
          <w:szCs w:val="22"/>
        </w:rPr>
        <w:t> of the Act, CBDT in exercise of the powers conferred under </w:t>
      </w:r>
      <w:hyperlink r:id="rId57" w:history="1">
        <w:r w:rsidRPr="00C40350">
          <w:rPr>
            <w:rFonts w:asciiTheme="minorHAnsi" w:hAnsiTheme="minorHAnsi" w:cstheme="minorHAnsi"/>
            <w:sz w:val="22"/>
            <w:szCs w:val="22"/>
          </w:rPr>
          <w:t>section 119(2)(b) </w:t>
        </w:r>
      </w:hyperlink>
      <w:r w:rsidRPr="00C40350">
        <w:rPr>
          <w:rFonts w:asciiTheme="minorHAnsi" w:hAnsiTheme="minorHAnsi" w:cstheme="minorHAnsi"/>
          <w:sz w:val="22"/>
          <w:szCs w:val="22"/>
        </w:rPr>
        <w:t>of the Act, hereby directs that: -</w:t>
      </w:r>
    </w:p>
    <w:p w14:paraId="3DB4DFCF" w14:textId="77777777" w:rsidR="00C40350" w:rsidRPr="00C40350" w:rsidRDefault="00C40350" w:rsidP="00C40350">
      <w:pPr>
        <w:pStyle w:val="NormalWeb"/>
        <w:shd w:val="clear" w:color="auto" w:fill="FFFFFF"/>
        <w:spacing w:line="276" w:lineRule="auto"/>
        <w:jc w:val="both"/>
        <w:rPr>
          <w:rFonts w:asciiTheme="minorHAnsi" w:hAnsiTheme="minorHAnsi" w:cstheme="minorHAnsi"/>
          <w:sz w:val="22"/>
          <w:szCs w:val="22"/>
        </w:rPr>
      </w:pPr>
      <w:r w:rsidRPr="00C40350">
        <w:rPr>
          <w:rFonts w:asciiTheme="minorHAnsi" w:hAnsiTheme="minorHAnsi" w:cstheme="minorHAnsi"/>
          <w:sz w:val="22"/>
          <w:szCs w:val="22"/>
        </w:rPr>
        <w:t>The delay in filing of </w:t>
      </w:r>
      <w:hyperlink r:id="rId58" w:history="1">
        <w:r w:rsidRPr="00C40350">
          <w:rPr>
            <w:rFonts w:asciiTheme="minorHAnsi" w:hAnsiTheme="minorHAnsi" w:cstheme="minorHAnsi"/>
            <w:sz w:val="22"/>
            <w:szCs w:val="22"/>
          </w:rPr>
          <w:t>Form No. 10-IC</w:t>
        </w:r>
      </w:hyperlink>
      <w:r w:rsidRPr="00C40350">
        <w:rPr>
          <w:rFonts w:asciiTheme="minorHAnsi" w:hAnsiTheme="minorHAnsi" w:cstheme="minorHAnsi"/>
          <w:sz w:val="22"/>
          <w:szCs w:val="22"/>
        </w:rPr>
        <w:t> as per </w:t>
      </w:r>
      <w:hyperlink r:id="rId59" w:history="1">
        <w:r w:rsidRPr="00C40350">
          <w:rPr>
            <w:rFonts w:asciiTheme="minorHAnsi" w:hAnsiTheme="minorHAnsi" w:cstheme="minorHAnsi"/>
            <w:sz w:val="22"/>
            <w:szCs w:val="22"/>
          </w:rPr>
          <w:t>Rule 21AE</w:t>
        </w:r>
      </w:hyperlink>
      <w:r w:rsidRPr="00C40350">
        <w:rPr>
          <w:rFonts w:asciiTheme="minorHAnsi" w:hAnsiTheme="minorHAnsi" w:cstheme="minorHAnsi"/>
          <w:sz w:val="22"/>
          <w:szCs w:val="22"/>
        </w:rPr>
        <w:t> of the Rules for previous year relevant to A.Y. 2021-22 is condoned in cases where the following conditions are satisfied:</w:t>
      </w:r>
    </w:p>
    <w:p w14:paraId="5EFAD05B" w14:textId="77777777" w:rsidR="00C40350" w:rsidRPr="00C40350" w:rsidRDefault="00C40350" w:rsidP="00C40350">
      <w:pPr>
        <w:pStyle w:val="NormalWeb"/>
        <w:shd w:val="clear" w:color="auto" w:fill="FFFFFF"/>
        <w:spacing w:line="276" w:lineRule="auto"/>
        <w:jc w:val="both"/>
        <w:rPr>
          <w:rFonts w:asciiTheme="minorHAnsi" w:hAnsiTheme="minorHAnsi" w:cstheme="minorHAnsi"/>
          <w:sz w:val="22"/>
          <w:szCs w:val="22"/>
        </w:rPr>
      </w:pPr>
      <w:proofErr w:type="spellStart"/>
      <w:r w:rsidRPr="00C40350">
        <w:rPr>
          <w:rFonts w:asciiTheme="minorHAnsi" w:hAnsiTheme="minorHAnsi" w:cstheme="minorHAnsi"/>
          <w:sz w:val="22"/>
          <w:szCs w:val="22"/>
        </w:rPr>
        <w:t>i</w:t>
      </w:r>
      <w:proofErr w:type="spellEnd"/>
      <w:r w:rsidRPr="00C40350">
        <w:rPr>
          <w:rFonts w:asciiTheme="minorHAnsi" w:hAnsiTheme="minorHAnsi" w:cstheme="minorHAnsi"/>
          <w:sz w:val="22"/>
          <w:szCs w:val="22"/>
        </w:rPr>
        <w:t>) The return of income for relevant assessment year has been filed on or before the due date specified under </w:t>
      </w:r>
      <w:hyperlink r:id="rId60" w:history="1">
        <w:r w:rsidRPr="00C40350">
          <w:rPr>
            <w:rFonts w:asciiTheme="minorHAnsi" w:hAnsiTheme="minorHAnsi" w:cstheme="minorHAnsi"/>
            <w:sz w:val="22"/>
            <w:szCs w:val="22"/>
          </w:rPr>
          <w:t>section 139(1)</w:t>
        </w:r>
      </w:hyperlink>
      <w:r w:rsidRPr="00C40350">
        <w:rPr>
          <w:rFonts w:asciiTheme="minorHAnsi" w:hAnsiTheme="minorHAnsi" w:cstheme="minorHAnsi"/>
          <w:sz w:val="22"/>
          <w:szCs w:val="22"/>
        </w:rPr>
        <w:t> of the Act;</w:t>
      </w:r>
    </w:p>
    <w:p w14:paraId="571809D3" w14:textId="77777777" w:rsidR="00C40350" w:rsidRPr="00C40350" w:rsidRDefault="00C40350" w:rsidP="00C40350">
      <w:pPr>
        <w:pStyle w:val="NormalWeb"/>
        <w:shd w:val="clear" w:color="auto" w:fill="FFFFFF"/>
        <w:spacing w:line="276" w:lineRule="auto"/>
        <w:jc w:val="both"/>
        <w:rPr>
          <w:rFonts w:asciiTheme="minorHAnsi" w:hAnsiTheme="minorHAnsi" w:cstheme="minorHAnsi"/>
          <w:sz w:val="22"/>
          <w:szCs w:val="22"/>
        </w:rPr>
      </w:pPr>
      <w:r w:rsidRPr="00C40350">
        <w:rPr>
          <w:rFonts w:asciiTheme="minorHAnsi" w:hAnsiTheme="minorHAnsi" w:cstheme="minorHAnsi"/>
          <w:sz w:val="22"/>
          <w:szCs w:val="22"/>
        </w:rPr>
        <w:t>ii) The assessee company has opted for taxation </w:t>
      </w:r>
      <w:hyperlink r:id="rId61" w:history="1">
        <w:r w:rsidRPr="00C40350">
          <w:rPr>
            <w:rFonts w:asciiTheme="minorHAnsi" w:hAnsiTheme="minorHAnsi" w:cstheme="minorHAnsi"/>
            <w:sz w:val="22"/>
            <w:szCs w:val="22"/>
          </w:rPr>
          <w:t>u/s 115BAA</w:t>
        </w:r>
      </w:hyperlink>
      <w:r w:rsidRPr="00C40350">
        <w:rPr>
          <w:rFonts w:asciiTheme="minorHAnsi" w:hAnsiTheme="minorHAnsi" w:cstheme="minorHAnsi"/>
          <w:sz w:val="22"/>
          <w:szCs w:val="22"/>
        </w:rPr>
        <w:t> of the Act in item ( e) of "Filing Status" in "Part A-GEN" of the Form of Return of Income </w:t>
      </w:r>
      <w:hyperlink r:id="rId62" w:history="1">
        <w:r w:rsidRPr="00C40350">
          <w:rPr>
            <w:rFonts w:asciiTheme="minorHAnsi" w:hAnsiTheme="minorHAnsi" w:cstheme="minorHAnsi"/>
            <w:sz w:val="22"/>
            <w:szCs w:val="22"/>
          </w:rPr>
          <w:t>ITR-6</w:t>
        </w:r>
      </w:hyperlink>
      <w:r w:rsidRPr="00C40350">
        <w:rPr>
          <w:rFonts w:asciiTheme="minorHAnsi" w:hAnsiTheme="minorHAnsi" w:cstheme="minorHAnsi"/>
          <w:sz w:val="22"/>
          <w:szCs w:val="22"/>
        </w:rPr>
        <w:t>; and</w:t>
      </w:r>
    </w:p>
    <w:p w14:paraId="503DCA87" w14:textId="77777777" w:rsidR="00C40350" w:rsidRPr="00C40350" w:rsidRDefault="00C40350" w:rsidP="00C40350">
      <w:pPr>
        <w:pStyle w:val="NormalWeb"/>
        <w:shd w:val="clear" w:color="auto" w:fill="FFFFFF"/>
        <w:spacing w:line="276" w:lineRule="auto"/>
        <w:jc w:val="both"/>
        <w:rPr>
          <w:rFonts w:asciiTheme="minorHAnsi" w:hAnsiTheme="minorHAnsi" w:cstheme="minorHAnsi"/>
          <w:sz w:val="22"/>
          <w:szCs w:val="22"/>
        </w:rPr>
      </w:pPr>
      <w:r w:rsidRPr="00C40350">
        <w:rPr>
          <w:rFonts w:asciiTheme="minorHAnsi" w:hAnsiTheme="minorHAnsi" w:cstheme="minorHAnsi"/>
          <w:sz w:val="22"/>
          <w:szCs w:val="22"/>
        </w:rPr>
        <w:t>iii) </w:t>
      </w:r>
      <w:hyperlink r:id="rId63" w:history="1">
        <w:r w:rsidRPr="00C40350">
          <w:rPr>
            <w:rFonts w:asciiTheme="minorHAnsi" w:hAnsiTheme="minorHAnsi" w:cstheme="minorHAnsi"/>
            <w:sz w:val="22"/>
            <w:szCs w:val="22"/>
          </w:rPr>
          <w:t>Form No. 10-IC</w:t>
        </w:r>
      </w:hyperlink>
      <w:r w:rsidRPr="00C40350">
        <w:rPr>
          <w:rFonts w:asciiTheme="minorHAnsi" w:hAnsiTheme="minorHAnsi" w:cstheme="minorHAnsi"/>
          <w:sz w:val="22"/>
          <w:szCs w:val="22"/>
        </w:rPr>
        <w:t> is filed electronically on or before 31.01.2024 or 3 months from the end of the month in which this Circular is issued, whichever is later.</w:t>
      </w:r>
    </w:p>
    <w:p w14:paraId="05E1403F" w14:textId="6D8F85F1" w:rsidR="00C40350" w:rsidRDefault="00C40350" w:rsidP="00C40350">
      <w:pPr>
        <w:pStyle w:val="NormalWeb"/>
        <w:shd w:val="clear" w:color="auto" w:fill="FFFFFF"/>
        <w:spacing w:line="276" w:lineRule="auto"/>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circular</w:t>
      </w:r>
      <w:r w:rsidRPr="00176E78">
        <w:rPr>
          <w:rFonts w:asciiTheme="minorHAnsi" w:hAnsiTheme="minorHAnsi" w:cstheme="minorHAnsi"/>
          <w:b/>
          <w:bCs/>
          <w:noProof/>
          <w:sz w:val="22"/>
          <w:szCs w:val="22"/>
          <w:lang w:val="en-US"/>
        </w:rPr>
        <w:t>]</w:t>
      </w:r>
    </w:p>
    <w:p w14:paraId="55EF557B" w14:textId="02CC873B" w:rsidR="00C40350" w:rsidRPr="001836B8" w:rsidRDefault="00C40350" w:rsidP="00AE782A">
      <w:pPr>
        <w:pStyle w:val="NormalWeb"/>
        <w:shd w:val="clear" w:color="auto" w:fill="FFFFFF"/>
        <w:jc w:val="both"/>
        <w:rPr>
          <w:rFonts w:cstheme="minorHAnsi"/>
          <w:b/>
          <w:bCs/>
          <w:noProof/>
          <w:color w:val="FFFFFF" w:themeColor="background1"/>
          <w:sz w:val="22"/>
          <w:szCs w:val="22"/>
          <w:lang w:val="en-US"/>
        </w:rPr>
        <w:sectPr w:rsidR="00C40350" w:rsidRPr="001836B8" w:rsidSect="003F4752">
          <w:headerReference w:type="default" r:id="rId64"/>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68511DEB" w14:textId="2E1D7D78" w:rsidR="000721A7" w:rsidRPr="00647D75" w:rsidRDefault="004C49F7" w:rsidP="00EA1B0F">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249EE6CD" w14:textId="1C209967" w:rsidR="00964E87" w:rsidRPr="00D32138" w:rsidRDefault="00964E87" w:rsidP="00EA1B0F">
      <w:pPr>
        <w:shd w:val="clear" w:color="auto" w:fill="8DC182"/>
        <w:tabs>
          <w:tab w:val="left" w:pos="4820"/>
        </w:tabs>
        <w:autoSpaceDE w:val="0"/>
        <w:autoSpaceDN w:val="0"/>
        <w:adjustRightInd w:val="0"/>
        <w:spacing w:after="0" w:line="276" w:lineRule="auto"/>
        <w:ind w:right="11"/>
        <w:jc w:val="both"/>
        <w:rPr>
          <w:rFonts w:cstheme="minorHAnsi"/>
          <w:b/>
          <w:bCs/>
        </w:rPr>
      </w:pPr>
      <w:r w:rsidRPr="00964E87">
        <w:rPr>
          <w:rFonts w:cstheme="minorHAnsi"/>
          <w:b/>
          <w:bCs/>
        </w:rPr>
        <w:t>CENTRAL GOODS AND SERVICES TAX (FOURTH AMENDMENT) RULES, 2023</w:t>
      </w:r>
    </w:p>
    <w:p w14:paraId="1CE3BB91" w14:textId="77777777" w:rsidR="00964E87" w:rsidRPr="00964E87" w:rsidRDefault="000721A7" w:rsidP="00EA1B0F">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4C49F7">
        <w:rPr>
          <w:rFonts w:asciiTheme="minorHAnsi" w:hAnsiTheme="minorHAnsi" w:cstheme="minorHAnsi"/>
          <w:sz w:val="22"/>
          <w:szCs w:val="22"/>
        </w:rPr>
        <w:t xml:space="preserve">Ministry of Finance, Department of Revenue vide notification no. </w:t>
      </w:r>
      <w:r w:rsidR="00964E87">
        <w:rPr>
          <w:rFonts w:asciiTheme="minorHAnsi" w:hAnsiTheme="minorHAnsi" w:cstheme="minorHAnsi"/>
          <w:sz w:val="22"/>
          <w:szCs w:val="22"/>
        </w:rPr>
        <w:t>52</w:t>
      </w:r>
      <w:r w:rsidR="004C49F7">
        <w:rPr>
          <w:rFonts w:asciiTheme="minorHAnsi" w:hAnsiTheme="minorHAnsi" w:cstheme="minorHAnsi"/>
          <w:sz w:val="22"/>
          <w:szCs w:val="22"/>
        </w:rPr>
        <w:t xml:space="preserve">/2023-CGST dated </w:t>
      </w:r>
      <w:r w:rsidR="00964E87">
        <w:rPr>
          <w:rFonts w:asciiTheme="minorHAnsi" w:hAnsiTheme="minorHAnsi" w:cstheme="minorHAnsi"/>
          <w:sz w:val="22"/>
          <w:szCs w:val="22"/>
        </w:rPr>
        <w:t>26</w:t>
      </w:r>
      <w:r w:rsidR="004C49F7">
        <w:rPr>
          <w:rFonts w:asciiTheme="minorHAnsi" w:hAnsiTheme="minorHAnsi" w:cstheme="minorHAnsi"/>
          <w:sz w:val="22"/>
          <w:szCs w:val="22"/>
        </w:rPr>
        <w:t xml:space="preserve">.10.2023 notified </w:t>
      </w:r>
      <w:r w:rsidR="00964E87" w:rsidRPr="00964E87">
        <w:rPr>
          <w:rFonts w:asciiTheme="minorHAnsi" w:hAnsiTheme="minorHAnsi" w:cstheme="minorHAnsi"/>
          <w:sz w:val="22"/>
          <w:szCs w:val="22"/>
        </w:rPr>
        <w:t>In exercise of the powers conferred by </w:t>
      </w:r>
      <w:hyperlink r:id="rId65" w:history="1">
        <w:r w:rsidR="00964E87" w:rsidRPr="00964E87">
          <w:rPr>
            <w:rFonts w:asciiTheme="minorHAnsi" w:hAnsiTheme="minorHAnsi" w:cstheme="minorHAnsi"/>
            <w:sz w:val="22"/>
            <w:szCs w:val="22"/>
          </w:rPr>
          <w:t>section 164</w:t>
        </w:r>
      </w:hyperlink>
      <w:r w:rsidR="00964E87" w:rsidRPr="00964E87">
        <w:rPr>
          <w:rFonts w:asciiTheme="minorHAnsi" w:hAnsiTheme="minorHAnsi" w:cstheme="minorHAnsi"/>
          <w:sz w:val="22"/>
          <w:szCs w:val="22"/>
        </w:rPr>
        <w:t> of the </w:t>
      </w:r>
      <w:hyperlink r:id="rId66" w:history="1">
        <w:r w:rsidR="00964E87" w:rsidRPr="00964E87">
          <w:rPr>
            <w:rFonts w:asciiTheme="minorHAnsi" w:hAnsiTheme="minorHAnsi" w:cstheme="minorHAnsi"/>
            <w:sz w:val="22"/>
            <w:szCs w:val="22"/>
          </w:rPr>
          <w:t>Central Goods and Services Tax Act, 2017 (12 of 2017)</w:t>
        </w:r>
      </w:hyperlink>
      <w:r w:rsidR="00964E87" w:rsidRPr="00964E87">
        <w:rPr>
          <w:rFonts w:asciiTheme="minorHAnsi" w:hAnsiTheme="minorHAnsi" w:cstheme="minorHAnsi"/>
          <w:sz w:val="22"/>
          <w:szCs w:val="22"/>
        </w:rPr>
        <w:t>, the Central Government, on the recommendations of the Council, hereby makes the following rules further to amend the </w:t>
      </w:r>
      <w:hyperlink r:id="rId67" w:history="1">
        <w:r w:rsidR="00964E87" w:rsidRPr="00964E87">
          <w:rPr>
            <w:rFonts w:asciiTheme="minorHAnsi" w:hAnsiTheme="minorHAnsi" w:cstheme="minorHAnsi"/>
            <w:sz w:val="22"/>
            <w:szCs w:val="22"/>
          </w:rPr>
          <w:t>Central Goods and Services Tax Rules, 2017</w:t>
        </w:r>
      </w:hyperlink>
      <w:r w:rsidR="00964E87" w:rsidRPr="00964E87">
        <w:rPr>
          <w:rFonts w:asciiTheme="minorHAnsi" w:hAnsiTheme="minorHAnsi" w:cstheme="minorHAnsi"/>
          <w:sz w:val="22"/>
          <w:szCs w:val="22"/>
        </w:rPr>
        <w:t>, namely: —</w:t>
      </w:r>
    </w:p>
    <w:p w14:paraId="679F7D38"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1. </w:t>
      </w:r>
      <w:r w:rsidRPr="00964E87">
        <w:rPr>
          <w:rFonts w:asciiTheme="minorHAnsi" w:hAnsiTheme="minorHAnsi" w:cstheme="minorHAnsi"/>
          <w:b/>
          <w:bCs/>
          <w:sz w:val="22"/>
          <w:szCs w:val="22"/>
        </w:rPr>
        <w:t>Short title and commencement.</w:t>
      </w:r>
      <w:r w:rsidRPr="00964E87">
        <w:rPr>
          <w:rFonts w:asciiTheme="minorHAnsi" w:hAnsiTheme="minorHAnsi" w:cstheme="minorHAnsi"/>
          <w:sz w:val="22"/>
          <w:szCs w:val="22"/>
        </w:rPr>
        <w:t> —</w:t>
      </w:r>
    </w:p>
    <w:p w14:paraId="6C93BB7C"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(1) These rules may be called the Central Goods and Services Tax (Fourth Amendment) Rules, 2023.</w:t>
      </w:r>
    </w:p>
    <w:p w14:paraId="7A8C84B2"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(2) Save as otherwise provided in these rules, they shall come into force on the date of their publication in the Official Gazette.</w:t>
      </w:r>
    </w:p>
    <w:p w14:paraId="7BCB9C38"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2. In the </w:t>
      </w:r>
      <w:hyperlink r:id="rId68" w:history="1">
        <w:r w:rsidRPr="00964E87">
          <w:rPr>
            <w:rFonts w:asciiTheme="minorHAnsi" w:hAnsiTheme="minorHAnsi" w:cstheme="minorHAnsi"/>
            <w:sz w:val="22"/>
            <w:szCs w:val="22"/>
          </w:rPr>
          <w:t>Central Goods and Services Tax Rules, 2017</w:t>
        </w:r>
      </w:hyperlink>
      <w:r w:rsidRPr="00964E87">
        <w:rPr>
          <w:rFonts w:asciiTheme="minorHAnsi" w:hAnsiTheme="minorHAnsi" w:cstheme="minorHAnsi"/>
          <w:sz w:val="22"/>
          <w:szCs w:val="22"/>
        </w:rPr>
        <w:t> (hereinafter referred to as the said rules), </w:t>
      </w:r>
      <w:hyperlink r:id="rId69" w:history="1">
        <w:r w:rsidRPr="00964E87">
          <w:rPr>
            <w:rFonts w:asciiTheme="minorHAnsi" w:hAnsiTheme="minorHAnsi" w:cstheme="minorHAnsi"/>
            <w:sz w:val="22"/>
            <w:szCs w:val="22"/>
          </w:rPr>
          <w:t>rule 28</w:t>
        </w:r>
      </w:hyperlink>
      <w:r w:rsidRPr="00964E87">
        <w:rPr>
          <w:rFonts w:asciiTheme="minorHAnsi" w:hAnsiTheme="minorHAnsi" w:cstheme="minorHAnsi"/>
          <w:sz w:val="22"/>
          <w:szCs w:val="22"/>
        </w:rPr>
        <w:t> shall be renumbered as sub-rule (1) and after the sub-rule as so renumbered, the following sub-rule shall be inserted, namely:-</w:t>
      </w:r>
    </w:p>
    <w:p w14:paraId="4D34FE6A"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“(2) Notwithstanding anything contained in sub-rule (1), the value of supply of services by a supplier to a recipient who is a related person, by way of providing corporate guarantee to any banking company or financial institution on behalf of the said recipient, shall be deemed to be one per cent of the amount of such guarantee offered, or the actual consideration, whichever is higher.”.</w:t>
      </w:r>
    </w:p>
    <w:p w14:paraId="0510FBE8"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3. In the </w:t>
      </w:r>
      <w:hyperlink r:id="rId70" w:history="1">
        <w:r w:rsidRPr="00964E87">
          <w:rPr>
            <w:rFonts w:asciiTheme="minorHAnsi" w:hAnsiTheme="minorHAnsi" w:cstheme="minorHAnsi"/>
            <w:sz w:val="22"/>
            <w:szCs w:val="22"/>
          </w:rPr>
          <w:t>said rules</w:t>
        </w:r>
      </w:hyperlink>
      <w:r w:rsidRPr="00964E87">
        <w:rPr>
          <w:rFonts w:asciiTheme="minorHAnsi" w:hAnsiTheme="minorHAnsi" w:cstheme="minorHAnsi"/>
          <w:sz w:val="22"/>
          <w:szCs w:val="22"/>
        </w:rPr>
        <w:t>, in </w:t>
      </w:r>
      <w:hyperlink r:id="rId71" w:history="1">
        <w:r w:rsidRPr="00964E87">
          <w:rPr>
            <w:rFonts w:asciiTheme="minorHAnsi" w:hAnsiTheme="minorHAnsi" w:cstheme="minorHAnsi"/>
            <w:sz w:val="22"/>
            <w:szCs w:val="22"/>
          </w:rPr>
          <w:t>rule 142</w:t>
        </w:r>
      </w:hyperlink>
      <w:r w:rsidRPr="00964E87">
        <w:rPr>
          <w:rFonts w:asciiTheme="minorHAnsi" w:hAnsiTheme="minorHAnsi" w:cstheme="minorHAnsi"/>
          <w:sz w:val="22"/>
          <w:szCs w:val="22"/>
        </w:rPr>
        <w:t>, in sub-rule (3), for the words “proper officer shall issue an order”, the words “proper officer shall issue an intimation” shall be substituted.</w:t>
      </w:r>
    </w:p>
    <w:p w14:paraId="779CAD1F"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4. In the </w:t>
      </w:r>
      <w:hyperlink r:id="rId72" w:history="1">
        <w:r w:rsidRPr="00964E87">
          <w:rPr>
            <w:rFonts w:asciiTheme="minorHAnsi" w:hAnsiTheme="minorHAnsi" w:cstheme="minorHAnsi"/>
            <w:sz w:val="22"/>
            <w:szCs w:val="22"/>
          </w:rPr>
          <w:t>said rules</w:t>
        </w:r>
      </w:hyperlink>
      <w:r w:rsidRPr="00964E87">
        <w:rPr>
          <w:rFonts w:asciiTheme="minorHAnsi" w:hAnsiTheme="minorHAnsi" w:cstheme="minorHAnsi"/>
          <w:sz w:val="22"/>
          <w:szCs w:val="22"/>
        </w:rPr>
        <w:t>, in </w:t>
      </w:r>
      <w:hyperlink r:id="rId73" w:history="1">
        <w:r w:rsidRPr="00964E87">
          <w:rPr>
            <w:rFonts w:asciiTheme="minorHAnsi" w:hAnsiTheme="minorHAnsi" w:cstheme="minorHAnsi"/>
            <w:sz w:val="22"/>
            <w:szCs w:val="22"/>
          </w:rPr>
          <w:t>rule 159</w:t>
        </w:r>
      </w:hyperlink>
      <w:r w:rsidRPr="00964E87">
        <w:rPr>
          <w:rFonts w:asciiTheme="minorHAnsi" w:hAnsiTheme="minorHAnsi" w:cstheme="minorHAnsi"/>
          <w:sz w:val="22"/>
          <w:szCs w:val="22"/>
        </w:rPr>
        <w:t>, in sub-rule (2), after the words “Commissioner to that effect”, the words “or on expiry of a period of one year from the date of issuance of order under sub-rule (1), whichever is earlier,” shall be inserted.</w:t>
      </w:r>
    </w:p>
    <w:p w14:paraId="50AA8728"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5. In the </w:t>
      </w:r>
      <w:hyperlink r:id="rId74" w:history="1">
        <w:r w:rsidRPr="00964E87">
          <w:rPr>
            <w:rFonts w:asciiTheme="minorHAnsi" w:hAnsiTheme="minorHAnsi" w:cstheme="minorHAnsi"/>
            <w:sz w:val="22"/>
            <w:szCs w:val="22"/>
          </w:rPr>
          <w:t>said rules</w:t>
        </w:r>
      </w:hyperlink>
      <w:r w:rsidRPr="00964E87">
        <w:rPr>
          <w:rFonts w:asciiTheme="minorHAnsi" w:hAnsiTheme="minorHAnsi" w:cstheme="minorHAnsi"/>
          <w:sz w:val="22"/>
          <w:szCs w:val="22"/>
        </w:rPr>
        <w:t>, in </w:t>
      </w:r>
      <w:hyperlink r:id="rId75" w:history="1">
        <w:r w:rsidRPr="00964E87">
          <w:rPr>
            <w:rFonts w:asciiTheme="minorHAnsi" w:hAnsiTheme="minorHAnsi" w:cstheme="minorHAnsi"/>
            <w:b/>
            <w:bCs/>
            <w:sz w:val="22"/>
            <w:szCs w:val="22"/>
          </w:rPr>
          <w:t>FORM GST REG-01</w:t>
        </w:r>
      </w:hyperlink>
      <w:r w:rsidRPr="00964E87">
        <w:rPr>
          <w:rFonts w:asciiTheme="minorHAnsi" w:hAnsiTheme="minorHAnsi" w:cstheme="minorHAnsi"/>
          <w:sz w:val="22"/>
          <w:szCs w:val="22"/>
        </w:rPr>
        <w:t>, in PART-B, in serial number 2, after clause (xiv), the following clause shall be inserted, namely:-</w:t>
      </w:r>
    </w:p>
    <w:p w14:paraId="390FDDFA"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w:t>
      </w:r>
      <w:proofErr w:type="spellStart"/>
      <w:r w:rsidRPr="00964E87">
        <w:rPr>
          <w:rFonts w:asciiTheme="minorHAnsi" w:hAnsiTheme="minorHAnsi" w:cstheme="minorHAnsi"/>
          <w:sz w:val="22"/>
          <w:szCs w:val="22"/>
        </w:rPr>
        <w:t>xiva</w:t>
      </w:r>
      <w:proofErr w:type="spellEnd"/>
      <w:r w:rsidRPr="00964E87">
        <w:rPr>
          <w:rFonts w:asciiTheme="minorHAnsi" w:hAnsiTheme="minorHAnsi" w:cstheme="minorHAnsi"/>
          <w:sz w:val="22"/>
          <w:szCs w:val="22"/>
        </w:rPr>
        <w:t>) One Person Company”.</w:t>
      </w:r>
    </w:p>
    <w:p w14:paraId="33AB2CD3" w14:textId="34FE1F65"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6. In the </w:t>
      </w:r>
      <w:hyperlink r:id="rId76" w:history="1">
        <w:r w:rsidRPr="00964E87">
          <w:rPr>
            <w:rFonts w:asciiTheme="minorHAnsi" w:hAnsiTheme="minorHAnsi" w:cstheme="minorHAnsi"/>
            <w:sz w:val="22"/>
            <w:szCs w:val="22"/>
          </w:rPr>
          <w:t>said rules</w:t>
        </w:r>
      </w:hyperlink>
      <w:r w:rsidRPr="00964E87">
        <w:rPr>
          <w:rFonts w:asciiTheme="minorHAnsi" w:hAnsiTheme="minorHAnsi" w:cstheme="minorHAnsi"/>
          <w:sz w:val="22"/>
          <w:szCs w:val="22"/>
        </w:rPr>
        <w:t>, for </w:t>
      </w:r>
      <w:hyperlink r:id="rId77" w:history="1">
        <w:r w:rsidRPr="00964E87">
          <w:rPr>
            <w:rFonts w:asciiTheme="minorHAnsi" w:hAnsiTheme="minorHAnsi" w:cstheme="minorHAnsi"/>
            <w:b/>
            <w:bCs/>
            <w:sz w:val="22"/>
            <w:szCs w:val="22"/>
          </w:rPr>
          <w:t>FORM GST REG-08</w:t>
        </w:r>
      </w:hyperlink>
      <w:r w:rsidRPr="00964E87">
        <w:rPr>
          <w:rFonts w:asciiTheme="minorHAnsi" w:hAnsiTheme="minorHAnsi" w:cstheme="minorHAnsi"/>
          <w:sz w:val="22"/>
          <w:szCs w:val="22"/>
        </w:rPr>
        <w:t>, a certain form as mentioned in the notification has been substituted.</w:t>
      </w:r>
    </w:p>
    <w:p w14:paraId="48E35805"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7. In the </w:t>
      </w:r>
      <w:hyperlink r:id="rId78" w:history="1">
        <w:r w:rsidRPr="00964E87">
          <w:rPr>
            <w:rFonts w:asciiTheme="minorHAnsi" w:hAnsiTheme="minorHAnsi" w:cstheme="minorHAnsi"/>
            <w:sz w:val="22"/>
            <w:szCs w:val="22"/>
          </w:rPr>
          <w:t>said rules</w:t>
        </w:r>
      </w:hyperlink>
      <w:r w:rsidRPr="00964E87">
        <w:rPr>
          <w:rFonts w:asciiTheme="minorHAnsi" w:hAnsiTheme="minorHAnsi" w:cstheme="minorHAnsi"/>
          <w:sz w:val="22"/>
          <w:szCs w:val="22"/>
        </w:rPr>
        <w:t>, in </w:t>
      </w:r>
      <w:hyperlink r:id="rId79" w:history="1">
        <w:r w:rsidRPr="00964E87">
          <w:rPr>
            <w:rFonts w:asciiTheme="minorHAnsi" w:hAnsiTheme="minorHAnsi" w:cstheme="minorHAnsi"/>
            <w:b/>
            <w:bCs/>
            <w:sz w:val="22"/>
            <w:szCs w:val="22"/>
          </w:rPr>
          <w:t>FORM GSTR-8</w:t>
        </w:r>
        <w:r w:rsidRPr="00964E87">
          <w:rPr>
            <w:rFonts w:asciiTheme="minorHAnsi" w:hAnsiTheme="minorHAnsi" w:cstheme="minorHAnsi"/>
            <w:sz w:val="22"/>
            <w:szCs w:val="22"/>
          </w:rPr>
          <w:t>,</w:t>
        </w:r>
      </w:hyperlink>
      <w:r w:rsidRPr="00964E87">
        <w:rPr>
          <w:rFonts w:asciiTheme="minorHAnsi" w:hAnsiTheme="minorHAnsi" w:cstheme="minorHAnsi"/>
          <w:sz w:val="22"/>
          <w:szCs w:val="22"/>
        </w:rPr>
        <w:t>-</w:t>
      </w:r>
    </w:p>
    <w:p w14:paraId="54B48897"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(a) serial number 5 shall be omitted;</w:t>
      </w:r>
    </w:p>
    <w:p w14:paraId="2CE8DB5A"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(b) for serial number 7 and entries relating thereto, the following serial number and entries shall be substituted, </w:t>
      </w:r>
      <w:proofErr w:type="gramStart"/>
      <w:r w:rsidRPr="00964E87">
        <w:rPr>
          <w:rFonts w:asciiTheme="minorHAnsi" w:hAnsiTheme="minorHAnsi" w:cstheme="minorHAnsi"/>
          <w:sz w:val="22"/>
          <w:szCs w:val="22"/>
        </w:rPr>
        <w:t>namely :</w:t>
      </w:r>
      <w:proofErr w:type="gramEnd"/>
      <w:r w:rsidRPr="00964E87">
        <w:rPr>
          <w:rFonts w:asciiTheme="minorHAnsi" w:hAnsiTheme="minorHAnsi" w:cstheme="minorHAnsi"/>
          <w:sz w:val="22"/>
          <w:szCs w:val="22"/>
        </w:rPr>
        <w:t>–</w:t>
      </w:r>
    </w:p>
    <w:p w14:paraId="7C33E502"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w:t>
      </w:r>
      <w:r w:rsidRPr="00964E87">
        <w:rPr>
          <w:rFonts w:asciiTheme="minorHAnsi" w:hAnsiTheme="minorHAnsi" w:cstheme="minorHAnsi"/>
          <w:b/>
          <w:bCs/>
          <w:sz w:val="22"/>
          <w:szCs w:val="22"/>
        </w:rPr>
        <w:t>7. Interest, late fee payable and paid</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582"/>
        <w:gridCol w:w="1506"/>
        <w:gridCol w:w="1191"/>
      </w:tblGrid>
      <w:tr w:rsidR="00964E87" w:rsidRPr="00964E87" w14:paraId="759038B9"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E56B58"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540549"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Amount payable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5B6DCD"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Amount paid</w:t>
            </w:r>
          </w:p>
        </w:tc>
      </w:tr>
      <w:tr w:rsidR="00964E87" w:rsidRPr="00964E87" w14:paraId="3F31DBF4"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DCF696"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ECA931"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238855"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3</w:t>
            </w:r>
          </w:p>
        </w:tc>
      </w:tr>
      <w:tr w:rsidR="00964E87" w:rsidRPr="00964E87" w14:paraId="20CB7614" w14:textId="77777777" w:rsidTr="00964E87">
        <w:trPr>
          <w:jc w:val="center"/>
        </w:trPr>
        <w:tc>
          <w:tcPr>
            <w:tcW w:w="0" w:type="auto"/>
            <w:gridSpan w:val="3"/>
            <w:tcBorders>
              <w:top w:val="single" w:sz="6" w:space="0" w:color="999999"/>
              <w:left w:val="single" w:sz="6" w:space="0" w:color="999999"/>
              <w:bottom w:val="single" w:sz="6" w:space="0" w:color="999999"/>
              <w:right w:val="single" w:sz="6" w:space="0" w:color="999999"/>
            </w:tcBorders>
            <w:shd w:val="clear" w:color="auto" w:fill="FFFFFF"/>
            <w:hideMark/>
          </w:tcPr>
          <w:p w14:paraId="76CFE685"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b/>
                <w:bCs/>
                <w:sz w:val="22"/>
                <w:szCs w:val="22"/>
              </w:rPr>
              <w:t>(I) Interest on account of TCS in respect of</w:t>
            </w:r>
          </w:p>
        </w:tc>
      </w:tr>
      <w:tr w:rsidR="00964E87" w:rsidRPr="00964E87" w14:paraId="59F270BF"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7D9730"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(a) Integrated tax</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1DCF93"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B10AA7"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r>
      <w:tr w:rsidR="00964E87" w:rsidRPr="00964E87" w14:paraId="402BC661"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DC458C"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(b) Central Tax</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64F6DB"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5F1816"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r>
      <w:tr w:rsidR="00964E87" w:rsidRPr="00964E87" w14:paraId="2CDDCA2C"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664E87"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(c) State/UT Tax</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DF8255"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97E94C"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r>
      <w:tr w:rsidR="00964E87" w:rsidRPr="00964E87" w14:paraId="73E5E008"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A1D15A"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b/>
                <w:bCs/>
                <w:sz w:val="22"/>
                <w:szCs w:val="22"/>
              </w:rPr>
              <w:t>(II) Late fee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E93B99"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9FFE26"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r>
      <w:tr w:rsidR="00964E87" w:rsidRPr="00964E87" w14:paraId="10D9F865"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D076C9"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(a) Central tax</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69DBCD"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223F0E"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r>
      <w:tr w:rsidR="00964E87" w:rsidRPr="00964E87" w14:paraId="5C614DEC"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1AFB48"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(b) State / UT tax</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26C2A9"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06AE81"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r>
    </w:tbl>
    <w:p w14:paraId="1BF74661"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xml:space="preserve">(c) for serial number 9 and entries relating thereto, the following serial number and entries shall be substituted, </w:t>
      </w:r>
      <w:proofErr w:type="gramStart"/>
      <w:r w:rsidRPr="00964E87">
        <w:rPr>
          <w:rFonts w:asciiTheme="minorHAnsi" w:hAnsiTheme="minorHAnsi" w:cstheme="minorHAnsi"/>
          <w:sz w:val="22"/>
          <w:szCs w:val="22"/>
        </w:rPr>
        <w:t>namely:–</w:t>
      </w:r>
      <w:proofErr w:type="gramEnd"/>
    </w:p>
    <w:p w14:paraId="7853C370"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w:t>
      </w:r>
      <w:r w:rsidRPr="00964E87">
        <w:rPr>
          <w:rFonts w:asciiTheme="minorHAnsi" w:hAnsiTheme="minorHAnsi" w:cstheme="minorHAnsi"/>
          <w:b/>
          <w:bCs/>
          <w:sz w:val="22"/>
          <w:szCs w:val="22"/>
        </w:rPr>
        <w:t>9. Debit entries in cash ledger for TCS, interest and late fee payment [to be populated after filing of statement]</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582"/>
        <w:gridCol w:w="338"/>
        <w:gridCol w:w="731"/>
        <w:gridCol w:w="747"/>
      </w:tblGrid>
      <w:tr w:rsidR="00964E87" w:rsidRPr="00964E87" w14:paraId="0763A38D"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7D957A"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DC317A"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Tax</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62EC17"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Interest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07EEDE"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Late fee</w:t>
            </w:r>
          </w:p>
        </w:tc>
      </w:tr>
      <w:tr w:rsidR="00964E87" w:rsidRPr="00964E87" w14:paraId="57DBA0CB"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861717"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30900A"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12C2CD"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C7ECFD"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4</w:t>
            </w:r>
          </w:p>
        </w:tc>
      </w:tr>
      <w:tr w:rsidR="00964E87" w:rsidRPr="00964E87" w14:paraId="320B7B80"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B46164"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(a) Integrated tax</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090467"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FAE3C6"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00DC2C"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r>
      <w:tr w:rsidR="00964E87" w:rsidRPr="00964E87" w14:paraId="54448A93"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8D9D1C"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(b) Central Tax</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D1438B"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18F573"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8D2155"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r>
      <w:tr w:rsidR="00964E87" w:rsidRPr="00964E87" w14:paraId="5BA7F3C3" w14:textId="77777777" w:rsidTr="00964E8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851B4B"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(c) State/UT Tax</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74E9AE"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35A574"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194CE6"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w:t>
            </w:r>
          </w:p>
        </w:tc>
      </w:tr>
    </w:tbl>
    <w:p w14:paraId="553F625F"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8. In the </w:t>
      </w:r>
      <w:hyperlink r:id="rId80" w:history="1">
        <w:r w:rsidRPr="00964E87">
          <w:rPr>
            <w:rFonts w:asciiTheme="minorHAnsi" w:hAnsiTheme="minorHAnsi" w:cstheme="minorHAnsi"/>
            <w:sz w:val="22"/>
            <w:szCs w:val="22"/>
          </w:rPr>
          <w:t>said rules</w:t>
        </w:r>
      </w:hyperlink>
      <w:r w:rsidRPr="00964E87">
        <w:rPr>
          <w:rFonts w:asciiTheme="minorHAnsi" w:hAnsiTheme="minorHAnsi" w:cstheme="minorHAnsi"/>
          <w:sz w:val="22"/>
          <w:szCs w:val="22"/>
        </w:rPr>
        <w:t>, in </w:t>
      </w:r>
      <w:hyperlink r:id="rId81" w:history="1">
        <w:r w:rsidRPr="00964E87">
          <w:rPr>
            <w:rFonts w:asciiTheme="minorHAnsi" w:hAnsiTheme="minorHAnsi" w:cstheme="minorHAnsi"/>
            <w:b/>
            <w:bCs/>
            <w:sz w:val="22"/>
            <w:szCs w:val="22"/>
          </w:rPr>
          <w:t>FORM GST PCT-01</w:t>
        </w:r>
      </w:hyperlink>
      <w:r w:rsidRPr="00964E87">
        <w:rPr>
          <w:rFonts w:asciiTheme="minorHAnsi" w:hAnsiTheme="minorHAnsi" w:cstheme="minorHAnsi"/>
          <w:sz w:val="22"/>
          <w:szCs w:val="22"/>
        </w:rPr>
        <w:t>, in PART-B, for serial number 4 and entries relating thereto, the following serial number 4 and entries shall be substituted, namely:-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2"/>
        <w:gridCol w:w="1261"/>
        <w:gridCol w:w="4087"/>
      </w:tblGrid>
      <w:tr w:rsidR="00964E87" w:rsidRPr="00964E87" w14:paraId="0A687696" w14:textId="77777777" w:rsidTr="00964E8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ADAAE1"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lastRenderedPageBreak/>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8167CF"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Enrolment sought: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784399"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(1) Chartered Accountant</w:t>
            </w:r>
          </w:p>
          <w:p w14:paraId="13C5FE6E"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(2) Company Secretary</w:t>
            </w:r>
          </w:p>
          <w:p w14:paraId="2DBE7E21"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(3) Cost and Management Accountant</w:t>
            </w:r>
          </w:p>
          <w:p w14:paraId="7FF98C5B"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(4) Graduate or Postgraduate or its equivalent degree in Law</w:t>
            </w:r>
          </w:p>
          <w:p w14:paraId="238A6D21"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(5) Graduate or Postgraduate or its equivalent degree in Commerce</w:t>
            </w:r>
          </w:p>
          <w:p w14:paraId="10895E63"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(6) Graduate or Postgraduate or its equivalent degree in Banking including Higher Auditing</w:t>
            </w:r>
          </w:p>
          <w:p w14:paraId="00F6B5D0"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(7) Graduate or Postgraduate or its equivalent degree in Business Administration</w:t>
            </w:r>
          </w:p>
          <w:p w14:paraId="13A9A8BC"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(8) Graduate or Postgraduate or its equivalent degree in Business Management</w:t>
            </w:r>
          </w:p>
          <w:p w14:paraId="6EBAE24D"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(9) Degree examination of any Foreign University recognized by any Indian University</w:t>
            </w:r>
          </w:p>
          <w:p w14:paraId="12889D8C"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(10) Retired Government Officials</w:t>
            </w:r>
          </w:p>
          <w:p w14:paraId="1E10BF94"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(11) Sales Tax practitioner under existing law for a period of not less than five years</w:t>
            </w:r>
          </w:p>
          <w:p w14:paraId="039261B1"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(12) Tax return preparer under existing law for a period of not less than five years</w:t>
            </w:r>
          </w:p>
          <w:p w14:paraId="21BA7D5F"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(13) Any other examination notified by Government</w:t>
            </w:r>
          </w:p>
        </w:tc>
      </w:tr>
    </w:tbl>
    <w:p w14:paraId="649A207F"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b/>
          <w:bCs/>
          <w:sz w:val="22"/>
          <w:szCs w:val="22"/>
        </w:rPr>
        <w:t>Note</w:t>
      </w:r>
      <w:r w:rsidRPr="00964E87">
        <w:rPr>
          <w:rFonts w:asciiTheme="minorHAnsi" w:hAnsiTheme="minorHAnsi" w:cstheme="minorHAnsi"/>
          <w:sz w:val="22"/>
          <w:szCs w:val="22"/>
        </w:rPr>
        <w:t>: Sr. No. (4) to (8) of the table should be from an Indian University established by any law for the time being in force</w:t>
      </w:r>
      <w:proofErr w:type="gramStart"/>
      <w:r w:rsidRPr="00964E87">
        <w:rPr>
          <w:rFonts w:asciiTheme="minorHAnsi" w:hAnsiTheme="minorHAnsi" w:cstheme="minorHAnsi"/>
          <w:sz w:val="22"/>
          <w:szCs w:val="22"/>
        </w:rPr>
        <w:t>. ”</w:t>
      </w:r>
      <w:proofErr w:type="gramEnd"/>
      <w:r w:rsidRPr="00964E87">
        <w:rPr>
          <w:rFonts w:asciiTheme="minorHAnsi" w:hAnsiTheme="minorHAnsi" w:cstheme="minorHAnsi"/>
          <w:sz w:val="22"/>
          <w:szCs w:val="22"/>
        </w:rPr>
        <w:t>;</w:t>
      </w:r>
    </w:p>
    <w:p w14:paraId="07DD9756"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9. In the </w:t>
      </w:r>
      <w:hyperlink r:id="rId82" w:history="1">
        <w:r w:rsidRPr="00964E87">
          <w:rPr>
            <w:rFonts w:asciiTheme="minorHAnsi" w:hAnsiTheme="minorHAnsi" w:cstheme="minorHAnsi"/>
            <w:sz w:val="22"/>
            <w:szCs w:val="22"/>
          </w:rPr>
          <w:t>said rules</w:t>
        </w:r>
      </w:hyperlink>
      <w:r w:rsidRPr="00964E87">
        <w:rPr>
          <w:rFonts w:asciiTheme="minorHAnsi" w:hAnsiTheme="minorHAnsi" w:cstheme="minorHAnsi"/>
          <w:sz w:val="22"/>
          <w:szCs w:val="22"/>
        </w:rPr>
        <w:t>, in </w:t>
      </w:r>
      <w:hyperlink r:id="rId83" w:history="1">
        <w:r w:rsidRPr="00964E87">
          <w:rPr>
            <w:rFonts w:asciiTheme="minorHAnsi" w:hAnsiTheme="minorHAnsi" w:cstheme="minorHAnsi"/>
            <w:b/>
            <w:bCs/>
            <w:sz w:val="22"/>
            <w:szCs w:val="22"/>
          </w:rPr>
          <w:t>FORM GST DRC-22</w:t>
        </w:r>
      </w:hyperlink>
      <w:r w:rsidRPr="00964E87">
        <w:rPr>
          <w:rFonts w:asciiTheme="minorHAnsi" w:hAnsiTheme="minorHAnsi" w:cstheme="minorHAnsi"/>
          <w:sz w:val="22"/>
          <w:szCs w:val="22"/>
        </w:rPr>
        <w:t>, after the last paragraph, the following paragraph shall be inserted, namely:–</w:t>
      </w:r>
    </w:p>
    <w:p w14:paraId="5B0360A2" w14:textId="77777777" w:rsidR="00964E87" w:rsidRPr="00964E87" w:rsidRDefault="00964E87" w:rsidP="00EA1B0F">
      <w:pPr>
        <w:pStyle w:val="NormalWeb"/>
        <w:shd w:val="clear" w:color="auto" w:fill="FFFFFF"/>
        <w:spacing w:line="276" w:lineRule="auto"/>
        <w:jc w:val="both"/>
        <w:rPr>
          <w:rFonts w:asciiTheme="minorHAnsi" w:hAnsiTheme="minorHAnsi" w:cstheme="minorHAnsi"/>
          <w:sz w:val="22"/>
          <w:szCs w:val="22"/>
        </w:rPr>
      </w:pPr>
      <w:r w:rsidRPr="00964E87">
        <w:rPr>
          <w:rFonts w:asciiTheme="minorHAnsi" w:hAnsiTheme="minorHAnsi" w:cstheme="minorHAnsi"/>
          <w:sz w:val="22"/>
          <w:szCs w:val="22"/>
        </w:rPr>
        <w:t xml:space="preserve">“This order shall cease to have effect, on the date of issuance of order in FORM GST DRC-23 by the </w:t>
      </w:r>
      <w:r w:rsidRPr="00964E87">
        <w:rPr>
          <w:rFonts w:asciiTheme="minorHAnsi" w:hAnsiTheme="minorHAnsi" w:cstheme="minorHAnsi"/>
          <w:sz w:val="22"/>
          <w:szCs w:val="22"/>
        </w:rPr>
        <w:t>Commissioner, or on the expiry of a period of one year from the date of issuance of this order, whichever is earlier.”.</w:t>
      </w:r>
    </w:p>
    <w:p w14:paraId="5ACD0E4D" w14:textId="0E6AC109" w:rsidR="0088192F" w:rsidRPr="0088192F" w:rsidRDefault="00F7361B" w:rsidP="00EA1B0F">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BB64C6">
        <w:rPr>
          <w:rFonts w:asciiTheme="minorHAnsi" w:hAnsiTheme="minorHAnsi" w:cstheme="minorHAnsi"/>
          <w:b/>
          <w:bCs/>
          <w:color w:val="212529"/>
          <w:sz w:val="22"/>
          <w:szCs w:val="22"/>
        </w:rPr>
        <w:t>notification</w:t>
      </w:r>
      <w:r w:rsidR="00964E87">
        <w:rPr>
          <w:rFonts w:asciiTheme="minorHAnsi" w:hAnsiTheme="minorHAnsi" w:cstheme="minorHAnsi"/>
          <w:b/>
          <w:bCs/>
          <w:color w:val="212529"/>
          <w:sz w:val="22"/>
          <w:szCs w:val="22"/>
        </w:rPr>
        <w:t>]</w:t>
      </w:r>
    </w:p>
    <w:p w14:paraId="46767CF2" w14:textId="77777777" w:rsidR="0088192F" w:rsidRPr="00647D75" w:rsidRDefault="0088192F" w:rsidP="00EA1B0F">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20824B84" w14:textId="3A3C573F" w:rsidR="00F873EA" w:rsidRPr="00D32138" w:rsidRDefault="00F873EA" w:rsidP="00EA1B0F">
      <w:pPr>
        <w:shd w:val="clear" w:color="auto" w:fill="8DC182"/>
        <w:tabs>
          <w:tab w:val="left" w:pos="4820"/>
        </w:tabs>
        <w:autoSpaceDE w:val="0"/>
        <w:autoSpaceDN w:val="0"/>
        <w:adjustRightInd w:val="0"/>
        <w:spacing w:after="0" w:line="276" w:lineRule="auto"/>
        <w:ind w:right="11"/>
        <w:jc w:val="both"/>
        <w:rPr>
          <w:rFonts w:cstheme="minorHAnsi"/>
          <w:b/>
          <w:bCs/>
        </w:rPr>
      </w:pPr>
      <w:r w:rsidRPr="00F873EA">
        <w:rPr>
          <w:rFonts w:cstheme="minorHAnsi"/>
          <w:b/>
          <w:bCs/>
        </w:rPr>
        <w:t>GOODS AND SERVICES TAX APPELLATE TRIBUNAL (APPOINTMENT AND CONDITIONS OF SERVICE OF PRESIDENT AND MEMBERS) RULES, 2023</w:t>
      </w:r>
    </w:p>
    <w:p w14:paraId="07416911" w14:textId="0FFD7E9A" w:rsidR="00F873EA" w:rsidRDefault="0088192F" w:rsidP="00EA1B0F">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F873EA" w:rsidRPr="00F873EA">
        <w:rPr>
          <w:rFonts w:asciiTheme="minorHAnsi" w:hAnsiTheme="minorHAnsi" w:cstheme="minorHAnsi"/>
          <w:sz w:val="22"/>
          <w:szCs w:val="22"/>
        </w:rPr>
        <w:t>G.S.R. 793(E)</w:t>
      </w:r>
      <w:r>
        <w:rPr>
          <w:rFonts w:asciiTheme="minorHAnsi" w:hAnsiTheme="minorHAnsi" w:cstheme="minorHAnsi"/>
          <w:sz w:val="22"/>
          <w:szCs w:val="22"/>
        </w:rPr>
        <w:t xml:space="preserve">-CGST dated </w:t>
      </w:r>
      <w:r w:rsidR="00F873EA">
        <w:rPr>
          <w:rFonts w:asciiTheme="minorHAnsi" w:hAnsiTheme="minorHAnsi" w:cstheme="minorHAnsi"/>
          <w:sz w:val="22"/>
          <w:szCs w:val="22"/>
        </w:rPr>
        <w:t>25</w:t>
      </w:r>
      <w:r>
        <w:rPr>
          <w:rFonts w:asciiTheme="minorHAnsi" w:hAnsiTheme="minorHAnsi" w:cstheme="minorHAnsi"/>
          <w:sz w:val="22"/>
          <w:szCs w:val="22"/>
        </w:rPr>
        <w:t xml:space="preserve">.10.2023 notified </w:t>
      </w:r>
      <w:r w:rsidR="00F873EA" w:rsidRPr="00F873EA">
        <w:rPr>
          <w:rFonts w:asciiTheme="minorHAnsi" w:hAnsiTheme="minorHAnsi" w:cstheme="minorHAnsi"/>
          <w:sz w:val="22"/>
          <w:szCs w:val="22"/>
        </w:rPr>
        <w:t>In exercise of the powers conferred by </w:t>
      </w:r>
      <w:hyperlink r:id="rId84" w:history="1">
        <w:r w:rsidR="00F873EA" w:rsidRPr="00F873EA">
          <w:rPr>
            <w:rFonts w:asciiTheme="minorHAnsi" w:hAnsiTheme="minorHAnsi" w:cstheme="minorHAnsi"/>
            <w:sz w:val="22"/>
            <w:szCs w:val="22"/>
          </w:rPr>
          <w:t>section 110</w:t>
        </w:r>
      </w:hyperlink>
      <w:r w:rsidR="00F873EA" w:rsidRPr="00F873EA">
        <w:rPr>
          <w:rFonts w:asciiTheme="minorHAnsi" w:hAnsiTheme="minorHAnsi" w:cstheme="minorHAnsi"/>
          <w:sz w:val="22"/>
          <w:szCs w:val="22"/>
        </w:rPr>
        <w:t> read with </w:t>
      </w:r>
      <w:hyperlink r:id="rId85" w:history="1">
        <w:r w:rsidR="00F873EA" w:rsidRPr="00F873EA">
          <w:rPr>
            <w:rFonts w:asciiTheme="minorHAnsi" w:hAnsiTheme="minorHAnsi" w:cstheme="minorHAnsi"/>
            <w:sz w:val="22"/>
            <w:szCs w:val="22"/>
          </w:rPr>
          <w:t>section 164</w:t>
        </w:r>
      </w:hyperlink>
      <w:r w:rsidR="00F873EA" w:rsidRPr="00F873EA">
        <w:rPr>
          <w:rFonts w:asciiTheme="minorHAnsi" w:hAnsiTheme="minorHAnsi" w:cstheme="minorHAnsi"/>
          <w:sz w:val="22"/>
          <w:szCs w:val="22"/>
        </w:rPr>
        <w:t> of the </w:t>
      </w:r>
      <w:hyperlink r:id="rId86" w:history="1">
        <w:r w:rsidR="00F873EA" w:rsidRPr="00F873EA">
          <w:rPr>
            <w:rFonts w:asciiTheme="minorHAnsi" w:hAnsiTheme="minorHAnsi" w:cstheme="minorHAnsi"/>
            <w:sz w:val="22"/>
            <w:szCs w:val="22"/>
          </w:rPr>
          <w:t>Central Goods And Services Tax Act, 2017 (12 of 2017)</w:t>
        </w:r>
      </w:hyperlink>
      <w:r w:rsidR="00F873EA" w:rsidRPr="00F873EA">
        <w:rPr>
          <w:rFonts w:asciiTheme="minorHAnsi" w:hAnsiTheme="minorHAnsi" w:cstheme="minorHAnsi"/>
          <w:sz w:val="22"/>
          <w:szCs w:val="22"/>
        </w:rPr>
        <w:t xml:space="preserve"> and in supersession of the Goods and Services Tax Appellate Tribunal (Appointment and Conditions of Service of President and Members) Rules, 2019 except as respects things done or omitted to be done before such supersession, the Central Government, on the recommendations of the Council, hereby makes </w:t>
      </w:r>
      <w:r w:rsidR="00F873EA">
        <w:rPr>
          <w:rFonts w:asciiTheme="minorHAnsi" w:hAnsiTheme="minorHAnsi" w:cstheme="minorHAnsi"/>
          <w:sz w:val="22"/>
          <w:szCs w:val="22"/>
        </w:rPr>
        <w:t xml:space="preserve">certain rules in relation of </w:t>
      </w:r>
      <w:r w:rsidR="00F873EA" w:rsidRPr="00F873EA">
        <w:rPr>
          <w:rFonts w:asciiTheme="minorHAnsi" w:hAnsiTheme="minorHAnsi" w:cstheme="minorHAnsi"/>
          <w:sz w:val="22"/>
          <w:szCs w:val="22"/>
        </w:rPr>
        <w:t>Goods and Services Tax Appellate Tribunal</w:t>
      </w:r>
      <w:r w:rsidR="00F873EA">
        <w:rPr>
          <w:rFonts w:asciiTheme="minorHAnsi" w:hAnsiTheme="minorHAnsi" w:cstheme="minorHAnsi"/>
          <w:sz w:val="22"/>
          <w:szCs w:val="22"/>
        </w:rPr>
        <w:t xml:space="preserve"> as mentioned in the notification. </w:t>
      </w:r>
    </w:p>
    <w:p w14:paraId="71C9176E" w14:textId="73685F2E" w:rsidR="00663AA3" w:rsidRDefault="0088192F" w:rsidP="00EA1B0F">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000F2D7B" w14:textId="75C69C4B" w:rsidR="00A93C4E" w:rsidRPr="00647D75" w:rsidRDefault="00A93C4E" w:rsidP="00EA1B0F">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4A9C2692" w14:textId="03E1DC83" w:rsidR="00EA1B0F" w:rsidRPr="00D32138" w:rsidRDefault="00EA1B0F" w:rsidP="00EA1B0F">
      <w:pPr>
        <w:shd w:val="clear" w:color="auto" w:fill="8DC182"/>
        <w:tabs>
          <w:tab w:val="left" w:pos="4820"/>
        </w:tabs>
        <w:autoSpaceDE w:val="0"/>
        <w:autoSpaceDN w:val="0"/>
        <w:adjustRightInd w:val="0"/>
        <w:spacing w:after="0" w:line="276" w:lineRule="auto"/>
        <w:ind w:right="11"/>
        <w:jc w:val="center"/>
        <w:rPr>
          <w:rFonts w:cstheme="minorHAnsi"/>
          <w:b/>
          <w:bCs/>
        </w:rPr>
      </w:pPr>
      <w:r w:rsidRPr="00EA1B0F">
        <w:rPr>
          <w:rFonts w:cstheme="minorHAnsi"/>
          <w:b/>
          <w:bCs/>
        </w:rPr>
        <w:t>ADVISORY RELATED TO CHANGES IN GSTR-5A</w:t>
      </w:r>
    </w:p>
    <w:p w14:paraId="5296A6E4" w14:textId="3C0899BC" w:rsidR="00A93C4E" w:rsidRDefault="00A93C4E" w:rsidP="00EA1B0F">
      <w:pPr>
        <w:pStyle w:val="NormalWeb"/>
        <w:shd w:val="clear" w:color="auto" w:fill="FFFFFF"/>
        <w:spacing w:before="240" w:beforeAutospacing="0" w:after="150" w:afterAutospacing="0"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GSTIN vide advisory dated </w:t>
      </w:r>
      <w:r w:rsidR="00EA1B0F">
        <w:rPr>
          <w:rFonts w:asciiTheme="minorHAnsi" w:hAnsiTheme="minorHAnsi" w:cstheme="minorHAnsi"/>
          <w:sz w:val="22"/>
          <w:szCs w:val="22"/>
        </w:rPr>
        <w:t>2</w:t>
      </w:r>
      <w:r>
        <w:rPr>
          <w:rFonts w:asciiTheme="minorHAnsi" w:hAnsiTheme="minorHAnsi" w:cstheme="minorHAnsi"/>
          <w:sz w:val="22"/>
          <w:szCs w:val="22"/>
        </w:rPr>
        <w:t xml:space="preserve">7.10.2023 </w:t>
      </w:r>
      <w:r w:rsidR="00EA1B0F">
        <w:rPr>
          <w:rFonts w:asciiTheme="minorHAnsi" w:hAnsiTheme="minorHAnsi" w:cstheme="minorHAnsi"/>
          <w:sz w:val="22"/>
          <w:szCs w:val="22"/>
        </w:rPr>
        <w:t xml:space="preserve">advised that </w:t>
      </w:r>
      <w:r w:rsidR="00EA1B0F" w:rsidRPr="00EA1B0F">
        <w:rPr>
          <w:rFonts w:asciiTheme="minorHAnsi" w:hAnsiTheme="minorHAnsi" w:cstheme="minorHAnsi"/>
          <w:sz w:val="22"/>
          <w:szCs w:val="22"/>
        </w:rPr>
        <w:t>Notification 51/2023 dated 29.09.2023 has introduced Table 5B in GSTR 5A w. e. f 01.10.2023. In this notification, Table 5B has been introduced to report supplies made to Registered GSTINs (B2B supplies). This would be implemented shortly at GSTN and till such time, OIDARs are advised to file the return in the existing GSTR 5A itself.</w:t>
      </w:r>
    </w:p>
    <w:p w14:paraId="0197699C" w14:textId="39B54A26" w:rsidR="00A93C4E" w:rsidRDefault="00A93C4E" w:rsidP="00EA1B0F">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advisory]</w:t>
      </w:r>
    </w:p>
    <w:p w14:paraId="6E385164" w14:textId="77777777" w:rsidR="00A93C4E" w:rsidRPr="00A93C4E" w:rsidRDefault="00A93C4E" w:rsidP="00A93C4E">
      <w:pPr>
        <w:pStyle w:val="NormalWeb"/>
        <w:shd w:val="clear" w:color="auto" w:fill="FFFFFF"/>
        <w:spacing w:before="0" w:beforeAutospacing="0" w:after="150" w:afterAutospacing="0"/>
        <w:jc w:val="both"/>
        <w:rPr>
          <w:rFonts w:asciiTheme="minorHAnsi" w:hAnsiTheme="minorHAnsi" w:cstheme="minorHAnsi"/>
          <w:sz w:val="22"/>
          <w:szCs w:val="22"/>
        </w:rPr>
      </w:pPr>
    </w:p>
    <w:p w14:paraId="2CCFECE8" w14:textId="79A2E8E5" w:rsidR="007D669E" w:rsidRPr="00647D75" w:rsidRDefault="007D669E" w:rsidP="007D669E">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227C18B8" w14:textId="6EB65C54" w:rsidR="007D669E" w:rsidRPr="00D32138" w:rsidRDefault="007D669E" w:rsidP="004E7C9A">
      <w:pPr>
        <w:shd w:val="clear" w:color="auto" w:fill="8DC182"/>
        <w:tabs>
          <w:tab w:val="left" w:pos="4820"/>
        </w:tabs>
        <w:autoSpaceDE w:val="0"/>
        <w:autoSpaceDN w:val="0"/>
        <w:adjustRightInd w:val="0"/>
        <w:spacing w:after="0" w:line="276" w:lineRule="auto"/>
        <w:ind w:right="11"/>
        <w:jc w:val="both"/>
        <w:rPr>
          <w:rFonts w:cstheme="minorHAnsi"/>
          <w:b/>
          <w:bCs/>
        </w:rPr>
      </w:pPr>
      <w:r w:rsidRPr="007D669E">
        <w:rPr>
          <w:rFonts w:cstheme="minorHAnsi"/>
          <w:b/>
          <w:bCs/>
        </w:rPr>
        <w:t>CLARIFICATION RELATING TO EXPORT OF SERVICES – SUB-CLAUSE (IV) OF THE SECTION 2 (6) OF THE IGST ACT 2017</w:t>
      </w:r>
    </w:p>
    <w:p w14:paraId="02D56ADF" w14:textId="7E1D5265" w:rsidR="00837353" w:rsidRPr="004E7C9A" w:rsidRDefault="007D669E" w:rsidP="00837353">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052B17">
        <w:rPr>
          <w:rFonts w:asciiTheme="minorHAnsi" w:hAnsiTheme="minorHAnsi" w:cstheme="minorHAnsi"/>
          <w:sz w:val="22"/>
          <w:szCs w:val="22"/>
        </w:rPr>
        <w:t xml:space="preserve">CBIC, </w:t>
      </w:r>
      <w:r>
        <w:rPr>
          <w:rFonts w:asciiTheme="minorHAnsi" w:hAnsiTheme="minorHAnsi" w:cstheme="minorHAnsi"/>
          <w:sz w:val="22"/>
          <w:szCs w:val="22"/>
        </w:rPr>
        <w:t xml:space="preserve">vide </w:t>
      </w:r>
      <w:r w:rsidR="00837353">
        <w:rPr>
          <w:rFonts w:asciiTheme="minorHAnsi" w:hAnsiTheme="minorHAnsi" w:cstheme="minorHAnsi"/>
          <w:sz w:val="22"/>
          <w:szCs w:val="22"/>
        </w:rPr>
        <w:t xml:space="preserve">Circular No. </w:t>
      </w:r>
      <w:r w:rsidR="00837353" w:rsidRPr="00837353">
        <w:rPr>
          <w:rFonts w:asciiTheme="minorHAnsi" w:hAnsiTheme="minorHAnsi" w:cstheme="minorHAnsi"/>
          <w:sz w:val="22"/>
          <w:szCs w:val="22"/>
        </w:rPr>
        <w:t>202/14/2023-GST</w:t>
      </w:r>
      <w:r w:rsidR="00837353">
        <w:rPr>
          <w:rFonts w:asciiTheme="minorHAnsi" w:hAnsiTheme="minorHAnsi" w:cstheme="minorHAnsi"/>
          <w:sz w:val="22"/>
          <w:szCs w:val="22"/>
        </w:rPr>
        <w:t xml:space="preserve"> </w:t>
      </w:r>
      <w:r>
        <w:rPr>
          <w:rFonts w:asciiTheme="minorHAnsi" w:hAnsiTheme="minorHAnsi" w:cstheme="minorHAnsi"/>
          <w:sz w:val="22"/>
          <w:szCs w:val="22"/>
        </w:rPr>
        <w:t xml:space="preserve">dated 27.10.2023 </w:t>
      </w:r>
      <w:r w:rsidR="002A4ED8">
        <w:rPr>
          <w:rFonts w:asciiTheme="minorHAnsi" w:hAnsiTheme="minorHAnsi" w:cstheme="minorHAnsi"/>
          <w:sz w:val="22"/>
          <w:szCs w:val="22"/>
        </w:rPr>
        <w:t xml:space="preserve">issued </w:t>
      </w:r>
      <w:r w:rsidR="002A4ED8" w:rsidRPr="002A4ED8">
        <w:rPr>
          <w:rFonts w:asciiTheme="minorHAnsi" w:hAnsiTheme="minorHAnsi" w:cstheme="minorHAnsi"/>
          <w:sz w:val="22"/>
          <w:szCs w:val="22"/>
        </w:rPr>
        <w:t xml:space="preserve">Clarification relating to export of services – sub-clause (iv) of the Section 2 (6) of the IGST </w:t>
      </w:r>
      <w:r w:rsidR="002A4ED8" w:rsidRPr="002A4ED8">
        <w:rPr>
          <w:rFonts w:asciiTheme="minorHAnsi" w:hAnsiTheme="minorHAnsi" w:cstheme="minorHAnsi"/>
          <w:sz w:val="22"/>
          <w:szCs w:val="22"/>
        </w:rPr>
        <w:lastRenderedPageBreak/>
        <w:t>Act 2017</w:t>
      </w:r>
      <w:r w:rsidR="002A4ED8">
        <w:rPr>
          <w:rFonts w:asciiTheme="minorHAnsi" w:hAnsiTheme="minorHAnsi" w:cstheme="minorHAnsi"/>
          <w:sz w:val="22"/>
          <w:szCs w:val="22"/>
        </w:rPr>
        <w:t xml:space="preserve">. </w:t>
      </w:r>
      <w:r w:rsidR="00837353" w:rsidRPr="004E7C9A">
        <w:rPr>
          <w:rFonts w:asciiTheme="minorHAnsi" w:hAnsiTheme="minorHAnsi" w:cstheme="minorHAnsi"/>
          <w:sz w:val="22"/>
          <w:szCs w:val="22"/>
        </w:rPr>
        <w:t>Various representations have been received requesting for clarification regarding admissibility of export remittances received in Special INR Vostro account, as permitted by RBI, for the purpose of consideration of supply of services to qualify as export of services as per the provisions of </w:t>
      </w:r>
      <w:hyperlink r:id="rId87" w:history="1">
        <w:r w:rsidR="00837353" w:rsidRPr="004E7C9A">
          <w:rPr>
            <w:rStyle w:val="Hyperlink"/>
            <w:rFonts w:asciiTheme="minorHAnsi" w:hAnsiTheme="minorHAnsi" w:cstheme="minorHAnsi"/>
            <w:color w:val="auto"/>
            <w:sz w:val="22"/>
            <w:szCs w:val="22"/>
            <w:u w:val="none"/>
          </w:rPr>
          <w:t>clause (6) of section 2</w:t>
        </w:r>
      </w:hyperlink>
      <w:r w:rsidR="00837353" w:rsidRPr="004E7C9A">
        <w:rPr>
          <w:rFonts w:asciiTheme="minorHAnsi" w:hAnsiTheme="minorHAnsi" w:cstheme="minorHAnsi"/>
          <w:sz w:val="22"/>
          <w:szCs w:val="22"/>
        </w:rPr>
        <w:t> of the </w:t>
      </w:r>
      <w:hyperlink r:id="rId88" w:history="1">
        <w:r w:rsidR="00837353" w:rsidRPr="004E7C9A">
          <w:rPr>
            <w:rStyle w:val="Hyperlink"/>
            <w:rFonts w:asciiTheme="minorHAnsi" w:hAnsiTheme="minorHAnsi" w:cstheme="minorHAnsi"/>
            <w:color w:val="auto"/>
            <w:sz w:val="22"/>
            <w:szCs w:val="22"/>
            <w:u w:val="none"/>
          </w:rPr>
          <w:t>Integrated Goods &amp; Services Tax Act, 2017</w:t>
        </w:r>
      </w:hyperlink>
      <w:r w:rsidR="00837353" w:rsidRPr="004E7C9A">
        <w:rPr>
          <w:rFonts w:asciiTheme="minorHAnsi" w:hAnsiTheme="minorHAnsi" w:cstheme="minorHAnsi"/>
          <w:sz w:val="22"/>
          <w:szCs w:val="22"/>
        </w:rPr>
        <w:t> (herein after referred to as the ‘IGST Act”).</w:t>
      </w:r>
    </w:p>
    <w:p w14:paraId="5071AA27" w14:textId="77777777" w:rsidR="00837353" w:rsidRPr="004E7C9A" w:rsidRDefault="00837353" w:rsidP="00837353">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2. The issue has been examined and to ensure uniformity in the implementation of the provisions of law across the field formations, the Board, in exercise of its powers conferred by </w:t>
      </w:r>
      <w:hyperlink r:id="rId89" w:history="1">
        <w:r w:rsidRPr="004E7C9A">
          <w:rPr>
            <w:rStyle w:val="Hyperlink"/>
            <w:rFonts w:asciiTheme="minorHAnsi" w:hAnsiTheme="minorHAnsi" w:cstheme="minorHAnsi"/>
            <w:color w:val="auto"/>
            <w:sz w:val="22"/>
            <w:szCs w:val="22"/>
            <w:u w:val="none"/>
          </w:rPr>
          <w:t>section 168 (1)</w:t>
        </w:r>
      </w:hyperlink>
      <w:r w:rsidRPr="004E7C9A">
        <w:rPr>
          <w:rFonts w:asciiTheme="minorHAnsi" w:hAnsiTheme="minorHAnsi" w:cstheme="minorHAnsi"/>
          <w:sz w:val="22"/>
          <w:szCs w:val="22"/>
        </w:rPr>
        <w:t> of the </w:t>
      </w:r>
      <w:hyperlink r:id="rId90" w:history="1">
        <w:r w:rsidRPr="004E7C9A">
          <w:rPr>
            <w:rStyle w:val="Hyperlink"/>
            <w:rFonts w:asciiTheme="minorHAnsi" w:hAnsiTheme="minorHAnsi" w:cstheme="minorHAnsi"/>
            <w:color w:val="auto"/>
            <w:sz w:val="22"/>
            <w:szCs w:val="22"/>
            <w:u w:val="none"/>
          </w:rPr>
          <w:t>Central Goods &amp; Services Tax Act, 2017</w:t>
        </w:r>
      </w:hyperlink>
      <w:r w:rsidRPr="004E7C9A">
        <w:rPr>
          <w:rFonts w:asciiTheme="minorHAnsi" w:hAnsiTheme="minorHAnsi" w:cstheme="minorHAnsi"/>
          <w:sz w:val="22"/>
          <w:szCs w:val="22"/>
        </w:rPr>
        <w:t> (herein after referred to as the ‘CGST Act”), hereby clarifies the issue as under:</w:t>
      </w:r>
    </w:p>
    <w:p w14:paraId="33997C67" w14:textId="77777777" w:rsidR="00837353" w:rsidRPr="004E7C9A" w:rsidRDefault="00837353" w:rsidP="00837353">
      <w:pPr>
        <w:pStyle w:val="NormalWeb"/>
        <w:shd w:val="clear" w:color="auto" w:fill="FFFFFF"/>
        <w:jc w:val="both"/>
        <w:rPr>
          <w:rFonts w:asciiTheme="minorHAnsi" w:hAnsiTheme="minorHAnsi" w:cstheme="minorHAnsi"/>
          <w:sz w:val="22"/>
          <w:szCs w:val="22"/>
        </w:rPr>
      </w:pPr>
      <w:r w:rsidRPr="004E7C9A">
        <w:rPr>
          <w:rStyle w:val="Strong"/>
          <w:rFonts w:asciiTheme="minorHAnsi" w:hAnsiTheme="minorHAnsi" w:cstheme="minorHAnsi"/>
          <w:sz w:val="22"/>
          <w:szCs w:val="22"/>
        </w:rPr>
        <w:t>3. Relevant legal provisions:</w:t>
      </w:r>
    </w:p>
    <w:p w14:paraId="22464AEB" w14:textId="77777777" w:rsidR="00837353" w:rsidRPr="004E7C9A" w:rsidRDefault="00837353" w:rsidP="00837353">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3.1 Export of services has been defined under </w:t>
      </w:r>
      <w:hyperlink r:id="rId91" w:history="1">
        <w:r w:rsidRPr="004E7C9A">
          <w:rPr>
            <w:rStyle w:val="Hyperlink"/>
            <w:rFonts w:asciiTheme="minorHAnsi" w:hAnsiTheme="minorHAnsi" w:cstheme="minorHAnsi"/>
            <w:color w:val="auto"/>
            <w:sz w:val="22"/>
            <w:szCs w:val="22"/>
            <w:u w:val="none"/>
          </w:rPr>
          <w:t>clause (6) of section 2</w:t>
        </w:r>
      </w:hyperlink>
      <w:r w:rsidRPr="004E7C9A">
        <w:rPr>
          <w:rFonts w:asciiTheme="minorHAnsi" w:hAnsiTheme="minorHAnsi" w:cstheme="minorHAnsi"/>
          <w:sz w:val="22"/>
          <w:szCs w:val="22"/>
        </w:rPr>
        <w:t> of </w:t>
      </w:r>
      <w:hyperlink r:id="rId92"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xml:space="preserve"> As per the said definition, any supply of services needs to </w:t>
      </w:r>
      <w:proofErr w:type="spellStart"/>
      <w:r w:rsidRPr="004E7C9A">
        <w:rPr>
          <w:rFonts w:asciiTheme="minorHAnsi" w:hAnsiTheme="minorHAnsi" w:cstheme="minorHAnsi"/>
          <w:sz w:val="22"/>
          <w:szCs w:val="22"/>
        </w:rPr>
        <w:t>fulfill</w:t>
      </w:r>
      <w:proofErr w:type="spellEnd"/>
      <w:r w:rsidRPr="004E7C9A">
        <w:rPr>
          <w:rFonts w:asciiTheme="minorHAnsi" w:hAnsiTheme="minorHAnsi" w:cstheme="minorHAnsi"/>
          <w:sz w:val="22"/>
          <w:szCs w:val="22"/>
        </w:rPr>
        <w:t xml:space="preserve"> five conditions for it to qualify as export of services. </w:t>
      </w:r>
      <w:hyperlink r:id="rId93" w:history="1">
        <w:r w:rsidRPr="004E7C9A">
          <w:rPr>
            <w:rStyle w:val="Hyperlink"/>
            <w:rFonts w:asciiTheme="minorHAnsi" w:hAnsiTheme="minorHAnsi" w:cstheme="minorHAnsi"/>
            <w:color w:val="auto"/>
            <w:sz w:val="22"/>
            <w:szCs w:val="22"/>
            <w:u w:val="none"/>
          </w:rPr>
          <w:t>Clause (6) of section 2</w:t>
        </w:r>
      </w:hyperlink>
      <w:r w:rsidRPr="004E7C9A">
        <w:rPr>
          <w:rFonts w:asciiTheme="minorHAnsi" w:hAnsiTheme="minorHAnsi" w:cstheme="minorHAnsi"/>
          <w:sz w:val="22"/>
          <w:szCs w:val="22"/>
        </w:rPr>
        <w:t> of the </w:t>
      </w:r>
      <w:hyperlink r:id="rId94" w:history="1">
        <w:r w:rsidRPr="004E7C9A">
          <w:rPr>
            <w:rStyle w:val="Hyperlink"/>
            <w:rFonts w:asciiTheme="minorHAnsi" w:hAnsiTheme="minorHAnsi" w:cstheme="minorHAnsi"/>
            <w:color w:val="auto"/>
            <w:sz w:val="22"/>
            <w:szCs w:val="22"/>
            <w:u w:val="none"/>
          </w:rPr>
          <w:t>IGST Act </w:t>
        </w:r>
      </w:hyperlink>
      <w:r w:rsidRPr="004E7C9A">
        <w:rPr>
          <w:rFonts w:asciiTheme="minorHAnsi" w:hAnsiTheme="minorHAnsi" w:cstheme="minorHAnsi"/>
          <w:sz w:val="22"/>
          <w:szCs w:val="22"/>
        </w:rPr>
        <w:t>is reproduced below for reference:</w:t>
      </w:r>
    </w:p>
    <w:p w14:paraId="7DB4E87E" w14:textId="77777777" w:rsidR="00837353" w:rsidRPr="004E7C9A" w:rsidRDefault="00837353" w:rsidP="004E7C9A">
      <w:pPr>
        <w:pStyle w:val="NormalWeb"/>
        <w:shd w:val="clear" w:color="auto" w:fill="FFFFFF"/>
        <w:ind w:left="284"/>
        <w:jc w:val="both"/>
        <w:rPr>
          <w:rFonts w:asciiTheme="minorHAnsi" w:hAnsiTheme="minorHAnsi" w:cstheme="minorHAnsi"/>
          <w:sz w:val="22"/>
          <w:szCs w:val="22"/>
        </w:rPr>
      </w:pPr>
      <w:r w:rsidRPr="004E7C9A">
        <w:rPr>
          <w:rFonts w:asciiTheme="minorHAnsi" w:hAnsiTheme="minorHAnsi" w:cstheme="minorHAnsi"/>
          <w:i/>
          <w:iCs/>
          <w:sz w:val="22"/>
          <w:szCs w:val="22"/>
        </w:rPr>
        <w:t>“(6) “export of services” means the supply of any service when, –</w:t>
      </w:r>
    </w:p>
    <w:p w14:paraId="204822C9" w14:textId="77777777" w:rsidR="00837353" w:rsidRPr="004E7C9A" w:rsidRDefault="00837353" w:rsidP="004E7C9A">
      <w:pPr>
        <w:pStyle w:val="NormalWeb"/>
        <w:shd w:val="clear" w:color="auto" w:fill="FFFFFF"/>
        <w:ind w:left="284"/>
        <w:jc w:val="both"/>
        <w:rPr>
          <w:rFonts w:asciiTheme="minorHAnsi" w:hAnsiTheme="minorHAnsi" w:cstheme="minorHAnsi"/>
          <w:sz w:val="22"/>
          <w:szCs w:val="22"/>
        </w:rPr>
      </w:pPr>
      <w:r w:rsidRPr="004E7C9A">
        <w:rPr>
          <w:rFonts w:asciiTheme="minorHAnsi" w:hAnsiTheme="minorHAnsi" w:cstheme="minorHAnsi"/>
          <w:i/>
          <w:iCs/>
          <w:sz w:val="22"/>
          <w:szCs w:val="22"/>
        </w:rPr>
        <w:t>(</w:t>
      </w:r>
      <w:proofErr w:type="spellStart"/>
      <w:r w:rsidRPr="004E7C9A">
        <w:rPr>
          <w:rFonts w:asciiTheme="minorHAnsi" w:hAnsiTheme="minorHAnsi" w:cstheme="minorHAnsi"/>
          <w:i/>
          <w:iCs/>
          <w:sz w:val="22"/>
          <w:szCs w:val="22"/>
        </w:rPr>
        <w:t>i</w:t>
      </w:r>
      <w:proofErr w:type="spellEnd"/>
      <w:r w:rsidRPr="004E7C9A">
        <w:rPr>
          <w:rFonts w:asciiTheme="minorHAnsi" w:hAnsiTheme="minorHAnsi" w:cstheme="minorHAnsi"/>
          <w:i/>
          <w:iCs/>
          <w:sz w:val="22"/>
          <w:szCs w:val="22"/>
        </w:rPr>
        <w:t xml:space="preserve">) the supplier of service is located in </w:t>
      </w:r>
      <w:proofErr w:type="gramStart"/>
      <w:r w:rsidRPr="004E7C9A">
        <w:rPr>
          <w:rFonts w:asciiTheme="minorHAnsi" w:hAnsiTheme="minorHAnsi" w:cstheme="minorHAnsi"/>
          <w:i/>
          <w:iCs/>
          <w:sz w:val="22"/>
          <w:szCs w:val="22"/>
        </w:rPr>
        <w:t>India;</w:t>
      </w:r>
      <w:proofErr w:type="gramEnd"/>
    </w:p>
    <w:p w14:paraId="0A6B39FC" w14:textId="77777777" w:rsidR="00837353" w:rsidRPr="004E7C9A" w:rsidRDefault="00837353" w:rsidP="004E7C9A">
      <w:pPr>
        <w:pStyle w:val="NormalWeb"/>
        <w:shd w:val="clear" w:color="auto" w:fill="FFFFFF"/>
        <w:ind w:left="284"/>
        <w:jc w:val="both"/>
        <w:rPr>
          <w:rFonts w:asciiTheme="minorHAnsi" w:hAnsiTheme="minorHAnsi" w:cstheme="minorHAnsi"/>
          <w:sz w:val="22"/>
          <w:szCs w:val="22"/>
        </w:rPr>
      </w:pPr>
      <w:r w:rsidRPr="004E7C9A">
        <w:rPr>
          <w:rFonts w:asciiTheme="minorHAnsi" w:hAnsiTheme="minorHAnsi" w:cstheme="minorHAnsi"/>
          <w:i/>
          <w:iCs/>
          <w:sz w:val="22"/>
          <w:szCs w:val="22"/>
        </w:rPr>
        <w:t xml:space="preserve">(ii) the recipient of service is located outside </w:t>
      </w:r>
      <w:proofErr w:type="gramStart"/>
      <w:r w:rsidRPr="004E7C9A">
        <w:rPr>
          <w:rFonts w:asciiTheme="minorHAnsi" w:hAnsiTheme="minorHAnsi" w:cstheme="minorHAnsi"/>
          <w:i/>
          <w:iCs/>
          <w:sz w:val="22"/>
          <w:szCs w:val="22"/>
        </w:rPr>
        <w:t>India;</w:t>
      </w:r>
      <w:proofErr w:type="gramEnd"/>
    </w:p>
    <w:p w14:paraId="4E9C3E88" w14:textId="77777777" w:rsidR="00837353" w:rsidRPr="004E7C9A" w:rsidRDefault="00837353" w:rsidP="004E7C9A">
      <w:pPr>
        <w:pStyle w:val="NormalWeb"/>
        <w:shd w:val="clear" w:color="auto" w:fill="FFFFFF"/>
        <w:ind w:left="284"/>
        <w:jc w:val="both"/>
        <w:rPr>
          <w:rFonts w:asciiTheme="minorHAnsi" w:hAnsiTheme="minorHAnsi" w:cstheme="minorHAnsi"/>
          <w:sz w:val="22"/>
          <w:szCs w:val="22"/>
        </w:rPr>
      </w:pPr>
      <w:r w:rsidRPr="004E7C9A">
        <w:rPr>
          <w:rFonts w:asciiTheme="minorHAnsi" w:hAnsiTheme="minorHAnsi" w:cstheme="minorHAnsi"/>
          <w:i/>
          <w:iCs/>
          <w:sz w:val="22"/>
          <w:szCs w:val="22"/>
        </w:rPr>
        <w:t xml:space="preserve">(iii) the place of supply of service is outside </w:t>
      </w:r>
      <w:proofErr w:type="gramStart"/>
      <w:r w:rsidRPr="004E7C9A">
        <w:rPr>
          <w:rFonts w:asciiTheme="minorHAnsi" w:hAnsiTheme="minorHAnsi" w:cstheme="minorHAnsi"/>
          <w:i/>
          <w:iCs/>
          <w:sz w:val="22"/>
          <w:szCs w:val="22"/>
        </w:rPr>
        <w:t>India;</w:t>
      </w:r>
      <w:proofErr w:type="gramEnd"/>
    </w:p>
    <w:p w14:paraId="5B17B3E8" w14:textId="77777777" w:rsidR="00837353" w:rsidRPr="004E7C9A" w:rsidRDefault="00837353" w:rsidP="004E7C9A">
      <w:pPr>
        <w:pStyle w:val="NormalWeb"/>
        <w:shd w:val="clear" w:color="auto" w:fill="FFFFFF"/>
        <w:ind w:left="284"/>
        <w:jc w:val="both"/>
        <w:rPr>
          <w:rFonts w:asciiTheme="minorHAnsi" w:hAnsiTheme="minorHAnsi" w:cstheme="minorHAnsi"/>
          <w:sz w:val="22"/>
          <w:szCs w:val="22"/>
        </w:rPr>
      </w:pPr>
      <w:r w:rsidRPr="004E7C9A">
        <w:rPr>
          <w:rFonts w:asciiTheme="minorHAnsi" w:hAnsiTheme="minorHAnsi" w:cstheme="minorHAnsi"/>
          <w:i/>
          <w:iCs/>
          <w:sz w:val="22"/>
          <w:szCs w:val="22"/>
        </w:rPr>
        <w:t>(iv) </w:t>
      </w:r>
      <w:r w:rsidRPr="004E7C9A">
        <w:rPr>
          <w:rStyle w:val="Strong"/>
          <w:rFonts w:asciiTheme="minorHAnsi" w:hAnsiTheme="minorHAnsi" w:cstheme="minorHAnsi"/>
          <w:i/>
          <w:iCs/>
          <w:sz w:val="22"/>
          <w:szCs w:val="22"/>
        </w:rPr>
        <w:t>the payment for such service has been received by the supplier of service in convertible foreign exchange or in Indian rupees wherever permitted by the Reserve Bank of India; and</w:t>
      </w:r>
    </w:p>
    <w:p w14:paraId="375DB694" w14:textId="77777777" w:rsidR="00837353" w:rsidRPr="004E7C9A" w:rsidRDefault="00837353" w:rsidP="004E7C9A">
      <w:pPr>
        <w:pStyle w:val="NormalWeb"/>
        <w:shd w:val="clear" w:color="auto" w:fill="FFFFFF"/>
        <w:ind w:left="284"/>
        <w:jc w:val="both"/>
        <w:rPr>
          <w:rFonts w:asciiTheme="minorHAnsi" w:hAnsiTheme="minorHAnsi" w:cstheme="minorHAnsi"/>
          <w:sz w:val="22"/>
          <w:szCs w:val="22"/>
        </w:rPr>
      </w:pPr>
      <w:r w:rsidRPr="004E7C9A">
        <w:rPr>
          <w:rFonts w:asciiTheme="minorHAnsi" w:hAnsiTheme="minorHAnsi" w:cstheme="minorHAnsi"/>
          <w:i/>
          <w:iCs/>
          <w:sz w:val="22"/>
          <w:szCs w:val="22"/>
        </w:rPr>
        <w:t>(v) the supplier of service and the recipient of service are not merely establishments of a distinct person in accordance with Explanation 1 in section 8;”</w:t>
      </w:r>
    </w:p>
    <w:p w14:paraId="213229CE" w14:textId="77777777" w:rsidR="00837353" w:rsidRPr="004E7C9A" w:rsidRDefault="00837353" w:rsidP="00837353">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3.2 One of the conditions mentioned in </w:t>
      </w:r>
      <w:hyperlink r:id="rId95" w:history="1">
        <w:r w:rsidRPr="004E7C9A">
          <w:rPr>
            <w:rStyle w:val="Hyperlink"/>
            <w:rFonts w:asciiTheme="minorHAnsi" w:hAnsiTheme="minorHAnsi" w:cstheme="minorHAnsi"/>
            <w:color w:val="auto"/>
            <w:sz w:val="22"/>
            <w:szCs w:val="22"/>
            <w:u w:val="none"/>
          </w:rPr>
          <w:t>sub-clause (iv) of Section 2(6)</w:t>
        </w:r>
      </w:hyperlink>
      <w:r w:rsidRPr="004E7C9A">
        <w:rPr>
          <w:rFonts w:asciiTheme="minorHAnsi" w:hAnsiTheme="minorHAnsi" w:cstheme="minorHAnsi"/>
          <w:sz w:val="22"/>
          <w:szCs w:val="22"/>
        </w:rPr>
        <w:t> of the </w:t>
      </w:r>
      <w:hyperlink r:id="rId96"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is that the payment for such service has been received by the supplier of service in convertible foreign exchange or in Indian rupees wherever permitted by the Reserve Bank of India.</w:t>
      </w:r>
    </w:p>
    <w:p w14:paraId="1C7A75BE" w14:textId="77777777" w:rsidR="00837353" w:rsidRPr="004E7C9A" w:rsidRDefault="00837353" w:rsidP="00837353">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3.3 Reference is invited to RBI’s </w:t>
      </w:r>
      <w:hyperlink r:id="rId97" w:history="1">
        <w:r w:rsidRPr="004E7C9A">
          <w:rPr>
            <w:rStyle w:val="Hyperlink"/>
            <w:rFonts w:asciiTheme="minorHAnsi" w:hAnsiTheme="minorHAnsi" w:cstheme="minorHAnsi"/>
            <w:b/>
            <w:bCs/>
            <w:i/>
            <w:iCs/>
            <w:color w:val="auto"/>
            <w:sz w:val="22"/>
            <w:szCs w:val="22"/>
            <w:u w:val="none"/>
          </w:rPr>
          <w:t>A.P. (DIR Series) Circular No.10 dated 11th July, 2022</w:t>
        </w:r>
        <w:r w:rsidRPr="004E7C9A">
          <w:rPr>
            <w:rStyle w:val="Hyperlink"/>
            <w:rFonts w:asciiTheme="minorHAnsi" w:hAnsiTheme="minorHAnsi" w:cstheme="minorHAnsi"/>
            <w:b/>
            <w:bCs/>
            <w:color w:val="auto"/>
            <w:sz w:val="22"/>
            <w:szCs w:val="22"/>
            <w:u w:val="none"/>
          </w:rPr>
          <w:t> </w:t>
        </w:r>
      </w:hyperlink>
      <w:r w:rsidRPr="004E7C9A">
        <w:rPr>
          <w:rStyle w:val="Strong"/>
          <w:rFonts w:asciiTheme="minorHAnsi" w:hAnsiTheme="minorHAnsi" w:cstheme="minorHAnsi"/>
          <w:sz w:val="22"/>
          <w:szCs w:val="22"/>
        </w:rPr>
        <w:t>regarding International Trade Settlement in Indian Rupees (INR),</w:t>
      </w:r>
      <w:r w:rsidRPr="004E7C9A">
        <w:rPr>
          <w:rFonts w:asciiTheme="minorHAnsi" w:hAnsiTheme="minorHAnsi" w:cstheme="minorHAnsi"/>
          <w:sz w:val="22"/>
          <w:szCs w:val="22"/>
        </w:rPr>
        <w:t xml:space="preserve"> vide which it has been clarified that to promote growth of global trade with </w:t>
      </w:r>
      <w:r w:rsidRPr="004E7C9A">
        <w:rPr>
          <w:rFonts w:asciiTheme="minorHAnsi" w:hAnsiTheme="minorHAnsi" w:cstheme="minorHAnsi"/>
          <w:sz w:val="22"/>
          <w:szCs w:val="22"/>
        </w:rPr>
        <w:t>emphasis on exports from India and to support the increasing interest of global trading community in INR, it has been decided to put in place an additional arrangement for invoicing, payment, and settlement of exports / imports in INR. Before putting in place this mechanism, AD banks shall require prior approval from the Foreign Exchange Department of Reserve Bank of India, Central Office at Mumbai. Para 3 of the Circular is reproduced below:</w:t>
      </w:r>
    </w:p>
    <w:p w14:paraId="2103AC74" w14:textId="77777777" w:rsidR="00837353" w:rsidRPr="004E7C9A" w:rsidRDefault="00837353" w:rsidP="004E7C9A">
      <w:pPr>
        <w:pStyle w:val="NormalWeb"/>
        <w:shd w:val="clear" w:color="auto" w:fill="FFFFFF"/>
        <w:ind w:left="284"/>
        <w:jc w:val="both"/>
        <w:rPr>
          <w:rFonts w:asciiTheme="minorHAnsi" w:hAnsiTheme="minorHAnsi" w:cstheme="minorHAnsi"/>
          <w:sz w:val="22"/>
          <w:szCs w:val="22"/>
        </w:rPr>
      </w:pPr>
      <w:r w:rsidRPr="004E7C9A">
        <w:rPr>
          <w:rFonts w:asciiTheme="minorHAnsi" w:hAnsiTheme="minorHAnsi" w:cstheme="minorHAnsi"/>
          <w:i/>
          <w:iCs/>
          <w:sz w:val="22"/>
          <w:szCs w:val="22"/>
        </w:rPr>
        <w:t>“3. </w:t>
      </w:r>
      <w:r w:rsidRPr="004E7C9A">
        <w:rPr>
          <w:rStyle w:val="Strong"/>
          <w:rFonts w:asciiTheme="minorHAnsi" w:hAnsiTheme="minorHAnsi" w:cstheme="minorHAnsi"/>
          <w:i/>
          <w:iCs/>
          <w:sz w:val="22"/>
          <w:szCs w:val="22"/>
        </w:rPr>
        <w:t>In terms of Regulation 7(1) of Foreign Exchange Management (Deposit) Regulations, 2016, AD banks in India have been permitted to open Rupee Vostro Accounts</w:t>
      </w:r>
      <w:r w:rsidRPr="004E7C9A">
        <w:rPr>
          <w:rFonts w:asciiTheme="minorHAnsi" w:hAnsiTheme="minorHAnsi" w:cstheme="minorHAnsi"/>
          <w:i/>
          <w:iCs/>
          <w:sz w:val="22"/>
          <w:szCs w:val="22"/>
        </w:rPr>
        <w:t xml:space="preserve">. Accordingly, for settlement of trade transactions with any country, AD bank in India may open Special Rupee Vostro Accounts of correspondent bank/s of the partner trading country. </w:t>
      </w:r>
      <w:proofErr w:type="gramStart"/>
      <w:r w:rsidRPr="004E7C9A">
        <w:rPr>
          <w:rFonts w:asciiTheme="minorHAnsi" w:hAnsiTheme="minorHAnsi" w:cstheme="minorHAnsi"/>
          <w:i/>
          <w:iCs/>
          <w:sz w:val="22"/>
          <w:szCs w:val="22"/>
        </w:rPr>
        <w:t>In order to</w:t>
      </w:r>
      <w:proofErr w:type="gramEnd"/>
      <w:r w:rsidRPr="004E7C9A">
        <w:rPr>
          <w:rFonts w:asciiTheme="minorHAnsi" w:hAnsiTheme="minorHAnsi" w:cstheme="minorHAnsi"/>
          <w:i/>
          <w:iCs/>
          <w:sz w:val="22"/>
          <w:szCs w:val="22"/>
        </w:rPr>
        <w:t xml:space="preserve"> allow settlement of international trade transactions through this arrangement, it has been decided that:</w:t>
      </w:r>
    </w:p>
    <w:p w14:paraId="24FB9AFC" w14:textId="77777777" w:rsidR="00837353" w:rsidRPr="004E7C9A" w:rsidRDefault="00837353" w:rsidP="004E7C9A">
      <w:pPr>
        <w:pStyle w:val="NormalWeb"/>
        <w:shd w:val="clear" w:color="auto" w:fill="FFFFFF"/>
        <w:ind w:left="284"/>
        <w:jc w:val="both"/>
        <w:rPr>
          <w:rFonts w:asciiTheme="minorHAnsi" w:hAnsiTheme="minorHAnsi" w:cstheme="minorHAnsi"/>
          <w:sz w:val="22"/>
          <w:szCs w:val="22"/>
        </w:rPr>
      </w:pPr>
      <w:r w:rsidRPr="004E7C9A">
        <w:rPr>
          <w:rFonts w:asciiTheme="minorHAnsi" w:hAnsiTheme="minorHAnsi" w:cstheme="minorHAnsi"/>
          <w:i/>
          <w:iCs/>
          <w:sz w:val="22"/>
          <w:szCs w:val="22"/>
        </w:rPr>
        <w:t>(a) Indian importers undertaking imports through this mechanism shall make payment in INR which shall be credited into the Special Vostro account of the correspondent bank of the partner country, against the invoices for the supply of goods or services from the overseas seller /supplier.</w:t>
      </w:r>
    </w:p>
    <w:p w14:paraId="63757BE7" w14:textId="77777777" w:rsidR="00837353" w:rsidRPr="004E7C9A" w:rsidRDefault="00837353" w:rsidP="004E7C9A">
      <w:pPr>
        <w:pStyle w:val="NormalWeb"/>
        <w:shd w:val="clear" w:color="auto" w:fill="FFFFFF"/>
        <w:ind w:left="284"/>
        <w:jc w:val="both"/>
        <w:rPr>
          <w:rFonts w:asciiTheme="minorHAnsi" w:hAnsiTheme="minorHAnsi" w:cstheme="minorHAnsi"/>
          <w:sz w:val="22"/>
          <w:szCs w:val="22"/>
        </w:rPr>
      </w:pPr>
      <w:r w:rsidRPr="004E7C9A">
        <w:rPr>
          <w:rStyle w:val="Strong"/>
          <w:rFonts w:asciiTheme="minorHAnsi" w:hAnsiTheme="minorHAnsi" w:cstheme="minorHAnsi"/>
          <w:i/>
          <w:iCs/>
          <w:sz w:val="22"/>
          <w:szCs w:val="22"/>
        </w:rPr>
        <w:t>(b) Indian exporters, undertaking exports of goods and services through this mechanism, shall be paid the export proceeds in INR from the balances in the designated Special Vostro account of the correspondent bank of the partner country.”</w:t>
      </w:r>
    </w:p>
    <w:p w14:paraId="2D1F3C43" w14:textId="77777777" w:rsidR="00837353" w:rsidRPr="004E7C9A" w:rsidRDefault="00837353" w:rsidP="00837353">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3.4 Reference is also invited to </w:t>
      </w:r>
      <w:hyperlink r:id="rId98" w:history="1">
        <w:r w:rsidRPr="004E7C9A">
          <w:rPr>
            <w:rStyle w:val="Hyperlink"/>
            <w:rFonts w:asciiTheme="minorHAnsi" w:hAnsiTheme="minorHAnsi" w:cstheme="minorHAnsi"/>
            <w:color w:val="auto"/>
            <w:sz w:val="22"/>
            <w:szCs w:val="22"/>
            <w:u w:val="none"/>
          </w:rPr>
          <w:t>Para 2.52 (d)</w:t>
        </w:r>
      </w:hyperlink>
      <w:r w:rsidRPr="004E7C9A">
        <w:rPr>
          <w:rFonts w:asciiTheme="minorHAnsi" w:hAnsiTheme="minorHAnsi" w:cstheme="minorHAnsi"/>
          <w:sz w:val="22"/>
          <w:szCs w:val="22"/>
        </w:rPr>
        <w:t> of chapter related to General Provisions Regarding Imports and Exports of the </w:t>
      </w:r>
      <w:hyperlink r:id="rId99" w:history="1">
        <w:r w:rsidRPr="004E7C9A">
          <w:rPr>
            <w:rStyle w:val="Hyperlink"/>
            <w:rFonts w:asciiTheme="minorHAnsi" w:hAnsiTheme="minorHAnsi" w:cstheme="minorHAnsi"/>
            <w:color w:val="auto"/>
            <w:sz w:val="22"/>
            <w:szCs w:val="22"/>
            <w:u w:val="none"/>
          </w:rPr>
          <w:t>Foreign Trade Policy (FTP) 2023</w:t>
        </w:r>
      </w:hyperlink>
      <w:r w:rsidRPr="004E7C9A">
        <w:rPr>
          <w:rFonts w:asciiTheme="minorHAnsi" w:hAnsiTheme="minorHAnsi" w:cstheme="minorHAnsi"/>
          <w:sz w:val="22"/>
          <w:szCs w:val="22"/>
        </w:rPr>
        <w:t>, which has come into force from 01.04.2023, which specifies that:</w:t>
      </w:r>
    </w:p>
    <w:p w14:paraId="2257AD09" w14:textId="77777777" w:rsidR="00837353" w:rsidRPr="004E7C9A" w:rsidRDefault="00837353" w:rsidP="004E7C9A">
      <w:pPr>
        <w:pStyle w:val="NormalWeb"/>
        <w:shd w:val="clear" w:color="auto" w:fill="FFFFFF"/>
        <w:ind w:left="142"/>
        <w:jc w:val="both"/>
        <w:rPr>
          <w:rFonts w:asciiTheme="minorHAnsi" w:hAnsiTheme="minorHAnsi" w:cstheme="minorHAnsi"/>
          <w:sz w:val="22"/>
          <w:szCs w:val="22"/>
        </w:rPr>
      </w:pPr>
      <w:r w:rsidRPr="004E7C9A">
        <w:rPr>
          <w:rFonts w:asciiTheme="minorHAnsi" w:hAnsiTheme="minorHAnsi" w:cstheme="minorHAnsi"/>
          <w:i/>
          <w:iCs/>
          <w:sz w:val="22"/>
          <w:szCs w:val="22"/>
        </w:rPr>
        <w:t>Para 2.52 (d) </w:t>
      </w:r>
      <w:r w:rsidRPr="004E7C9A">
        <w:rPr>
          <w:rStyle w:val="Strong"/>
          <w:rFonts w:asciiTheme="minorHAnsi" w:hAnsiTheme="minorHAnsi" w:cstheme="minorHAnsi"/>
          <w:i/>
          <w:iCs/>
          <w:sz w:val="22"/>
          <w:szCs w:val="22"/>
        </w:rPr>
        <w:t xml:space="preserve">Invoicing, payment and settlement of exports and imports is also permissible in INR subject to compliances as under RBI’s A.P. (DIR Series) Circular No.10 dated 11th </w:t>
      </w:r>
      <w:proofErr w:type="gramStart"/>
      <w:r w:rsidRPr="004E7C9A">
        <w:rPr>
          <w:rStyle w:val="Strong"/>
          <w:rFonts w:asciiTheme="minorHAnsi" w:hAnsiTheme="minorHAnsi" w:cstheme="minorHAnsi"/>
          <w:i/>
          <w:iCs/>
          <w:sz w:val="22"/>
          <w:szCs w:val="22"/>
        </w:rPr>
        <w:t>July,</w:t>
      </w:r>
      <w:proofErr w:type="gramEnd"/>
      <w:r w:rsidRPr="004E7C9A">
        <w:rPr>
          <w:rStyle w:val="Strong"/>
          <w:rFonts w:asciiTheme="minorHAnsi" w:hAnsiTheme="minorHAnsi" w:cstheme="minorHAnsi"/>
          <w:i/>
          <w:iCs/>
          <w:sz w:val="22"/>
          <w:szCs w:val="22"/>
        </w:rPr>
        <w:t xml:space="preserve"> 2022. Accordingly, settlement of trade transactions in INR shall take place through the Special Rupee Vostro Accounts</w:t>
      </w:r>
      <w:r w:rsidRPr="004E7C9A">
        <w:rPr>
          <w:rFonts w:asciiTheme="minorHAnsi" w:hAnsiTheme="minorHAnsi" w:cstheme="minorHAnsi"/>
          <w:i/>
          <w:iCs/>
          <w:sz w:val="22"/>
          <w:szCs w:val="22"/>
        </w:rPr>
        <w:t> opened by AD banks in India as permitted under Regulation 7(1) of Foreign Exchange Management (Deposit) Regulations, 2016, </w:t>
      </w:r>
      <w:r w:rsidRPr="004E7C9A">
        <w:rPr>
          <w:rStyle w:val="Strong"/>
          <w:rFonts w:asciiTheme="minorHAnsi" w:hAnsiTheme="minorHAnsi" w:cstheme="minorHAnsi"/>
          <w:i/>
          <w:iCs/>
          <w:sz w:val="22"/>
          <w:szCs w:val="22"/>
        </w:rPr>
        <w:t xml:space="preserve">in accordance </w:t>
      </w:r>
      <w:proofErr w:type="gramStart"/>
      <w:r w:rsidRPr="004E7C9A">
        <w:rPr>
          <w:rStyle w:val="Strong"/>
          <w:rFonts w:asciiTheme="minorHAnsi" w:hAnsiTheme="minorHAnsi" w:cstheme="minorHAnsi"/>
          <w:i/>
          <w:iCs/>
          <w:sz w:val="22"/>
          <w:szCs w:val="22"/>
        </w:rPr>
        <w:t>to</w:t>
      </w:r>
      <w:proofErr w:type="gramEnd"/>
      <w:r w:rsidRPr="004E7C9A">
        <w:rPr>
          <w:rStyle w:val="Strong"/>
          <w:rFonts w:asciiTheme="minorHAnsi" w:hAnsiTheme="minorHAnsi" w:cstheme="minorHAnsi"/>
          <w:i/>
          <w:iCs/>
          <w:sz w:val="22"/>
          <w:szCs w:val="22"/>
        </w:rPr>
        <w:t xml:space="preserve"> the following procedures:</w:t>
      </w:r>
    </w:p>
    <w:p w14:paraId="1895EBD1" w14:textId="77777777" w:rsidR="00837353" w:rsidRPr="004E7C9A" w:rsidRDefault="00837353" w:rsidP="004E7C9A">
      <w:pPr>
        <w:pStyle w:val="NormalWeb"/>
        <w:shd w:val="clear" w:color="auto" w:fill="FFFFFF"/>
        <w:ind w:left="426"/>
        <w:jc w:val="both"/>
        <w:rPr>
          <w:rFonts w:asciiTheme="minorHAnsi" w:hAnsiTheme="minorHAnsi" w:cstheme="minorHAnsi"/>
          <w:sz w:val="22"/>
          <w:szCs w:val="22"/>
        </w:rPr>
      </w:pPr>
      <w:r w:rsidRPr="004E7C9A">
        <w:rPr>
          <w:rFonts w:asciiTheme="minorHAnsi" w:hAnsiTheme="minorHAnsi" w:cstheme="minorHAnsi"/>
          <w:i/>
          <w:iCs/>
          <w:sz w:val="22"/>
          <w:szCs w:val="22"/>
        </w:rPr>
        <w:t>(</w:t>
      </w:r>
      <w:proofErr w:type="spellStart"/>
      <w:r w:rsidRPr="004E7C9A">
        <w:rPr>
          <w:rFonts w:asciiTheme="minorHAnsi" w:hAnsiTheme="minorHAnsi" w:cstheme="minorHAnsi"/>
          <w:i/>
          <w:iCs/>
          <w:sz w:val="22"/>
          <w:szCs w:val="22"/>
        </w:rPr>
        <w:t>i</w:t>
      </w:r>
      <w:proofErr w:type="spellEnd"/>
      <w:r w:rsidRPr="004E7C9A">
        <w:rPr>
          <w:rFonts w:asciiTheme="minorHAnsi" w:hAnsiTheme="minorHAnsi" w:cstheme="minorHAnsi"/>
          <w:i/>
          <w:iCs/>
          <w:sz w:val="22"/>
          <w:szCs w:val="22"/>
        </w:rPr>
        <w:t xml:space="preserve">) Indian importers undertaking imports through this mechanism shall make payment in INR which shall be credited into the Special Vostro account of the correspondent bank of the partner country, against the </w:t>
      </w:r>
      <w:r w:rsidRPr="004E7C9A">
        <w:rPr>
          <w:rFonts w:asciiTheme="minorHAnsi" w:hAnsiTheme="minorHAnsi" w:cstheme="minorHAnsi"/>
          <w:i/>
          <w:iCs/>
          <w:sz w:val="22"/>
          <w:szCs w:val="22"/>
        </w:rPr>
        <w:lastRenderedPageBreak/>
        <w:t>invoices for the supply of goods or services from the overseas seller /supplier</w:t>
      </w:r>
    </w:p>
    <w:p w14:paraId="4A847795" w14:textId="77777777" w:rsidR="00837353" w:rsidRPr="004E7C9A" w:rsidRDefault="00837353" w:rsidP="004E7C9A">
      <w:pPr>
        <w:pStyle w:val="NormalWeb"/>
        <w:shd w:val="clear" w:color="auto" w:fill="FFFFFF"/>
        <w:ind w:left="426"/>
        <w:jc w:val="both"/>
        <w:rPr>
          <w:rFonts w:asciiTheme="minorHAnsi" w:hAnsiTheme="minorHAnsi" w:cstheme="minorHAnsi"/>
          <w:sz w:val="22"/>
          <w:szCs w:val="22"/>
        </w:rPr>
      </w:pPr>
      <w:r w:rsidRPr="004E7C9A">
        <w:rPr>
          <w:rFonts w:asciiTheme="minorHAnsi" w:hAnsiTheme="minorHAnsi" w:cstheme="minorHAnsi"/>
          <w:i/>
          <w:iCs/>
          <w:sz w:val="22"/>
          <w:szCs w:val="22"/>
        </w:rPr>
        <w:t>(ii</w:t>
      </w:r>
      <w:r w:rsidRPr="004E7C9A">
        <w:rPr>
          <w:rStyle w:val="Strong"/>
          <w:rFonts w:asciiTheme="minorHAnsi" w:hAnsiTheme="minorHAnsi" w:cstheme="minorHAnsi"/>
          <w:i/>
          <w:iCs/>
          <w:sz w:val="22"/>
          <w:szCs w:val="22"/>
        </w:rPr>
        <w:t>) Indian exporters, undertaking exports of goods and services through this mechanism, shall be paid the export proceeds in INR from the balances in the designated Special Vostro account of the correspondent bank of the partner country.</w:t>
      </w:r>
    </w:p>
    <w:p w14:paraId="56EC73FB" w14:textId="77777777" w:rsidR="00837353" w:rsidRPr="004E7C9A" w:rsidRDefault="00837353" w:rsidP="00837353">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3.5 On perusal of the above, it can be stated that the condition(s) of </w:t>
      </w:r>
      <w:hyperlink r:id="rId100" w:history="1">
        <w:r w:rsidRPr="004E7C9A">
          <w:rPr>
            <w:rStyle w:val="Hyperlink"/>
            <w:rFonts w:asciiTheme="minorHAnsi" w:hAnsiTheme="minorHAnsi" w:cstheme="minorHAnsi"/>
            <w:color w:val="auto"/>
            <w:sz w:val="22"/>
            <w:szCs w:val="22"/>
            <w:u w:val="none"/>
          </w:rPr>
          <w:t>sub-clause (iv) of Section 2(6) </w:t>
        </w:r>
      </w:hyperlink>
      <w:r w:rsidRPr="004E7C9A">
        <w:rPr>
          <w:rFonts w:asciiTheme="minorHAnsi" w:hAnsiTheme="minorHAnsi" w:cstheme="minorHAnsi"/>
          <w:sz w:val="22"/>
          <w:szCs w:val="22"/>
        </w:rPr>
        <w:t>of the </w:t>
      </w:r>
      <w:hyperlink r:id="rId101" w:history="1">
        <w:r w:rsidRPr="004E7C9A">
          <w:rPr>
            <w:rStyle w:val="Hyperlink"/>
            <w:rFonts w:asciiTheme="minorHAnsi" w:hAnsiTheme="minorHAnsi" w:cstheme="minorHAnsi"/>
            <w:color w:val="auto"/>
            <w:sz w:val="22"/>
            <w:szCs w:val="22"/>
            <w:u w:val="none"/>
          </w:rPr>
          <w:t>IGST Act, 2017</w:t>
        </w:r>
      </w:hyperlink>
      <w:r w:rsidRPr="004E7C9A">
        <w:rPr>
          <w:rFonts w:asciiTheme="minorHAnsi" w:hAnsiTheme="minorHAnsi" w:cstheme="minorHAnsi"/>
          <w:sz w:val="22"/>
          <w:szCs w:val="22"/>
        </w:rPr>
        <w:t>, can be considered to be fulfilled when the Indian exporters, undertaking exports of services, are paid the export proceeds in INR from the balances in the designated Special Vostro Account of the correspondent bank of the partner trading country in terms of </w:t>
      </w:r>
      <w:hyperlink r:id="rId102" w:history="1">
        <w:r w:rsidRPr="004E7C9A">
          <w:rPr>
            <w:rStyle w:val="Hyperlink"/>
            <w:rFonts w:asciiTheme="minorHAnsi" w:hAnsiTheme="minorHAnsi" w:cstheme="minorHAnsi"/>
            <w:color w:val="auto"/>
            <w:sz w:val="22"/>
            <w:szCs w:val="22"/>
            <w:u w:val="none"/>
          </w:rPr>
          <w:t>Regulation 7(1)</w:t>
        </w:r>
      </w:hyperlink>
      <w:r w:rsidRPr="004E7C9A">
        <w:rPr>
          <w:rFonts w:asciiTheme="minorHAnsi" w:hAnsiTheme="minorHAnsi" w:cstheme="minorHAnsi"/>
          <w:sz w:val="22"/>
          <w:szCs w:val="22"/>
        </w:rPr>
        <w:t> of </w:t>
      </w:r>
      <w:hyperlink r:id="rId103" w:history="1">
        <w:r w:rsidRPr="004E7C9A">
          <w:rPr>
            <w:rStyle w:val="Hyperlink"/>
            <w:rFonts w:asciiTheme="minorHAnsi" w:hAnsiTheme="minorHAnsi" w:cstheme="minorHAnsi"/>
            <w:color w:val="auto"/>
            <w:sz w:val="22"/>
            <w:szCs w:val="22"/>
            <w:u w:val="none"/>
          </w:rPr>
          <w:t>Foreign Exchange Management (Deposit) Regulations, 2016</w:t>
        </w:r>
      </w:hyperlink>
      <w:r w:rsidRPr="004E7C9A">
        <w:rPr>
          <w:rFonts w:asciiTheme="minorHAnsi" w:hAnsiTheme="minorHAnsi" w:cstheme="minorHAnsi"/>
          <w:sz w:val="22"/>
          <w:szCs w:val="22"/>
        </w:rPr>
        <w:t>, as mandated by RBI’s </w:t>
      </w:r>
      <w:hyperlink r:id="rId104" w:history="1">
        <w:r w:rsidRPr="004E7C9A">
          <w:rPr>
            <w:rStyle w:val="Hyperlink"/>
            <w:rFonts w:asciiTheme="minorHAnsi" w:hAnsiTheme="minorHAnsi" w:cstheme="minorHAnsi"/>
            <w:color w:val="auto"/>
            <w:sz w:val="22"/>
            <w:szCs w:val="22"/>
            <w:u w:val="none"/>
          </w:rPr>
          <w:t>A.P. (DIR Series) Circular No.10 dated 11th July, 2022 </w:t>
        </w:r>
      </w:hyperlink>
      <w:r w:rsidRPr="004E7C9A">
        <w:rPr>
          <w:rFonts w:asciiTheme="minorHAnsi" w:hAnsiTheme="minorHAnsi" w:cstheme="minorHAnsi"/>
          <w:sz w:val="22"/>
          <w:szCs w:val="22"/>
        </w:rPr>
        <w:t>and reiterated further in </w:t>
      </w:r>
      <w:hyperlink r:id="rId105" w:history="1">
        <w:r w:rsidRPr="004E7C9A">
          <w:rPr>
            <w:rStyle w:val="Hyperlink"/>
            <w:rFonts w:asciiTheme="minorHAnsi" w:hAnsiTheme="minorHAnsi" w:cstheme="minorHAnsi"/>
            <w:color w:val="auto"/>
            <w:sz w:val="22"/>
            <w:szCs w:val="22"/>
            <w:u w:val="none"/>
          </w:rPr>
          <w:t>Foreign Trade Policy, 2023</w:t>
        </w:r>
      </w:hyperlink>
      <w:r w:rsidRPr="004E7C9A">
        <w:rPr>
          <w:rFonts w:asciiTheme="minorHAnsi" w:hAnsiTheme="minorHAnsi" w:cstheme="minorHAnsi"/>
          <w:sz w:val="22"/>
          <w:szCs w:val="22"/>
        </w:rPr>
        <w:t>.</w:t>
      </w:r>
    </w:p>
    <w:p w14:paraId="482A50C1" w14:textId="41F60EF5" w:rsidR="00837353" w:rsidRPr="004E7C9A" w:rsidRDefault="00837353" w:rsidP="00837353">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4. Therefore, it is clarified that when the Indian exporters, undertaking export of services, are paid the export proceeds in INR from the Special Rupee Vostro Accounts of correspondent bank(s) of the partner trading country, opened by AD banks, the same shall be considered to be fulfilling the conditions of </w:t>
      </w:r>
      <w:hyperlink r:id="rId106" w:history="1">
        <w:r w:rsidRPr="004E7C9A">
          <w:rPr>
            <w:rStyle w:val="Hyperlink"/>
            <w:rFonts w:asciiTheme="minorHAnsi" w:hAnsiTheme="minorHAnsi" w:cstheme="minorHAnsi"/>
            <w:color w:val="auto"/>
            <w:sz w:val="22"/>
            <w:szCs w:val="22"/>
            <w:u w:val="none"/>
          </w:rPr>
          <w:t>sub-clause (iv) of clause (6) of section 2</w:t>
        </w:r>
      </w:hyperlink>
      <w:r w:rsidRPr="004E7C9A">
        <w:rPr>
          <w:rFonts w:asciiTheme="minorHAnsi" w:hAnsiTheme="minorHAnsi" w:cstheme="minorHAnsi"/>
          <w:sz w:val="22"/>
          <w:szCs w:val="22"/>
        </w:rPr>
        <w:t> of </w:t>
      </w:r>
      <w:hyperlink r:id="rId107" w:history="1">
        <w:r w:rsidRPr="004E7C9A">
          <w:rPr>
            <w:rStyle w:val="Hyperlink"/>
            <w:rFonts w:asciiTheme="minorHAnsi" w:hAnsiTheme="minorHAnsi" w:cstheme="minorHAnsi"/>
            <w:color w:val="auto"/>
            <w:sz w:val="22"/>
            <w:szCs w:val="22"/>
            <w:u w:val="none"/>
          </w:rPr>
          <w:t>IGST Act, 2017</w:t>
        </w:r>
      </w:hyperlink>
      <w:r w:rsidRPr="004E7C9A">
        <w:rPr>
          <w:rFonts w:asciiTheme="minorHAnsi" w:hAnsiTheme="minorHAnsi" w:cstheme="minorHAnsi"/>
          <w:sz w:val="22"/>
          <w:szCs w:val="22"/>
        </w:rPr>
        <w:t>, subject to the conditions/ restrictions mentioned in Foreign Trade Policy, 2023 &amp; extant RBI Circulars and without prejudice to the permissions / approvals, if any, required under any other law.</w:t>
      </w:r>
    </w:p>
    <w:p w14:paraId="1A68DD86" w14:textId="77777777" w:rsidR="00837353" w:rsidRPr="004E7C9A" w:rsidRDefault="00837353" w:rsidP="00837353">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5. It is requested that suitable trade notices may be issued to publicize the contents of this Circular. Difficulty, if any, in the implementation of this Circular may be brought to the notice of the Board. Hindi version will follow.</w:t>
      </w:r>
    </w:p>
    <w:p w14:paraId="669FF24E" w14:textId="1410C66F" w:rsidR="007D669E" w:rsidRDefault="007D669E" w:rsidP="007D669E">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E86A4D">
        <w:rPr>
          <w:rFonts w:asciiTheme="minorHAnsi" w:hAnsiTheme="minorHAnsi" w:cstheme="minorHAnsi"/>
          <w:b/>
          <w:bCs/>
          <w:color w:val="212529"/>
          <w:sz w:val="22"/>
          <w:szCs w:val="22"/>
        </w:rPr>
        <w:t>Circular</w:t>
      </w:r>
      <w:r>
        <w:rPr>
          <w:rFonts w:asciiTheme="minorHAnsi" w:hAnsiTheme="minorHAnsi" w:cstheme="minorHAnsi"/>
          <w:b/>
          <w:bCs/>
          <w:color w:val="212529"/>
          <w:sz w:val="22"/>
          <w:szCs w:val="22"/>
        </w:rPr>
        <w:t>]</w:t>
      </w:r>
    </w:p>
    <w:p w14:paraId="3B457807" w14:textId="77777777" w:rsidR="002A4ED8" w:rsidRPr="00647D75" w:rsidRDefault="002A4ED8" w:rsidP="002A4ED8">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2EEDC068" w14:textId="3808108C" w:rsidR="002A4ED8" w:rsidRPr="00D32138" w:rsidRDefault="002A4ED8" w:rsidP="002A4ED8">
      <w:pPr>
        <w:shd w:val="clear" w:color="auto" w:fill="8DC182"/>
        <w:tabs>
          <w:tab w:val="left" w:pos="4820"/>
        </w:tabs>
        <w:autoSpaceDE w:val="0"/>
        <w:autoSpaceDN w:val="0"/>
        <w:adjustRightInd w:val="0"/>
        <w:spacing w:after="0" w:line="276" w:lineRule="auto"/>
        <w:ind w:right="11"/>
        <w:jc w:val="both"/>
        <w:rPr>
          <w:rFonts w:cstheme="minorHAnsi"/>
          <w:b/>
          <w:bCs/>
        </w:rPr>
      </w:pPr>
      <w:r w:rsidRPr="002A4ED8">
        <w:rPr>
          <w:rFonts w:cstheme="minorHAnsi"/>
          <w:b/>
          <w:bCs/>
        </w:rPr>
        <w:t>CLARIFICATION REGARDING DETERMINATION OF PLACE OF SUPPLY IN VARIOUS CASES</w:t>
      </w:r>
    </w:p>
    <w:p w14:paraId="418E0AED" w14:textId="77777777" w:rsidR="002A4ED8" w:rsidRPr="004E7C9A" w:rsidRDefault="002A4ED8" w:rsidP="002A4ED8">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CBIC, vide Circular No. </w:t>
      </w:r>
      <w:r w:rsidRPr="00837353">
        <w:rPr>
          <w:rFonts w:asciiTheme="minorHAnsi" w:hAnsiTheme="minorHAnsi" w:cstheme="minorHAnsi"/>
          <w:sz w:val="22"/>
          <w:szCs w:val="22"/>
        </w:rPr>
        <w:t>20</w:t>
      </w:r>
      <w:r>
        <w:rPr>
          <w:rFonts w:asciiTheme="minorHAnsi" w:hAnsiTheme="minorHAnsi" w:cstheme="minorHAnsi"/>
          <w:sz w:val="22"/>
          <w:szCs w:val="22"/>
        </w:rPr>
        <w:t>3</w:t>
      </w:r>
      <w:r w:rsidRPr="00837353">
        <w:rPr>
          <w:rFonts w:asciiTheme="minorHAnsi" w:hAnsiTheme="minorHAnsi" w:cstheme="minorHAnsi"/>
          <w:sz w:val="22"/>
          <w:szCs w:val="22"/>
        </w:rPr>
        <w:t>/1</w:t>
      </w:r>
      <w:r>
        <w:rPr>
          <w:rFonts w:asciiTheme="minorHAnsi" w:hAnsiTheme="minorHAnsi" w:cstheme="minorHAnsi"/>
          <w:sz w:val="22"/>
          <w:szCs w:val="22"/>
        </w:rPr>
        <w:t>5</w:t>
      </w:r>
      <w:r w:rsidRPr="00837353">
        <w:rPr>
          <w:rFonts w:asciiTheme="minorHAnsi" w:hAnsiTheme="minorHAnsi" w:cstheme="minorHAnsi"/>
          <w:sz w:val="22"/>
          <w:szCs w:val="22"/>
        </w:rPr>
        <w:t>/2023-GST</w:t>
      </w:r>
      <w:r>
        <w:rPr>
          <w:rFonts w:asciiTheme="minorHAnsi" w:hAnsiTheme="minorHAnsi" w:cstheme="minorHAnsi"/>
          <w:sz w:val="22"/>
          <w:szCs w:val="22"/>
        </w:rPr>
        <w:t xml:space="preserve"> dated 27.10.2023 issued </w:t>
      </w:r>
      <w:r w:rsidRPr="002A4ED8">
        <w:rPr>
          <w:rFonts w:asciiTheme="minorHAnsi" w:hAnsiTheme="minorHAnsi" w:cstheme="minorHAnsi"/>
          <w:sz w:val="22"/>
          <w:szCs w:val="22"/>
        </w:rPr>
        <w:t>Clarification regarding determination of place of supply in various cases</w:t>
      </w:r>
      <w:r>
        <w:rPr>
          <w:rFonts w:asciiTheme="minorHAnsi" w:hAnsiTheme="minorHAnsi" w:cstheme="minorHAnsi"/>
          <w:sz w:val="22"/>
          <w:szCs w:val="22"/>
        </w:rPr>
        <w:t xml:space="preserve">. </w:t>
      </w:r>
      <w:r w:rsidRPr="004E7C9A">
        <w:rPr>
          <w:rFonts w:asciiTheme="minorHAnsi" w:hAnsiTheme="minorHAnsi" w:cstheme="minorHAnsi"/>
          <w:sz w:val="22"/>
          <w:szCs w:val="22"/>
        </w:rPr>
        <w:t>Representations have been received from the trade and field formations seeking clarification on certain issues with respect to determination of place of supply in case of –</w:t>
      </w:r>
    </w:p>
    <w:p w14:paraId="014603FD" w14:textId="77777777" w:rsidR="002A4ED8" w:rsidRPr="004E7C9A" w:rsidRDefault="002A4ED8" w:rsidP="002A4ED8">
      <w:pPr>
        <w:pStyle w:val="NormalWeb"/>
        <w:shd w:val="clear" w:color="auto" w:fill="FFFFFF"/>
        <w:ind w:left="720"/>
        <w:jc w:val="both"/>
        <w:rPr>
          <w:rFonts w:asciiTheme="minorHAnsi" w:hAnsiTheme="minorHAnsi" w:cstheme="minorHAnsi"/>
          <w:sz w:val="22"/>
          <w:szCs w:val="22"/>
        </w:rPr>
      </w:pPr>
      <w:proofErr w:type="spellStart"/>
      <w:r w:rsidRPr="004E7C9A">
        <w:rPr>
          <w:rFonts w:asciiTheme="minorHAnsi" w:hAnsiTheme="minorHAnsi" w:cstheme="minorHAnsi"/>
          <w:sz w:val="22"/>
          <w:szCs w:val="22"/>
        </w:rPr>
        <w:t>i</w:t>
      </w:r>
      <w:proofErr w:type="spellEnd"/>
      <w:r w:rsidRPr="004E7C9A">
        <w:rPr>
          <w:rFonts w:asciiTheme="minorHAnsi" w:hAnsiTheme="minorHAnsi" w:cstheme="minorHAnsi"/>
          <w:sz w:val="22"/>
          <w:szCs w:val="22"/>
        </w:rPr>
        <w:t xml:space="preserve">. supply of service of transportation of goods, including through mail and </w:t>
      </w:r>
      <w:proofErr w:type="gramStart"/>
      <w:r w:rsidRPr="004E7C9A">
        <w:rPr>
          <w:rFonts w:asciiTheme="minorHAnsi" w:hAnsiTheme="minorHAnsi" w:cstheme="minorHAnsi"/>
          <w:sz w:val="22"/>
          <w:szCs w:val="22"/>
        </w:rPr>
        <w:t>courier;</w:t>
      </w:r>
      <w:proofErr w:type="gramEnd"/>
    </w:p>
    <w:p w14:paraId="7613A4DF" w14:textId="77777777" w:rsidR="002A4ED8" w:rsidRPr="004E7C9A" w:rsidRDefault="002A4ED8" w:rsidP="002A4ED8">
      <w:pPr>
        <w:pStyle w:val="NormalWeb"/>
        <w:shd w:val="clear" w:color="auto" w:fill="FFFFFF"/>
        <w:ind w:left="720"/>
        <w:jc w:val="both"/>
        <w:rPr>
          <w:rFonts w:asciiTheme="minorHAnsi" w:hAnsiTheme="minorHAnsi" w:cstheme="minorHAnsi"/>
          <w:sz w:val="22"/>
          <w:szCs w:val="22"/>
        </w:rPr>
      </w:pPr>
      <w:r w:rsidRPr="004E7C9A">
        <w:rPr>
          <w:rFonts w:asciiTheme="minorHAnsi" w:hAnsiTheme="minorHAnsi" w:cstheme="minorHAnsi"/>
          <w:sz w:val="22"/>
          <w:szCs w:val="22"/>
        </w:rPr>
        <w:t>ii. supply of services in respect of advertising sector; and</w:t>
      </w:r>
    </w:p>
    <w:p w14:paraId="6AA90668" w14:textId="77777777" w:rsidR="002A4ED8" w:rsidRPr="004E7C9A" w:rsidRDefault="002A4ED8" w:rsidP="002A4ED8">
      <w:pPr>
        <w:pStyle w:val="NormalWeb"/>
        <w:shd w:val="clear" w:color="auto" w:fill="FFFFFF"/>
        <w:ind w:left="720"/>
        <w:jc w:val="both"/>
        <w:rPr>
          <w:rFonts w:asciiTheme="minorHAnsi" w:hAnsiTheme="minorHAnsi" w:cstheme="minorHAnsi"/>
          <w:sz w:val="22"/>
          <w:szCs w:val="22"/>
        </w:rPr>
      </w:pPr>
      <w:r w:rsidRPr="004E7C9A">
        <w:rPr>
          <w:rFonts w:asciiTheme="minorHAnsi" w:hAnsiTheme="minorHAnsi" w:cstheme="minorHAnsi"/>
          <w:sz w:val="22"/>
          <w:szCs w:val="22"/>
        </w:rPr>
        <w:t>iii. supply of the “co-location services”.</w:t>
      </w:r>
    </w:p>
    <w:p w14:paraId="7167B1D9" w14:textId="77777777" w:rsidR="002A4ED8" w:rsidRPr="004E7C9A" w:rsidRDefault="002A4ED8" w:rsidP="002A4ED8">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2. In order to clarify the issue and to ensure uniformity in the implementation of the provisions of law across the field formations, the Board, in exercise of its powers conferred by </w:t>
      </w:r>
      <w:hyperlink r:id="rId108" w:history="1">
        <w:r w:rsidRPr="004E7C9A">
          <w:rPr>
            <w:rStyle w:val="Hyperlink"/>
            <w:rFonts w:asciiTheme="minorHAnsi" w:hAnsiTheme="minorHAnsi" w:cstheme="minorHAnsi"/>
            <w:color w:val="auto"/>
            <w:sz w:val="22"/>
            <w:szCs w:val="22"/>
            <w:u w:val="none"/>
          </w:rPr>
          <w:t>section 168(1)</w:t>
        </w:r>
      </w:hyperlink>
      <w:r w:rsidRPr="004E7C9A">
        <w:rPr>
          <w:rFonts w:asciiTheme="minorHAnsi" w:hAnsiTheme="minorHAnsi" w:cstheme="minorHAnsi"/>
          <w:sz w:val="22"/>
          <w:szCs w:val="22"/>
        </w:rPr>
        <w:t> of the </w:t>
      </w:r>
      <w:hyperlink r:id="rId109" w:history="1">
        <w:r w:rsidRPr="004E7C9A">
          <w:rPr>
            <w:rStyle w:val="Hyperlink"/>
            <w:rFonts w:asciiTheme="minorHAnsi" w:hAnsiTheme="minorHAnsi" w:cstheme="minorHAnsi"/>
            <w:color w:val="auto"/>
            <w:sz w:val="22"/>
            <w:szCs w:val="22"/>
            <w:u w:val="none"/>
          </w:rPr>
          <w:t>Central Goods and Services Tax Act, 2017</w:t>
        </w:r>
      </w:hyperlink>
      <w:r w:rsidRPr="004E7C9A">
        <w:rPr>
          <w:rFonts w:asciiTheme="minorHAnsi" w:hAnsiTheme="minorHAnsi" w:cstheme="minorHAnsi"/>
          <w:sz w:val="22"/>
          <w:szCs w:val="22"/>
        </w:rPr>
        <w:t> (hereinafter referred to as “CGST Act”), hereby clarifies the issues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5"/>
        <w:gridCol w:w="2760"/>
        <w:gridCol w:w="2215"/>
      </w:tblGrid>
      <w:tr w:rsidR="002A4ED8" w:rsidRPr="002A4ED8" w14:paraId="4F5A1C22" w14:textId="77777777" w:rsidTr="002A4ED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1ECB84" w14:textId="77777777" w:rsidR="002A4ED8" w:rsidRPr="004E7C9A" w:rsidRDefault="002A4ED8">
            <w:pPr>
              <w:pStyle w:val="NormalWeb"/>
              <w:jc w:val="center"/>
              <w:rPr>
                <w:rFonts w:asciiTheme="minorHAnsi" w:hAnsiTheme="minorHAnsi" w:cstheme="minorHAnsi"/>
                <w:sz w:val="22"/>
                <w:szCs w:val="22"/>
              </w:rPr>
            </w:pPr>
            <w:proofErr w:type="spellStart"/>
            <w:r w:rsidRPr="004E7C9A">
              <w:rPr>
                <w:rStyle w:val="Strong"/>
                <w:rFonts w:asciiTheme="minorHAnsi" w:hAnsiTheme="minorHAnsi" w:cstheme="minorHAnsi"/>
                <w:sz w:val="22"/>
                <w:szCs w:val="22"/>
              </w:rPr>
              <w:t>S.No</w:t>
            </w:r>
            <w:proofErr w:type="spellEnd"/>
            <w:r w:rsidRPr="004E7C9A">
              <w:rPr>
                <w:rStyle w:val="Strong"/>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726031" w14:textId="77777777" w:rsidR="002A4ED8" w:rsidRPr="004E7C9A" w:rsidRDefault="002A4ED8">
            <w:pPr>
              <w:pStyle w:val="NormalWeb"/>
              <w:jc w:val="center"/>
              <w:rPr>
                <w:rFonts w:asciiTheme="minorHAnsi" w:hAnsiTheme="minorHAnsi" w:cstheme="minorHAnsi"/>
                <w:sz w:val="22"/>
                <w:szCs w:val="22"/>
              </w:rPr>
            </w:pPr>
            <w:r w:rsidRPr="004E7C9A">
              <w:rPr>
                <w:rStyle w:val="Strong"/>
                <w:rFonts w:asciiTheme="minorHAnsi" w:hAnsiTheme="minorHAnsi" w:cstheme="minorHAnsi"/>
                <w:sz w:val="22"/>
                <w:szCs w:val="22"/>
              </w:rPr>
              <w:t>Issue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E11E74" w14:textId="77777777" w:rsidR="002A4ED8" w:rsidRPr="004E7C9A" w:rsidRDefault="002A4ED8">
            <w:pPr>
              <w:pStyle w:val="NormalWeb"/>
              <w:jc w:val="center"/>
              <w:rPr>
                <w:rFonts w:asciiTheme="minorHAnsi" w:hAnsiTheme="minorHAnsi" w:cstheme="minorHAnsi"/>
                <w:sz w:val="22"/>
                <w:szCs w:val="22"/>
              </w:rPr>
            </w:pPr>
            <w:r w:rsidRPr="004E7C9A">
              <w:rPr>
                <w:rStyle w:val="Strong"/>
                <w:rFonts w:asciiTheme="minorHAnsi" w:hAnsiTheme="minorHAnsi" w:cstheme="minorHAnsi"/>
                <w:sz w:val="22"/>
                <w:szCs w:val="22"/>
              </w:rPr>
              <w:t>Clarification</w:t>
            </w:r>
          </w:p>
        </w:tc>
      </w:tr>
      <w:tr w:rsidR="002A4ED8" w:rsidRPr="002A4ED8" w14:paraId="5680467A" w14:textId="77777777" w:rsidTr="002A4ED8">
        <w:trPr>
          <w:jc w:val="center"/>
        </w:trPr>
        <w:tc>
          <w:tcPr>
            <w:tcW w:w="0" w:type="auto"/>
            <w:gridSpan w:val="3"/>
            <w:tcBorders>
              <w:top w:val="single" w:sz="6" w:space="0" w:color="999999"/>
              <w:left w:val="single" w:sz="6" w:space="0" w:color="999999"/>
              <w:bottom w:val="single" w:sz="6" w:space="0" w:color="999999"/>
              <w:right w:val="single" w:sz="6" w:space="0" w:color="999999"/>
            </w:tcBorders>
            <w:shd w:val="clear" w:color="auto" w:fill="FFFFFF"/>
            <w:hideMark/>
          </w:tcPr>
          <w:p w14:paraId="4EF635F1" w14:textId="77777777" w:rsidR="002A4ED8" w:rsidRPr="004E7C9A" w:rsidRDefault="002A4ED8">
            <w:pPr>
              <w:pStyle w:val="NormalWeb"/>
              <w:jc w:val="both"/>
              <w:rPr>
                <w:rFonts w:asciiTheme="minorHAnsi" w:hAnsiTheme="minorHAnsi" w:cstheme="minorHAnsi"/>
                <w:sz w:val="22"/>
                <w:szCs w:val="22"/>
              </w:rPr>
            </w:pPr>
            <w:r w:rsidRPr="004E7C9A">
              <w:rPr>
                <w:rStyle w:val="Strong"/>
                <w:rFonts w:asciiTheme="minorHAnsi" w:hAnsiTheme="minorHAnsi" w:cstheme="minorHAnsi"/>
                <w:sz w:val="22"/>
                <w:szCs w:val="22"/>
              </w:rPr>
              <w:t>A. Place of supply in case of supply of service of transportation of goods, including through mail and courier</w:t>
            </w:r>
          </w:p>
        </w:tc>
      </w:tr>
      <w:tr w:rsidR="002A4ED8" w:rsidRPr="002A4ED8" w14:paraId="7E8ABBFD" w14:textId="77777777" w:rsidTr="002A4ED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1C8DB1"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746AD5" w14:textId="77777777" w:rsidR="002A4ED8" w:rsidRPr="004E7C9A" w:rsidRDefault="002A4ED8">
            <w:pPr>
              <w:pStyle w:val="NormalWeb"/>
              <w:jc w:val="both"/>
              <w:rPr>
                <w:rFonts w:asciiTheme="minorHAnsi" w:hAnsiTheme="minorHAnsi" w:cstheme="minorHAnsi"/>
                <w:sz w:val="22"/>
                <w:szCs w:val="22"/>
              </w:rPr>
            </w:pPr>
            <w:hyperlink r:id="rId110" w:history="1">
              <w:r w:rsidRPr="004E7C9A">
                <w:rPr>
                  <w:rStyle w:val="Hyperlink"/>
                  <w:rFonts w:asciiTheme="minorHAnsi" w:hAnsiTheme="minorHAnsi" w:cstheme="minorHAnsi"/>
                  <w:color w:val="auto"/>
                  <w:sz w:val="22"/>
                  <w:szCs w:val="22"/>
                  <w:u w:val="none"/>
                </w:rPr>
                <w:t>Sub-section (9) of section 13</w:t>
              </w:r>
            </w:hyperlink>
            <w:r w:rsidRPr="004E7C9A">
              <w:rPr>
                <w:rFonts w:asciiTheme="minorHAnsi" w:hAnsiTheme="minorHAnsi" w:cstheme="minorHAnsi"/>
                <w:sz w:val="22"/>
                <w:szCs w:val="22"/>
              </w:rPr>
              <w:t> of </w:t>
            </w:r>
            <w:hyperlink r:id="rId111" w:history="1">
              <w:r w:rsidRPr="004E7C9A">
                <w:rPr>
                  <w:rStyle w:val="Hyperlink"/>
                  <w:rFonts w:asciiTheme="minorHAnsi" w:hAnsiTheme="minorHAnsi" w:cstheme="minorHAnsi"/>
                  <w:color w:val="auto"/>
                  <w:sz w:val="22"/>
                  <w:szCs w:val="22"/>
                  <w:u w:val="none"/>
                </w:rPr>
                <w:t>Integrated Goods and Services Tax Act, 2017</w:t>
              </w:r>
            </w:hyperlink>
            <w:r w:rsidRPr="004E7C9A">
              <w:rPr>
                <w:rFonts w:asciiTheme="minorHAnsi" w:hAnsiTheme="minorHAnsi" w:cstheme="minorHAnsi"/>
                <w:sz w:val="22"/>
                <w:szCs w:val="22"/>
              </w:rPr>
              <w:t> (hereinafter referred to as “IGST Act”) has been omitted vide </w:t>
            </w:r>
            <w:hyperlink r:id="rId112" w:history="1">
              <w:r w:rsidRPr="004E7C9A">
                <w:rPr>
                  <w:rStyle w:val="Hyperlink"/>
                  <w:rFonts w:asciiTheme="minorHAnsi" w:hAnsiTheme="minorHAnsi" w:cstheme="minorHAnsi"/>
                  <w:color w:val="auto"/>
                  <w:sz w:val="22"/>
                  <w:szCs w:val="22"/>
                  <w:u w:val="none"/>
                </w:rPr>
                <w:t>section 162</w:t>
              </w:r>
            </w:hyperlink>
            <w:r w:rsidRPr="004E7C9A">
              <w:rPr>
                <w:rFonts w:asciiTheme="minorHAnsi" w:hAnsiTheme="minorHAnsi" w:cstheme="minorHAnsi"/>
                <w:sz w:val="22"/>
                <w:szCs w:val="22"/>
              </w:rPr>
              <w:t> of </w:t>
            </w:r>
            <w:hyperlink r:id="rId113" w:history="1">
              <w:r w:rsidRPr="004E7C9A">
                <w:rPr>
                  <w:rStyle w:val="Hyperlink"/>
                  <w:rFonts w:asciiTheme="minorHAnsi" w:hAnsiTheme="minorHAnsi" w:cstheme="minorHAnsi"/>
                  <w:color w:val="auto"/>
                  <w:sz w:val="22"/>
                  <w:szCs w:val="22"/>
                  <w:u w:val="none"/>
                </w:rPr>
                <w:t>Finance Act, 2023</w:t>
              </w:r>
            </w:hyperlink>
            <w:r w:rsidRPr="004E7C9A">
              <w:rPr>
                <w:rFonts w:asciiTheme="minorHAnsi" w:hAnsiTheme="minorHAnsi" w:cstheme="minorHAnsi"/>
                <w:sz w:val="22"/>
                <w:szCs w:val="22"/>
              </w:rPr>
              <w:t> which will come into effect from 01.10.2023. After the said amendment, doubts have been raised as to whether the place of supply in case of service of transportation of goods, including through mail and courier, in cases where location of supplier of services or location of recipient of services is outside India, will be determined as per </w:t>
            </w:r>
            <w:hyperlink r:id="rId114" w:history="1">
              <w:r w:rsidRPr="004E7C9A">
                <w:rPr>
                  <w:rStyle w:val="Hyperlink"/>
                  <w:rFonts w:asciiTheme="minorHAnsi" w:hAnsiTheme="minorHAnsi" w:cstheme="minorHAnsi"/>
                  <w:color w:val="auto"/>
                  <w:sz w:val="22"/>
                  <w:szCs w:val="22"/>
                  <w:u w:val="none"/>
                </w:rPr>
                <w:t>sub-section (2) of section 13</w:t>
              </w:r>
            </w:hyperlink>
            <w:r w:rsidRPr="004E7C9A">
              <w:rPr>
                <w:rFonts w:asciiTheme="minorHAnsi" w:hAnsiTheme="minorHAnsi" w:cstheme="minorHAnsi"/>
                <w:sz w:val="22"/>
                <w:szCs w:val="22"/>
              </w:rPr>
              <w:t> of </w:t>
            </w:r>
            <w:hyperlink r:id="rId115" w:history="1">
              <w:r w:rsidRPr="004E7C9A">
                <w:rPr>
                  <w:rStyle w:val="Hyperlink"/>
                  <w:rFonts w:asciiTheme="minorHAnsi" w:hAnsiTheme="minorHAnsi" w:cstheme="minorHAnsi"/>
                  <w:color w:val="auto"/>
                  <w:sz w:val="22"/>
                  <w:szCs w:val="22"/>
                  <w:u w:val="none"/>
                </w:rPr>
                <w:t>IGST Act </w:t>
              </w:r>
            </w:hyperlink>
            <w:r w:rsidRPr="004E7C9A">
              <w:rPr>
                <w:rFonts w:asciiTheme="minorHAnsi" w:hAnsiTheme="minorHAnsi" w:cstheme="minorHAnsi"/>
                <w:sz w:val="22"/>
                <w:szCs w:val="22"/>
              </w:rPr>
              <w:t>or will be determined as per </w:t>
            </w:r>
            <w:hyperlink r:id="rId116" w:history="1">
              <w:r w:rsidRPr="004E7C9A">
                <w:rPr>
                  <w:rStyle w:val="Hyperlink"/>
                  <w:rFonts w:asciiTheme="minorHAnsi" w:hAnsiTheme="minorHAnsi" w:cstheme="minorHAnsi"/>
                  <w:color w:val="auto"/>
                  <w:sz w:val="22"/>
                  <w:szCs w:val="22"/>
                  <w:u w:val="none"/>
                </w:rPr>
                <w:t>sub-section (3) of section 13</w:t>
              </w:r>
            </w:hyperlink>
            <w:r w:rsidRPr="004E7C9A">
              <w:rPr>
                <w:rFonts w:asciiTheme="minorHAnsi" w:hAnsiTheme="minorHAnsi" w:cstheme="minorHAnsi"/>
                <w:sz w:val="22"/>
                <w:szCs w:val="22"/>
              </w:rPr>
              <w:t> of </w:t>
            </w:r>
            <w:hyperlink r:id="rId117" w:history="1">
              <w:r w:rsidRPr="004E7C9A">
                <w:rPr>
                  <w:rStyle w:val="Hyperlink"/>
                  <w:rFonts w:asciiTheme="minorHAnsi" w:hAnsiTheme="minorHAnsi" w:cstheme="minorHAnsi"/>
                  <w:color w:val="auto"/>
                  <w:sz w:val="22"/>
                  <w:szCs w:val="22"/>
                  <w:u w:val="none"/>
                </w:rPr>
                <w:t>IGST Act.</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335BAC" w14:textId="77777777" w:rsidR="002A4ED8" w:rsidRPr="004E7C9A" w:rsidRDefault="002A4ED8">
            <w:pPr>
              <w:pStyle w:val="NormalWeb"/>
              <w:jc w:val="both"/>
              <w:rPr>
                <w:rFonts w:asciiTheme="minorHAnsi" w:hAnsiTheme="minorHAnsi" w:cstheme="minorHAnsi"/>
                <w:sz w:val="22"/>
                <w:szCs w:val="22"/>
              </w:rPr>
            </w:pPr>
            <w:r w:rsidRPr="004E7C9A">
              <w:rPr>
                <w:rStyle w:val="Strong"/>
                <w:rFonts w:asciiTheme="minorHAnsi" w:hAnsiTheme="minorHAnsi" w:cstheme="minorHAnsi"/>
                <w:sz w:val="22"/>
                <w:szCs w:val="22"/>
              </w:rPr>
              <w:t>1.1</w:t>
            </w:r>
            <w:r w:rsidRPr="004E7C9A">
              <w:rPr>
                <w:rFonts w:asciiTheme="minorHAnsi" w:hAnsiTheme="minorHAnsi" w:cstheme="minorHAnsi"/>
                <w:sz w:val="22"/>
                <w:szCs w:val="22"/>
              </w:rPr>
              <w:t> Place of supply of services where location of supplier or location of recipient is outside India is determined as per </w:t>
            </w:r>
            <w:hyperlink r:id="rId118" w:history="1">
              <w:r w:rsidRPr="004E7C9A">
                <w:rPr>
                  <w:rStyle w:val="Hyperlink"/>
                  <w:rFonts w:asciiTheme="minorHAnsi" w:hAnsiTheme="minorHAnsi" w:cstheme="minorHAnsi"/>
                  <w:color w:val="auto"/>
                  <w:sz w:val="22"/>
                  <w:szCs w:val="22"/>
                  <w:u w:val="none"/>
                </w:rPr>
                <w:t>section 13</w:t>
              </w:r>
            </w:hyperlink>
            <w:r w:rsidRPr="004E7C9A">
              <w:rPr>
                <w:rFonts w:asciiTheme="minorHAnsi" w:hAnsiTheme="minorHAnsi" w:cstheme="minorHAnsi"/>
                <w:sz w:val="22"/>
                <w:szCs w:val="22"/>
              </w:rPr>
              <w:t> of the </w:t>
            </w:r>
            <w:hyperlink r:id="rId119"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w:t>
            </w:r>
            <w:hyperlink r:id="rId120" w:history="1">
              <w:r w:rsidRPr="004E7C9A">
                <w:rPr>
                  <w:rStyle w:val="Hyperlink"/>
                  <w:rFonts w:asciiTheme="minorHAnsi" w:hAnsiTheme="minorHAnsi" w:cstheme="minorHAnsi"/>
                  <w:color w:val="auto"/>
                  <w:sz w:val="22"/>
                  <w:szCs w:val="22"/>
                  <w:u w:val="none"/>
                </w:rPr>
                <w:t>Sub</w:t>
              </w:r>
              <w:r w:rsidRPr="004E7C9A">
                <w:rPr>
                  <w:rStyle w:val="Strong"/>
                  <w:rFonts w:asciiTheme="minorHAnsi" w:hAnsiTheme="minorHAnsi" w:cstheme="minorHAnsi"/>
                  <w:sz w:val="22"/>
                  <w:szCs w:val="22"/>
                </w:rPr>
                <w:t>-</w:t>
              </w:r>
              <w:r w:rsidRPr="004E7C9A">
                <w:rPr>
                  <w:rStyle w:val="Hyperlink"/>
                  <w:rFonts w:asciiTheme="minorHAnsi" w:hAnsiTheme="minorHAnsi" w:cstheme="minorHAnsi"/>
                  <w:color w:val="auto"/>
                  <w:sz w:val="22"/>
                  <w:szCs w:val="22"/>
                  <w:u w:val="none"/>
                </w:rPr>
                <w:t> </w:t>
              </w:r>
              <w:r w:rsidRPr="004E7C9A">
                <w:rPr>
                  <w:rStyle w:val="Strong"/>
                  <w:rFonts w:asciiTheme="minorHAnsi" w:hAnsiTheme="minorHAnsi" w:cstheme="minorHAnsi"/>
                  <w:sz w:val="22"/>
                  <w:szCs w:val="22"/>
                </w:rPr>
                <w:t>section </w:t>
              </w:r>
              <w:r w:rsidRPr="004E7C9A">
                <w:rPr>
                  <w:rStyle w:val="Hyperlink"/>
                  <w:rFonts w:asciiTheme="minorHAnsi" w:hAnsiTheme="minorHAnsi" w:cstheme="minorHAnsi"/>
                  <w:color w:val="auto"/>
                  <w:sz w:val="22"/>
                  <w:szCs w:val="22"/>
                  <w:u w:val="none"/>
                </w:rPr>
                <w:t>(9) of section 13</w:t>
              </w:r>
            </w:hyperlink>
            <w:r w:rsidRPr="004E7C9A">
              <w:rPr>
                <w:rFonts w:asciiTheme="minorHAnsi" w:hAnsiTheme="minorHAnsi" w:cstheme="minorHAnsi"/>
                <w:sz w:val="22"/>
                <w:szCs w:val="22"/>
              </w:rPr>
              <w:t> of </w:t>
            </w:r>
            <w:hyperlink r:id="rId121"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provided that where one of the supplier of the services or the recipient of services is located outside India, the place of supply of services of transportation of goods, other than by way of mail or courier, shall be the place of destination of such goods. The said sub-section has been omitted vide </w:t>
            </w:r>
            <w:hyperlink r:id="rId122" w:history="1">
              <w:r w:rsidRPr="004E7C9A">
                <w:rPr>
                  <w:rStyle w:val="Hyperlink"/>
                  <w:rFonts w:asciiTheme="minorHAnsi" w:hAnsiTheme="minorHAnsi" w:cstheme="minorHAnsi"/>
                  <w:color w:val="auto"/>
                  <w:sz w:val="22"/>
                  <w:szCs w:val="22"/>
                  <w:u w:val="none"/>
                </w:rPr>
                <w:t>section 162</w:t>
              </w:r>
            </w:hyperlink>
            <w:r w:rsidRPr="004E7C9A">
              <w:rPr>
                <w:rFonts w:asciiTheme="minorHAnsi" w:hAnsiTheme="minorHAnsi" w:cstheme="minorHAnsi"/>
                <w:sz w:val="22"/>
                <w:szCs w:val="22"/>
              </w:rPr>
              <w:t> of </w:t>
            </w:r>
            <w:hyperlink r:id="rId123" w:history="1">
              <w:r w:rsidRPr="004E7C9A">
                <w:rPr>
                  <w:rStyle w:val="Hyperlink"/>
                  <w:rFonts w:asciiTheme="minorHAnsi" w:hAnsiTheme="minorHAnsi" w:cstheme="minorHAnsi"/>
                  <w:color w:val="auto"/>
                  <w:sz w:val="22"/>
                  <w:szCs w:val="22"/>
                  <w:u w:val="none"/>
                </w:rPr>
                <w:t>Finance Act, 2023</w:t>
              </w:r>
            </w:hyperlink>
            <w:r w:rsidRPr="004E7C9A">
              <w:rPr>
                <w:rFonts w:asciiTheme="minorHAnsi" w:hAnsiTheme="minorHAnsi" w:cstheme="minorHAnsi"/>
                <w:sz w:val="22"/>
                <w:szCs w:val="22"/>
              </w:rPr>
              <w:t xml:space="preserve"> which will come into effect from 01.10.2023. It is hereby clarified that after the said amendment comes into effect, the place of supply of services of transportation of goods, other than through mail and courier, in cases where location of </w:t>
            </w:r>
            <w:r w:rsidRPr="004E7C9A">
              <w:rPr>
                <w:rFonts w:asciiTheme="minorHAnsi" w:hAnsiTheme="minorHAnsi" w:cstheme="minorHAnsi"/>
                <w:sz w:val="22"/>
                <w:szCs w:val="22"/>
              </w:rPr>
              <w:lastRenderedPageBreak/>
              <w:t>supplier of services or location of recipient of services is outside India, will be determined by the default rule under </w:t>
            </w:r>
            <w:hyperlink r:id="rId124" w:history="1">
              <w:r w:rsidRPr="004E7C9A">
                <w:rPr>
                  <w:rStyle w:val="Hyperlink"/>
                  <w:rFonts w:asciiTheme="minorHAnsi" w:hAnsiTheme="minorHAnsi" w:cstheme="minorHAnsi"/>
                  <w:color w:val="auto"/>
                  <w:sz w:val="22"/>
                  <w:szCs w:val="22"/>
                  <w:u w:val="none"/>
                </w:rPr>
                <w:t>section 13(2)</w:t>
              </w:r>
            </w:hyperlink>
            <w:r w:rsidRPr="004E7C9A">
              <w:rPr>
                <w:rFonts w:asciiTheme="minorHAnsi" w:hAnsiTheme="minorHAnsi" w:cstheme="minorHAnsi"/>
                <w:sz w:val="22"/>
                <w:szCs w:val="22"/>
              </w:rPr>
              <w:t> of </w:t>
            </w:r>
            <w:hyperlink r:id="rId125"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and not as performance based services under </w:t>
            </w:r>
            <w:hyperlink r:id="rId126" w:history="1">
              <w:r w:rsidRPr="004E7C9A">
                <w:rPr>
                  <w:rStyle w:val="Hyperlink"/>
                  <w:rFonts w:asciiTheme="minorHAnsi" w:hAnsiTheme="minorHAnsi" w:cstheme="minorHAnsi"/>
                  <w:color w:val="auto"/>
                  <w:sz w:val="22"/>
                  <w:szCs w:val="22"/>
                  <w:u w:val="none"/>
                </w:rPr>
                <w:t>sub-section (3) of section 13</w:t>
              </w:r>
            </w:hyperlink>
            <w:r w:rsidRPr="004E7C9A">
              <w:rPr>
                <w:rFonts w:asciiTheme="minorHAnsi" w:hAnsiTheme="minorHAnsi" w:cstheme="minorHAnsi"/>
                <w:sz w:val="22"/>
                <w:szCs w:val="22"/>
              </w:rPr>
              <w:t> of </w:t>
            </w:r>
            <w:hyperlink r:id="rId127"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Accordingly, in cases where location of recipient of services is available, the place of supply of such services shall be the location of recipient of services and in cases where location of recipient of services is not available in the ordinary course of business, the place of supply shall be the location of supplier of services.</w:t>
            </w:r>
          </w:p>
          <w:p w14:paraId="5250BDB5" w14:textId="77777777" w:rsidR="002A4ED8" w:rsidRPr="004E7C9A" w:rsidRDefault="002A4ED8">
            <w:pPr>
              <w:pStyle w:val="NormalWeb"/>
              <w:jc w:val="both"/>
              <w:rPr>
                <w:rFonts w:asciiTheme="minorHAnsi" w:hAnsiTheme="minorHAnsi" w:cstheme="minorHAnsi"/>
                <w:sz w:val="22"/>
                <w:szCs w:val="22"/>
              </w:rPr>
            </w:pPr>
            <w:r w:rsidRPr="004E7C9A">
              <w:rPr>
                <w:rStyle w:val="Strong"/>
                <w:rFonts w:asciiTheme="minorHAnsi" w:hAnsiTheme="minorHAnsi" w:cstheme="minorHAnsi"/>
                <w:sz w:val="22"/>
                <w:szCs w:val="22"/>
              </w:rPr>
              <w:t>1.2</w:t>
            </w:r>
            <w:r w:rsidRPr="004E7C9A">
              <w:rPr>
                <w:rFonts w:asciiTheme="minorHAnsi" w:hAnsiTheme="minorHAnsi" w:cstheme="minorHAnsi"/>
                <w:sz w:val="22"/>
                <w:szCs w:val="22"/>
              </w:rPr>
              <w:t> Further, it is also mentioned that the place of supply in case of service of transportation of goods by mail or courier was not covered under the provisions of </w:t>
            </w:r>
            <w:hyperlink r:id="rId128" w:history="1">
              <w:r w:rsidRPr="004E7C9A">
                <w:rPr>
                  <w:rStyle w:val="Hyperlink"/>
                  <w:rFonts w:asciiTheme="minorHAnsi" w:hAnsiTheme="minorHAnsi" w:cstheme="minorHAnsi"/>
                  <w:color w:val="auto"/>
                  <w:sz w:val="22"/>
                  <w:szCs w:val="22"/>
                  <w:u w:val="none"/>
                </w:rPr>
                <w:t>sub-section (9) of section 13</w:t>
              </w:r>
            </w:hyperlink>
            <w:r w:rsidRPr="004E7C9A">
              <w:rPr>
                <w:rFonts w:asciiTheme="minorHAnsi" w:hAnsiTheme="minorHAnsi" w:cstheme="minorHAnsi"/>
                <w:sz w:val="22"/>
                <w:szCs w:val="22"/>
              </w:rPr>
              <w:t> before the said sub-section was amended/ omitted. Therefore, on the same principles as mentioned above, the place of supply in case of service of transportation of goods by mail or courier will continue to be determined by the default rule under </w:t>
            </w:r>
            <w:hyperlink r:id="rId129" w:history="1">
              <w:r w:rsidRPr="004E7C9A">
                <w:rPr>
                  <w:rStyle w:val="Hyperlink"/>
                  <w:rFonts w:asciiTheme="minorHAnsi" w:hAnsiTheme="minorHAnsi" w:cstheme="minorHAnsi"/>
                  <w:color w:val="auto"/>
                  <w:sz w:val="22"/>
                  <w:szCs w:val="22"/>
                  <w:u w:val="none"/>
                </w:rPr>
                <w:t>section 13(2) </w:t>
              </w:r>
            </w:hyperlink>
            <w:r w:rsidRPr="004E7C9A">
              <w:rPr>
                <w:rFonts w:asciiTheme="minorHAnsi" w:hAnsiTheme="minorHAnsi" w:cstheme="minorHAnsi"/>
                <w:sz w:val="22"/>
                <w:szCs w:val="22"/>
              </w:rPr>
              <w:t>of </w:t>
            </w:r>
            <w:hyperlink r:id="rId130"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xml:space="preserve"> i.e. in cases where location of recipient of services is </w:t>
            </w:r>
            <w:r w:rsidRPr="004E7C9A">
              <w:rPr>
                <w:rFonts w:asciiTheme="minorHAnsi" w:hAnsiTheme="minorHAnsi" w:cstheme="minorHAnsi"/>
                <w:sz w:val="22"/>
                <w:szCs w:val="22"/>
              </w:rPr>
              <w:t>available, the place of supply of such services shall be the location of recipient of services and in cases where location of recipient of services is not available in the ordinary course of business, the place of supply shall be the location of supplier of services.</w:t>
            </w:r>
          </w:p>
        </w:tc>
      </w:tr>
      <w:tr w:rsidR="002A4ED8" w:rsidRPr="002A4ED8" w14:paraId="595EA73A" w14:textId="77777777" w:rsidTr="002A4ED8">
        <w:trPr>
          <w:jc w:val="center"/>
        </w:trPr>
        <w:tc>
          <w:tcPr>
            <w:tcW w:w="0" w:type="auto"/>
            <w:gridSpan w:val="3"/>
            <w:tcBorders>
              <w:top w:val="single" w:sz="6" w:space="0" w:color="999999"/>
              <w:left w:val="single" w:sz="6" w:space="0" w:color="999999"/>
              <w:bottom w:val="single" w:sz="6" w:space="0" w:color="999999"/>
              <w:right w:val="single" w:sz="6" w:space="0" w:color="999999"/>
            </w:tcBorders>
            <w:shd w:val="clear" w:color="auto" w:fill="FFFFFF"/>
            <w:hideMark/>
          </w:tcPr>
          <w:p w14:paraId="2B5AE70D" w14:textId="77777777" w:rsidR="002A4ED8" w:rsidRPr="004E7C9A" w:rsidRDefault="002A4ED8">
            <w:pPr>
              <w:pStyle w:val="NormalWeb"/>
              <w:jc w:val="both"/>
              <w:rPr>
                <w:rFonts w:asciiTheme="minorHAnsi" w:hAnsiTheme="minorHAnsi" w:cstheme="minorHAnsi"/>
                <w:sz w:val="22"/>
                <w:szCs w:val="22"/>
              </w:rPr>
            </w:pPr>
            <w:r w:rsidRPr="004E7C9A">
              <w:rPr>
                <w:rStyle w:val="Strong"/>
                <w:rFonts w:asciiTheme="minorHAnsi" w:hAnsiTheme="minorHAnsi" w:cstheme="minorHAnsi"/>
                <w:sz w:val="22"/>
                <w:szCs w:val="22"/>
              </w:rPr>
              <w:lastRenderedPageBreak/>
              <w:t>B. Place of supply in case of supply of services in respect of advertising sector</w:t>
            </w:r>
          </w:p>
        </w:tc>
      </w:tr>
      <w:tr w:rsidR="002A4ED8" w:rsidRPr="002A4ED8" w14:paraId="245F565A" w14:textId="77777777" w:rsidTr="002A4ED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423D2E"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31D0C5"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 xml:space="preserve">Advertising companies are often involved in procuring space on hoardings/ </w:t>
            </w:r>
            <w:proofErr w:type="gramStart"/>
            <w:r w:rsidRPr="004E7C9A">
              <w:rPr>
                <w:rFonts w:asciiTheme="minorHAnsi" w:hAnsiTheme="minorHAnsi" w:cstheme="minorHAnsi"/>
                <w:sz w:val="22"/>
                <w:szCs w:val="22"/>
              </w:rPr>
              <w:t>bill boards</w:t>
            </w:r>
            <w:proofErr w:type="gramEnd"/>
            <w:r w:rsidRPr="004E7C9A">
              <w:rPr>
                <w:rFonts w:asciiTheme="minorHAnsi" w:hAnsiTheme="minorHAnsi" w:cstheme="minorHAnsi"/>
                <w:sz w:val="22"/>
                <w:szCs w:val="22"/>
              </w:rPr>
              <w:t xml:space="preserve"> erected and mounted on buildings/land, in different States, from various suppliers (“vendors”) for providing advertisement services to its corporate clients. There may be variety of arrangements between the advertising company and its vendors as below:</w:t>
            </w:r>
          </w:p>
          <w:p w14:paraId="51230535"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w:t>
            </w:r>
            <w:proofErr w:type="spellStart"/>
            <w:r w:rsidRPr="004E7C9A">
              <w:rPr>
                <w:rFonts w:asciiTheme="minorHAnsi" w:hAnsiTheme="minorHAnsi" w:cstheme="minorHAnsi"/>
                <w:sz w:val="22"/>
                <w:szCs w:val="22"/>
              </w:rPr>
              <w:t>i</w:t>
            </w:r>
            <w:proofErr w:type="spellEnd"/>
            <w:r w:rsidRPr="004E7C9A">
              <w:rPr>
                <w:rFonts w:asciiTheme="minorHAnsi" w:hAnsiTheme="minorHAnsi" w:cstheme="minorHAnsi"/>
                <w:sz w:val="22"/>
                <w:szCs w:val="22"/>
              </w:rPr>
              <w:t>) There may be a case wherein there is supply (sale) of space or supply (sale) of rights to use the space on the hoarding/ structure (immovable property) belonging to vendor to the client/advertising company for display of their advertisement on the said hoarding/ structure. What will be the place of supply of services provided by the vendor to the advertising company in such case?</w:t>
            </w:r>
          </w:p>
          <w:p w14:paraId="478BB4D2"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 xml:space="preserve">(ii) There may be another case where the advertising company wants to display its advertisement on hoardings/ </w:t>
            </w:r>
            <w:proofErr w:type="gramStart"/>
            <w:r w:rsidRPr="004E7C9A">
              <w:rPr>
                <w:rFonts w:asciiTheme="minorHAnsi" w:hAnsiTheme="minorHAnsi" w:cstheme="minorHAnsi"/>
                <w:sz w:val="22"/>
                <w:szCs w:val="22"/>
              </w:rPr>
              <w:t>bill boards</w:t>
            </w:r>
            <w:proofErr w:type="gramEnd"/>
            <w:r w:rsidRPr="004E7C9A">
              <w:rPr>
                <w:rFonts w:asciiTheme="minorHAnsi" w:hAnsiTheme="minorHAnsi" w:cstheme="minorHAnsi"/>
                <w:sz w:val="22"/>
                <w:szCs w:val="22"/>
              </w:rPr>
              <w:t xml:space="preserve"> at a specific location availing the services of a vendor. The responsibility of arranging the hoardings/ </w:t>
            </w:r>
            <w:proofErr w:type="gramStart"/>
            <w:r w:rsidRPr="004E7C9A">
              <w:rPr>
                <w:rFonts w:asciiTheme="minorHAnsi" w:hAnsiTheme="minorHAnsi" w:cstheme="minorHAnsi"/>
                <w:sz w:val="22"/>
                <w:szCs w:val="22"/>
              </w:rPr>
              <w:lastRenderedPageBreak/>
              <w:t>bill boards</w:t>
            </w:r>
            <w:proofErr w:type="gramEnd"/>
            <w:r w:rsidRPr="004E7C9A">
              <w:rPr>
                <w:rFonts w:asciiTheme="minorHAnsi" w:hAnsiTheme="minorHAnsi" w:cstheme="minorHAnsi"/>
                <w:sz w:val="22"/>
                <w:szCs w:val="22"/>
              </w:rPr>
              <w:t xml:space="preserve"> lies with the vendor who may himself own such structure or may be taking it on rent or rights to use basis from another person. The vendor is responsible for display of the advertisement of the advertisement company at the said location. During this entire time of display of the advertisement, the vendor is in possession of the hoarding/structure at the said location on which advertisement is displayed and the advertising company is not occupying the space or the structure.</w:t>
            </w:r>
          </w:p>
          <w:p w14:paraId="55A4ABB6"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In this case, what will be the place of supply of such services provided by the vendor to the advertising company?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5C53A3"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lastRenderedPageBreak/>
              <w:t>2.1 It is clarified that the place of supply in the case supply of services in respect of advertising sector, in the cases referred in (</w:t>
            </w:r>
            <w:proofErr w:type="spellStart"/>
            <w:r w:rsidRPr="004E7C9A">
              <w:rPr>
                <w:rFonts w:asciiTheme="minorHAnsi" w:hAnsiTheme="minorHAnsi" w:cstheme="minorHAnsi"/>
                <w:sz w:val="22"/>
                <w:szCs w:val="22"/>
              </w:rPr>
              <w:t>i</w:t>
            </w:r>
            <w:proofErr w:type="spellEnd"/>
            <w:r w:rsidRPr="004E7C9A">
              <w:rPr>
                <w:rFonts w:asciiTheme="minorHAnsi" w:hAnsiTheme="minorHAnsi" w:cstheme="minorHAnsi"/>
                <w:sz w:val="22"/>
                <w:szCs w:val="22"/>
              </w:rPr>
              <w:t>) and (ii), shall be determined as below:</w:t>
            </w:r>
          </w:p>
          <w:p w14:paraId="56016AFB"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2.2 </w:t>
            </w:r>
            <w:r w:rsidRPr="004E7C9A">
              <w:rPr>
                <w:rStyle w:val="Strong"/>
                <w:rFonts w:asciiTheme="minorHAnsi" w:hAnsiTheme="minorHAnsi" w:cstheme="minorHAnsi"/>
                <w:sz w:val="22"/>
                <w:szCs w:val="22"/>
              </w:rPr>
              <w:t>Place of supply in Case (</w:t>
            </w:r>
            <w:proofErr w:type="spellStart"/>
            <w:r w:rsidRPr="004E7C9A">
              <w:rPr>
                <w:rStyle w:val="Strong"/>
                <w:rFonts w:asciiTheme="minorHAnsi" w:hAnsiTheme="minorHAnsi" w:cstheme="minorHAnsi"/>
                <w:sz w:val="22"/>
                <w:szCs w:val="22"/>
              </w:rPr>
              <w:t>i</w:t>
            </w:r>
            <w:proofErr w:type="spellEnd"/>
            <w:r w:rsidRPr="004E7C9A">
              <w:rPr>
                <w:rStyle w:val="Strong"/>
                <w:rFonts w:asciiTheme="minorHAnsi" w:hAnsiTheme="minorHAnsi" w:cstheme="minorHAnsi"/>
                <w:sz w:val="22"/>
                <w:szCs w:val="22"/>
              </w:rPr>
              <w:t>)</w:t>
            </w:r>
            <w:r w:rsidRPr="004E7C9A">
              <w:rPr>
                <w:rFonts w:asciiTheme="minorHAnsi" w:hAnsiTheme="minorHAnsi" w:cstheme="minorHAnsi"/>
                <w:sz w:val="22"/>
                <w:szCs w:val="22"/>
              </w:rPr>
              <w:t>: The hoarding/structure erected on the land should be considered as immovable structure or fixture as it has been embedded in earth. Further, place of supply of any service provided by way of supply (sale) of space on an immovable property or grant of rights to use an immovable property shall be governed by the provisions of </w:t>
            </w:r>
            <w:hyperlink r:id="rId131" w:history="1">
              <w:r w:rsidRPr="004E7C9A">
                <w:rPr>
                  <w:rStyle w:val="Hyperlink"/>
                  <w:rFonts w:asciiTheme="minorHAnsi" w:hAnsiTheme="minorHAnsi" w:cstheme="minorHAnsi"/>
                  <w:color w:val="auto"/>
                  <w:sz w:val="22"/>
                  <w:szCs w:val="22"/>
                  <w:u w:val="none"/>
                </w:rPr>
                <w:t>section 12(3)(a) </w:t>
              </w:r>
            </w:hyperlink>
            <w:r w:rsidRPr="004E7C9A">
              <w:rPr>
                <w:rFonts w:asciiTheme="minorHAnsi" w:hAnsiTheme="minorHAnsi" w:cstheme="minorHAnsi"/>
                <w:sz w:val="22"/>
                <w:szCs w:val="22"/>
              </w:rPr>
              <w:t>of</w:t>
            </w:r>
            <w:hyperlink r:id="rId132" w:history="1">
              <w:r w:rsidRPr="004E7C9A">
                <w:rPr>
                  <w:rStyle w:val="Hyperlink"/>
                  <w:rFonts w:asciiTheme="minorHAnsi" w:hAnsiTheme="minorHAnsi" w:cstheme="minorHAnsi"/>
                  <w:color w:val="auto"/>
                  <w:sz w:val="22"/>
                  <w:szCs w:val="22"/>
                  <w:u w:val="none"/>
                </w:rPr>
                <w:t> IGST Act</w:t>
              </w:r>
            </w:hyperlink>
            <w:r w:rsidRPr="004E7C9A">
              <w:rPr>
                <w:rFonts w:asciiTheme="minorHAnsi" w:hAnsiTheme="minorHAnsi" w:cstheme="minorHAnsi"/>
                <w:sz w:val="22"/>
                <w:szCs w:val="22"/>
              </w:rPr>
              <w:t>. As per </w:t>
            </w:r>
            <w:hyperlink r:id="rId133" w:history="1">
              <w:r w:rsidRPr="004E7C9A">
                <w:rPr>
                  <w:rStyle w:val="Hyperlink"/>
                  <w:rFonts w:asciiTheme="minorHAnsi" w:hAnsiTheme="minorHAnsi" w:cstheme="minorHAnsi"/>
                  <w:color w:val="auto"/>
                  <w:sz w:val="22"/>
                  <w:szCs w:val="22"/>
                  <w:u w:val="none"/>
                </w:rPr>
                <w:t>section 12(3)(a)</w:t>
              </w:r>
            </w:hyperlink>
            <w:r w:rsidRPr="004E7C9A">
              <w:rPr>
                <w:rFonts w:asciiTheme="minorHAnsi" w:hAnsiTheme="minorHAnsi" w:cstheme="minorHAnsi"/>
                <w:sz w:val="22"/>
                <w:szCs w:val="22"/>
              </w:rPr>
              <w:t> of </w:t>
            </w:r>
            <w:hyperlink r:id="rId134"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xml:space="preserve">, the place of supply of services directly in relation to an immovable property, including services provided by architects, interior decorators, surveyors, engineers </w:t>
            </w:r>
            <w:r w:rsidRPr="004E7C9A">
              <w:rPr>
                <w:rFonts w:asciiTheme="minorHAnsi" w:hAnsiTheme="minorHAnsi" w:cstheme="minorHAnsi"/>
                <w:sz w:val="22"/>
                <w:szCs w:val="22"/>
              </w:rPr>
              <w:lastRenderedPageBreak/>
              <w:t>and other related experts or estate agents, any service provided by way of grant of rights to use immovable property or for carrying out or co-ordination of construction work shall be the location at which the immovable property is located. Therefore, the place of supply of service provided by way of supply of sale of space on hoarding/ structure for advertising or for grant of rights to use the hoarding/ structure for advertising in this case would be the location where such hoarding/ structure is located.</w:t>
            </w:r>
          </w:p>
          <w:p w14:paraId="0F720610"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2.3 </w:t>
            </w:r>
            <w:r w:rsidRPr="004E7C9A">
              <w:rPr>
                <w:rStyle w:val="Strong"/>
                <w:rFonts w:asciiTheme="minorHAnsi" w:hAnsiTheme="minorHAnsi" w:cstheme="minorHAnsi"/>
                <w:sz w:val="22"/>
                <w:szCs w:val="22"/>
              </w:rPr>
              <w:t>Place of supply in Case (ii):</w:t>
            </w:r>
            <w:r w:rsidRPr="004E7C9A">
              <w:rPr>
                <w:rFonts w:asciiTheme="minorHAnsi" w:hAnsiTheme="minorHAnsi" w:cstheme="minorHAnsi"/>
                <w:sz w:val="22"/>
                <w:szCs w:val="22"/>
              </w:rPr>
              <w:t> In this case, as the service is being provided by the vendor to the advertising company and there is no supply (sale) of space/ supply (sale) of rights to use the space on hoarding/structure (immovable property) by the vendor to the advertising company for display of their advertisement on the said display board/structure, the said service does not amount to sale of advertising space or supply by way of grant of rights to use immovable property. Accordingly, the place of supply of the same shall not be covered under </w:t>
            </w:r>
            <w:hyperlink r:id="rId135" w:history="1">
              <w:r w:rsidRPr="004E7C9A">
                <w:rPr>
                  <w:rStyle w:val="Hyperlink"/>
                  <w:rFonts w:asciiTheme="minorHAnsi" w:hAnsiTheme="minorHAnsi" w:cstheme="minorHAnsi"/>
                  <w:color w:val="auto"/>
                  <w:sz w:val="22"/>
                  <w:szCs w:val="22"/>
                  <w:u w:val="none"/>
                </w:rPr>
                <w:t xml:space="preserve">section </w:t>
              </w:r>
              <w:r w:rsidRPr="004E7C9A">
                <w:rPr>
                  <w:rStyle w:val="Hyperlink"/>
                  <w:rFonts w:asciiTheme="minorHAnsi" w:hAnsiTheme="minorHAnsi" w:cstheme="minorHAnsi"/>
                  <w:color w:val="auto"/>
                  <w:sz w:val="22"/>
                  <w:szCs w:val="22"/>
                  <w:u w:val="none"/>
                </w:rPr>
                <w:t>12(3)(a)</w:t>
              </w:r>
            </w:hyperlink>
            <w:r w:rsidRPr="004E7C9A">
              <w:rPr>
                <w:rFonts w:asciiTheme="minorHAnsi" w:hAnsiTheme="minorHAnsi" w:cstheme="minorHAnsi"/>
                <w:sz w:val="22"/>
                <w:szCs w:val="22"/>
              </w:rPr>
              <w:t> of </w:t>
            </w:r>
            <w:hyperlink r:id="rId136"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Vendor is in fact providing advertisement services by providing visibility to an advertising company’s advertisement for a specific period of time on his structure possessed/taken on rent by him at the specified location. Therefore, such services provided by the Vendor to advertising company are purely in the nature of advertisement services in respect of which Place of Supply shall be determined in terms of </w:t>
            </w:r>
            <w:hyperlink r:id="rId137" w:history="1">
              <w:r w:rsidRPr="004E7C9A">
                <w:rPr>
                  <w:rStyle w:val="Hyperlink"/>
                  <w:rFonts w:asciiTheme="minorHAnsi" w:hAnsiTheme="minorHAnsi" w:cstheme="minorHAnsi"/>
                  <w:color w:val="auto"/>
                  <w:sz w:val="22"/>
                  <w:szCs w:val="22"/>
                  <w:u w:val="none"/>
                </w:rPr>
                <w:t>Section 12(2)</w:t>
              </w:r>
            </w:hyperlink>
            <w:r w:rsidRPr="004E7C9A">
              <w:rPr>
                <w:rFonts w:asciiTheme="minorHAnsi" w:hAnsiTheme="minorHAnsi" w:cstheme="minorHAnsi"/>
                <w:sz w:val="22"/>
                <w:szCs w:val="22"/>
              </w:rPr>
              <w:t> of </w:t>
            </w:r>
            <w:hyperlink r:id="rId138"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w:t>
            </w:r>
          </w:p>
        </w:tc>
      </w:tr>
      <w:tr w:rsidR="002A4ED8" w:rsidRPr="002A4ED8" w14:paraId="73C44BFF" w14:textId="77777777" w:rsidTr="002A4ED8">
        <w:trPr>
          <w:jc w:val="center"/>
        </w:trPr>
        <w:tc>
          <w:tcPr>
            <w:tcW w:w="0" w:type="auto"/>
            <w:gridSpan w:val="3"/>
            <w:tcBorders>
              <w:top w:val="single" w:sz="6" w:space="0" w:color="999999"/>
              <w:left w:val="single" w:sz="6" w:space="0" w:color="999999"/>
              <w:bottom w:val="single" w:sz="6" w:space="0" w:color="999999"/>
              <w:right w:val="single" w:sz="6" w:space="0" w:color="999999"/>
            </w:tcBorders>
            <w:shd w:val="clear" w:color="auto" w:fill="FFFFFF"/>
            <w:hideMark/>
          </w:tcPr>
          <w:p w14:paraId="7880798F" w14:textId="77777777" w:rsidR="002A4ED8" w:rsidRPr="004E7C9A" w:rsidRDefault="002A4ED8">
            <w:pPr>
              <w:pStyle w:val="NormalWeb"/>
              <w:jc w:val="both"/>
              <w:rPr>
                <w:rFonts w:asciiTheme="minorHAnsi" w:hAnsiTheme="minorHAnsi" w:cstheme="minorHAnsi"/>
                <w:sz w:val="22"/>
                <w:szCs w:val="22"/>
              </w:rPr>
            </w:pPr>
            <w:r w:rsidRPr="004E7C9A">
              <w:rPr>
                <w:rStyle w:val="Strong"/>
                <w:rFonts w:asciiTheme="minorHAnsi" w:hAnsiTheme="minorHAnsi" w:cstheme="minorHAnsi"/>
                <w:sz w:val="22"/>
                <w:szCs w:val="22"/>
              </w:rPr>
              <w:lastRenderedPageBreak/>
              <w:t>C. Place of supply in case of supply of the “co-location services”</w:t>
            </w:r>
          </w:p>
        </w:tc>
      </w:tr>
      <w:tr w:rsidR="002A4ED8" w:rsidRPr="002A4ED8" w14:paraId="59F64D97" w14:textId="77777777" w:rsidTr="002A4ED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A468F3"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5B2118"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Co-location is a data center facility in which a business/company can rent space for its own servers and other computing hardware along with various other bundled services related to Hosting and information technology (IT) infrastructure.</w:t>
            </w:r>
          </w:p>
          <w:p w14:paraId="7511885B"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 xml:space="preserve">A business/company who avails the co-location services primarily seek security and upkeep of its server/s, storage and network hardware; operating systems, system software and may require </w:t>
            </w:r>
            <w:proofErr w:type="gramStart"/>
            <w:r w:rsidRPr="004E7C9A">
              <w:rPr>
                <w:rFonts w:asciiTheme="minorHAnsi" w:hAnsiTheme="minorHAnsi" w:cstheme="minorHAnsi"/>
                <w:sz w:val="22"/>
                <w:szCs w:val="22"/>
              </w:rPr>
              <w:t>to interact</w:t>
            </w:r>
            <w:proofErr w:type="gramEnd"/>
            <w:r w:rsidRPr="004E7C9A">
              <w:rPr>
                <w:rFonts w:asciiTheme="minorHAnsi" w:hAnsiTheme="minorHAnsi" w:cstheme="minorHAnsi"/>
                <w:sz w:val="22"/>
                <w:szCs w:val="22"/>
              </w:rPr>
              <w:t xml:space="preserve"> with the system through a web-based interface for the hosting of its websites or other applications and operation of the servers.</w:t>
            </w:r>
          </w:p>
          <w:p w14:paraId="3CA907D1"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In this respect, various doubts have been raised as to</w:t>
            </w:r>
          </w:p>
          <w:p w14:paraId="3B9DA109" w14:textId="77777777" w:rsidR="002A4ED8" w:rsidRPr="004E7C9A" w:rsidRDefault="002A4ED8">
            <w:pPr>
              <w:pStyle w:val="NormalWeb"/>
              <w:ind w:left="600"/>
              <w:jc w:val="both"/>
              <w:rPr>
                <w:rFonts w:asciiTheme="minorHAnsi" w:hAnsiTheme="minorHAnsi" w:cstheme="minorHAnsi"/>
                <w:sz w:val="22"/>
                <w:szCs w:val="22"/>
              </w:rPr>
            </w:pPr>
            <w:proofErr w:type="spellStart"/>
            <w:r w:rsidRPr="004E7C9A">
              <w:rPr>
                <w:rFonts w:asciiTheme="minorHAnsi" w:hAnsiTheme="minorHAnsi" w:cstheme="minorHAnsi"/>
                <w:sz w:val="22"/>
                <w:szCs w:val="22"/>
              </w:rPr>
              <w:t>i</w:t>
            </w:r>
            <w:proofErr w:type="spellEnd"/>
            <w:r w:rsidRPr="004E7C9A">
              <w:rPr>
                <w:rFonts w:asciiTheme="minorHAnsi" w:hAnsiTheme="minorHAnsi" w:cstheme="minorHAnsi"/>
                <w:sz w:val="22"/>
                <w:szCs w:val="22"/>
              </w:rPr>
              <w:t>. whether supply of co-</w:t>
            </w:r>
            <w:r w:rsidRPr="004E7C9A">
              <w:rPr>
                <w:rFonts w:asciiTheme="minorHAnsi" w:hAnsiTheme="minorHAnsi" w:cstheme="minorHAnsi"/>
                <w:sz w:val="22"/>
                <w:szCs w:val="22"/>
              </w:rPr>
              <w:lastRenderedPageBreak/>
              <w:t>location services are renting of immovable property service (as it involves renting of space for keeping/storing company’s hardware/servers) and hence the place of supply of such services is to be determined in terms of provision of clause (a) of </w:t>
            </w:r>
            <w:hyperlink r:id="rId139" w:history="1">
              <w:r w:rsidRPr="004E7C9A">
                <w:rPr>
                  <w:rStyle w:val="Hyperlink"/>
                  <w:rFonts w:asciiTheme="minorHAnsi" w:hAnsiTheme="minorHAnsi" w:cstheme="minorHAnsi"/>
                  <w:color w:val="auto"/>
                  <w:sz w:val="22"/>
                  <w:szCs w:val="22"/>
                  <w:u w:val="none"/>
                </w:rPr>
                <w:t>sub-section (3) of Section 12</w:t>
              </w:r>
            </w:hyperlink>
            <w:r w:rsidRPr="004E7C9A">
              <w:rPr>
                <w:rFonts w:asciiTheme="minorHAnsi" w:hAnsiTheme="minorHAnsi" w:cstheme="minorHAnsi"/>
                <w:sz w:val="22"/>
                <w:szCs w:val="22"/>
              </w:rPr>
              <w:t> of the </w:t>
            </w:r>
            <w:hyperlink r:id="rId140" w:history="1">
              <w:r w:rsidRPr="004E7C9A">
                <w:rPr>
                  <w:rStyle w:val="Hyperlink"/>
                  <w:rFonts w:asciiTheme="minorHAnsi" w:hAnsiTheme="minorHAnsi" w:cstheme="minorHAnsi"/>
                  <w:color w:val="auto"/>
                  <w:sz w:val="22"/>
                  <w:szCs w:val="22"/>
                  <w:u w:val="none"/>
                </w:rPr>
                <w:t>IGST Act </w:t>
              </w:r>
            </w:hyperlink>
            <w:r w:rsidRPr="004E7C9A">
              <w:rPr>
                <w:rFonts w:asciiTheme="minorHAnsi" w:hAnsiTheme="minorHAnsi" w:cstheme="minorHAnsi"/>
                <w:sz w:val="22"/>
                <w:szCs w:val="22"/>
              </w:rPr>
              <w:t>which is the location where the immovable property is located; or</w:t>
            </w:r>
          </w:p>
          <w:p w14:paraId="2937B462" w14:textId="77777777" w:rsidR="002A4ED8" w:rsidRPr="004E7C9A" w:rsidRDefault="002A4ED8">
            <w:pPr>
              <w:pStyle w:val="NormalWeb"/>
              <w:ind w:left="600"/>
              <w:jc w:val="both"/>
              <w:rPr>
                <w:rFonts w:asciiTheme="minorHAnsi" w:hAnsiTheme="minorHAnsi" w:cstheme="minorHAnsi"/>
                <w:sz w:val="22"/>
                <w:szCs w:val="22"/>
              </w:rPr>
            </w:pPr>
            <w:r w:rsidRPr="004E7C9A">
              <w:rPr>
                <w:rFonts w:asciiTheme="minorHAnsi" w:hAnsiTheme="minorHAnsi" w:cstheme="minorHAnsi"/>
                <w:sz w:val="22"/>
                <w:szCs w:val="22"/>
              </w:rPr>
              <w:t>ii. whether the place of supply of such services is to be determined by the default place of supply provision under </w:t>
            </w:r>
            <w:hyperlink r:id="rId141" w:history="1">
              <w:r w:rsidRPr="004E7C9A">
                <w:rPr>
                  <w:rStyle w:val="Hyperlink"/>
                  <w:rFonts w:asciiTheme="minorHAnsi" w:hAnsiTheme="minorHAnsi" w:cstheme="minorHAnsi"/>
                  <w:color w:val="auto"/>
                  <w:sz w:val="22"/>
                  <w:szCs w:val="22"/>
                  <w:u w:val="none"/>
                </w:rPr>
                <w:t>sub-section (2) of section 12</w:t>
              </w:r>
            </w:hyperlink>
            <w:r w:rsidRPr="004E7C9A">
              <w:rPr>
                <w:rFonts w:asciiTheme="minorHAnsi" w:hAnsiTheme="minorHAnsi" w:cstheme="minorHAnsi"/>
                <w:sz w:val="22"/>
                <w:szCs w:val="22"/>
              </w:rPr>
              <w:t> of the </w:t>
            </w:r>
            <w:hyperlink r:id="rId142"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as the supply of service is Hosting and Information Technology (IT) Infrastructure Provisioning services involving providing services of hosting the servers and related hardware, security of the said hardware, air conditioning, uninterrupted power supply, fire protection system, network connectivity, backup facility, firewall services, 24 hrs. monitoring and surveillance service for ensuring continuous operations of the servers and related hardware, etc.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0FCC79"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lastRenderedPageBreak/>
              <w:t>3.1 It is clarified that the Co-location services are in the nature of “Hosting and information technology (IT) infrastructure provisioning services” (</w:t>
            </w:r>
            <w:proofErr w:type="spellStart"/>
            <w:r w:rsidRPr="004E7C9A">
              <w:rPr>
                <w:rFonts w:asciiTheme="minorHAnsi" w:hAnsiTheme="minorHAnsi" w:cstheme="minorHAnsi"/>
                <w:sz w:val="22"/>
                <w:szCs w:val="22"/>
              </w:rPr>
              <w:t>S.No</w:t>
            </w:r>
            <w:proofErr w:type="spellEnd"/>
            <w:r w:rsidRPr="004E7C9A">
              <w:rPr>
                <w:rFonts w:asciiTheme="minorHAnsi" w:hAnsiTheme="minorHAnsi" w:cstheme="minorHAnsi"/>
                <w:sz w:val="22"/>
                <w:szCs w:val="22"/>
              </w:rPr>
              <w:t xml:space="preserve">. 3 of Explanatory notes of SAC-998315). Such services do not appear to be limited to the passive activity of making immovable property available to a customer as the arrangement of the supply of colocation services not only involves providing of a physical space for server/network hardware along with air conditioning, security service, fire protection system and power supply but it also </w:t>
            </w:r>
            <w:r w:rsidRPr="004E7C9A">
              <w:rPr>
                <w:rFonts w:asciiTheme="minorHAnsi" w:hAnsiTheme="minorHAnsi" w:cstheme="minorHAnsi"/>
                <w:sz w:val="22"/>
                <w:szCs w:val="22"/>
              </w:rPr>
              <w:lastRenderedPageBreak/>
              <w:t>involves the supply of various services by the supplier related to hosting and information technology infrastructure services like network connectivity, backup facility, firewall services, and monitoring and surveillance service for ensuring continuous operations of the servers and related hardware, etc. which are essential for the recipient business/company to interact with the system through a web based interface relating to the hosting and operation of the servers.</w:t>
            </w:r>
          </w:p>
          <w:p w14:paraId="4E2412A0"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3.2 In such cases, supply of colocation services cannot be considered as the services of supply of renting of immovable property. Therefore, the place of supply of the colocation services shall not be determined by the provisions of </w:t>
            </w:r>
            <w:hyperlink r:id="rId143" w:history="1">
              <w:r w:rsidRPr="004E7C9A">
                <w:rPr>
                  <w:rStyle w:val="Hyperlink"/>
                  <w:rFonts w:asciiTheme="minorHAnsi" w:hAnsiTheme="minorHAnsi" w:cstheme="minorHAnsi"/>
                  <w:color w:val="auto"/>
                  <w:sz w:val="22"/>
                  <w:szCs w:val="22"/>
                  <w:u w:val="none"/>
                </w:rPr>
                <w:t>clause (a) of sub-section (3) of Section 12 </w:t>
              </w:r>
            </w:hyperlink>
            <w:r w:rsidRPr="004E7C9A">
              <w:rPr>
                <w:rFonts w:asciiTheme="minorHAnsi" w:hAnsiTheme="minorHAnsi" w:cstheme="minorHAnsi"/>
                <w:sz w:val="22"/>
                <w:szCs w:val="22"/>
              </w:rPr>
              <w:t>of the </w:t>
            </w:r>
            <w:hyperlink r:id="rId144"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but the same shall be determined by the default place of supply provision under </w:t>
            </w:r>
            <w:hyperlink r:id="rId145" w:history="1">
              <w:r w:rsidRPr="004E7C9A">
                <w:rPr>
                  <w:rStyle w:val="Hyperlink"/>
                  <w:rFonts w:asciiTheme="minorHAnsi" w:hAnsiTheme="minorHAnsi" w:cstheme="minorHAnsi"/>
                  <w:color w:val="auto"/>
                  <w:sz w:val="22"/>
                  <w:szCs w:val="22"/>
                  <w:u w:val="none"/>
                </w:rPr>
                <w:t>sub-section (2) of Section 12</w:t>
              </w:r>
            </w:hyperlink>
            <w:r w:rsidRPr="004E7C9A">
              <w:rPr>
                <w:rFonts w:asciiTheme="minorHAnsi" w:hAnsiTheme="minorHAnsi" w:cstheme="minorHAnsi"/>
                <w:sz w:val="22"/>
                <w:szCs w:val="22"/>
              </w:rPr>
              <w:t> of the </w:t>
            </w:r>
            <w:hyperlink r:id="rId146" w:history="1">
              <w:r w:rsidRPr="004E7C9A">
                <w:rPr>
                  <w:rStyle w:val="Hyperlink"/>
                  <w:rFonts w:asciiTheme="minorHAnsi" w:hAnsiTheme="minorHAnsi" w:cstheme="minorHAnsi"/>
                  <w:color w:val="auto"/>
                  <w:sz w:val="22"/>
                  <w:szCs w:val="22"/>
                  <w:u w:val="none"/>
                </w:rPr>
                <w:t>IGST Act</w:t>
              </w:r>
            </w:hyperlink>
            <w:r w:rsidRPr="004E7C9A">
              <w:rPr>
                <w:rFonts w:asciiTheme="minorHAnsi" w:hAnsiTheme="minorHAnsi" w:cstheme="minorHAnsi"/>
                <w:sz w:val="22"/>
                <w:szCs w:val="22"/>
              </w:rPr>
              <w:t> i.e. location of recipient of co-location service.</w:t>
            </w:r>
          </w:p>
          <w:p w14:paraId="58EB67B4"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 xml:space="preserve">3.3 However, in cases where the agreement between the supplier and the recipient is restricted to providing physical space on rent along with basic </w:t>
            </w:r>
            <w:r w:rsidRPr="004E7C9A">
              <w:rPr>
                <w:rFonts w:asciiTheme="minorHAnsi" w:hAnsiTheme="minorHAnsi" w:cstheme="minorHAnsi"/>
                <w:sz w:val="22"/>
                <w:szCs w:val="22"/>
              </w:rPr>
              <w:t>infrastructure, without components of Hosting and Information Technology (IT) Infrastructure Provisioning services and the further responsibility of upkeep, running, monitoring and surveillance, etc. of the servers and related hardware is of recipient of services only, then the said supply of services shall be considered as the supply of the service of renting of immovable property. Accordingly, the place of supply of these services shall be determined by the provisions of </w:t>
            </w:r>
            <w:hyperlink r:id="rId147" w:history="1">
              <w:r w:rsidRPr="004E7C9A">
                <w:rPr>
                  <w:rStyle w:val="Hyperlink"/>
                  <w:rFonts w:asciiTheme="minorHAnsi" w:hAnsiTheme="minorHAnsi" w:cstheme="minorHAnsi"/>
                  <w:color w:val="auto"/>
                  <w:sz w:val="22"/>
                  <w:szCs w:val="22"/>
                  <w:u w:val="none"/>
                </w:rPr>
                <w:t>clause (a) of sub-section (3) of Section 12</w:t>
              </w:r>
            </w:hyperlink>
            <w:r w:rsidRPr="004E7C9A">
              <w:rPr>
                <w:rFonts w:asciiTheme="minorHAnsi" w:hAnsiTheme="minorHAnsi" w:cstheme="minorHAnsi"/>
                <w:sz w:val="22"/>
                <w:szCs w:val="22"/>
              </w:rPr>
              <w:t> of the </w:t>
            </w:r>
            <w:hyperlink r:id="rId148" w:history="1">
              <w:r w:rsidRPr="004E7C9A">
                <w:rPr>
                  <w:rStyle w:val="Hyperlink"/>
                  <w:rFonts w:asciiTheme="minorHAnsi" w:hAnsiTheme="minorHAnsi" w:cstheme="minorHAnsi"/>
                  <w:color w:val="auto"/>
                  <w:sz w:val="22"/>
                  <w:szCs w:val="22"/>
                  <w:u w:val="none"/>
                </w:rPr>
                <w:t>IGST Act </w:t>
              </w:r>
            </w:hyperlink>
            <w:r w:rsidRPr="004E7C9A">
              <w:rPr>
                <w:rFonts w:asciiTheme="minorHAnsi" w:hAnsiTheme="minorHAnsi" w:cstheme="minorHAnsi"/>
                <w:sz w:val="22"/>
                <w:szCs w:val="22"/>
              </w:rPr>
              <w:t>which is the location where the immovable property is located.</w:t>
            </w:r>
          </w:p>
        </w:tc>
      </w:tr>
    </w:tbl>
    <w:p w14:paraId="590B7498" w14:textId="77777777" w:rsidR="002A4ED8" w:rsidRPr="004E7C9A" w:rsidRDefault="002A4ED8" w:rsidP="002A4ED8">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lastRenderedPageBreak/>
        <w:t>3. Difficulty, if any, in implementation of the above instructions may please be brought to the notice of the Board. Hindi version would follow.</w:t>
      </w:r>
    </w:p>
    <w:p w14:paraId="405C07B2" w14:textId="77777777" w:rsidR="002A4ED8" w:rsidRDefault="002A4ED8" w:rsidP="002A4ED8">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p>
    <w:p w14:paraId="44E3FFF6" w14:textId="77777777" w:rsidR="002A4ED8" w:rsidRPr="00647D75" w:rsidRDefault="002A4ED8" w:rsidP="002A4ED8">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CIRCULAR</w:t>
      </w:r>
    </w:p>
    <w:p w14:paraId="41646971" w14:textId="52296620" w:rsidR="002A4ED8" w:rsidRPr="00D32138" w:rsidRDefault="002A4ED8" w:rsidP="002A4ED8">
      <w:pPr>
        <w:shd w:val="clear" w:color="auto" w:fill="8DC182"/>
        <w:tabs>
          <w:tab w:val="left" w:pos="4820"/>
        </w:tabs>
        <w:autoSpaceDE w:val="0"/>
        <w:autoSpaceDN w:val="0"/>
        <w:adjustRightInd w:val="0"/>
        <w:spacing w:after="0" w:line="276" w:lineRule="auto"/>
        <w:ind w:right="11"/>
        <w:jc w:val="both"/>
        <w:rPr>
          <w:rFonts w:cstheme="minorHAnsi"/>
          <w:b/>
          <w:bCs/>
        </w:rPr>
      </w:pPr>
      <w:r w:rsidRPr="002A4ED8">
        <w:rPr>
          <w:rFonts w:cstheme="minorHAnsi"/>
          <w:b/>
          <w:bCs/>
        </w:rPr>
        <w:t>CLARIFICATION ON ISSUES PERTAINING TO TAXABILITY OF PERSONAL GUARANTEE AND CORPORATE GUARANTEE IN GST</w:t>
      </w:r>
    </w:p>
    <w:p w14:paraId="0B696E42" w14:textId="77777777" w:rsidR="002A4ED8" w:rsidRPr="004E7C9A" w:rsidRDefault="002A4ED8" w:rsidP="002A4ED8">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CBIC, vide Circular No. </w:t>
      </w:r>
      <w:r w:rsidRPr="00837353">
        <w:rPr>
          <w:rFonts w:asciiTheme="minorHAnsi" w:hAnsiTheme="minorHAnsi" w:cstheme="minorHAnsi"/>
          <w:sz w:val="22"/>
          <w:szCs w:val="22"/>
        </w:rPr>
        <w:t>20</w:t>
      </w:r>
      <w:r>
        <w:rPr>
          <w:rFonts w:asciiTheme="minorHAnsi" w:hAnsiTheme="minorHAnsi" w:cstheme="minorHAnsi"/>
          <w:sz w:val="22"/>
          <w:szCs w:val="22"/>
        </w:rPr>
        <w:t>4</w:t>
      </w:r>
      <w:r w:rsidRPr="00837353">
        <w:rPr>
          <w:rFonts w:asciiTheme="minorHAnsi" w:hAnsiTheme="minorHAnsi" w:cstheme="minorHAnsi"/>
          <w:sz w:val="22"/>
          <w:szCs w:val="22"/>
        </w:rPr>
        <w:t>/1</w:t>
      </w:r>
      <w:r>
        <w:rPr>
          <w:rFonts w:asciiTheme="minorHAnsi" w:hAnsiTheme="minorHAnsi" w:cstheme="minorHAnsi"/>
          <w:sz w:val="22"/>
          <w:szCs w:val="22"/>
        </w:rPr>
        <w:t>6</w:t>
      </w:r>
      <w:r w:rsidRPr="00837353">
        <w:rPr>
          <w:rFonts w:asciiTheme="minorHAnsi" w:hAnsiTheme="minorHAnsi" w:cstheme="minorHAnsi"/>
          <w:sz w:val="22"/>
          <w:szCs w:val="22"/>
        </w:rPr>
        <w:t>/2023-GST</w:t>
      </w:r>
      <w:r>
        <w:rPr>
          <w:rFonts w:asciiTheme="minorHAnsi" w:hAnsiTheme="minorHAnsi" w:cstheme="minorHAnsi"/>
          <w:sz w:val="22"/>
          <w:szCs w:val="22"/>
        </w:rPr>
        <w:t xml:space="preserve"> dated 27.10.2023 issued </w:t>
      </w:r>
      <w:r w:rsidRPr="002A4ED8">
        <w:rPr>
          <w:rFonts w:asciiTheme="minorHAnsi" w:hAnsiTheme="minorHAnsi" w:cstheme="minorHAnsi"/>
          <w:sz w:val="22"/>
          <w:szCs w:val="22"/>
        </w:rPr>
        <w:t xml:space="preserve">Clarification on issues pertaining to taxability of personal guarantee and corporate guarantee in GST. </w:t>
      </w:r>
      <w:r w:rsidRPr="004E7C9A">
        <w:rPr>
          <w:rFonts w:asciiTheme="minorHAnsi" w:hAnsiTheme="minorHAnsi" w:cstheme="minorHAnsi"/>
          <w:sz w:val="22"/>
          <w:szCs w:val="22"/>
        </w:rPr>
        <w:t xml:space="preserve">Representations have been received from the trade and field formations seeking clarification on certain issues with respect to taxability of activity of providing personal bank guarantee by Directors to banks for securing credit facilities for the company. Similarly, clarifications are being sought with respect to taxability and valuation of the activity of providing corporate guarantee by a related person to banks/financial institutions for another </w:t>
      </w:r>
      <w:r w:rsidRPr="004E7C9A">
        <w:rPr>
          <w:rFonts w:asciiTheme="minorHAnsi" w:hAnsiTheme="minorHAnsi" w:cstheme="minorHAnsi"/>
          <w:sz w:val="22"/>
          <w:szCs w:val="22"/>
        </w:rPr>
        <w:lastRenderedPageBreak/>
        <w:t xml:space="preserve">related person, as well as by a holding company </w:t>
      </w:r>
      <w:proofErr w:type="gramStart"/>
      <w:r w:rsidRPr="004E7C9A">
        <w:rPr>
          <w:rFonts w:asciiTheme="minorHAnsi" w:hAnsiTheme="minorHAnsi" w:cstheme="minorHAnsi"/>
          <w:sz w:val="22"/>
          <w:szCs w:val="22"/>
        </w:rPr>
        <w:t>in order to</w:t>
      </w:r>
      <w:proofErr w:type="gramEnd"/>
      <w:r w:rsidRPr="004E7C9A">
        <w:rPr>
          <w:rFonts w:asciiTheme="minorHAnsi" w:hAnsiTheme="minorHAnsi" w:cstheme="minorHAnsi"/>
          <w:sz w:val="22"/>
          <w:szCs w:val="22"/>
        </w:rPr>
        <w:t xml:space="preserve"> secure credit facilities for its subsidiary company.</w:t>
      </w:r>
    </w:p>
    <w:p w14:paraId="66B79A6A" w14:textId="77777777" w:rsidR="002A4ED8" w:rsidRPr="004E7C9A" w:rsidRDefault="002A4ED8" w:rsidP="002A4ED8">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2. In order to ensure uniformity in the implementation of the provisions of law across the field formations, the Board, in exercise of its powers conferred by </w:t>
      </w:r>
      <w:hyperlink r:id="rId149" w:history="1">
        <w:r w:rsidRPr="004E7C9A">
          <w:rPr>
            <w:rStyle w:val="Hyperlink"/>
            <w:rFonts w:asciiTheme="minorHAnsi" w:hAnsiTheme="minorHAnsi" w:cstheme="minorHAnsi"/>
            <w:color w:val="auto"/>
            <w:sz w:val="22"/>
            <w:szCs w:val="22"/>
            <w:u w:val="none"/>
          </w:rPr>
          <w:t>section 168 (1)</w:t>
        </w:r>
      </w:hyperlink>
      <w:r w:rsidRPr="004E7C9A">
        <w:rPr>
          <w:rFonts w:asciiTheme="minorHAnsi" w:hAnsiTheme="minorHAnsi" w:cstheme="minorHAnsi"/>
          <w:sz w:val="22"/>
          <w:szCs w:val="22"/>
        </w:rPr>
        <w:t> of the </w:t>
      </w:r>
      <w:hyperlink r:id="rId150" w:history="1">
        <w:r w:rsidRPr="004E7C9A">
          <w:rPr>
            <w:rStyle w:val="Hyperlink"/>
            <w:rFonts w:asciiTheme="minorHAnsi" w:hAnsiTheme="minorHAnsi" w:cstheme="minorHAnsi"/>
            <w:color w:val="auto"/>
            <w:sz w:val="22"/>
            <w:szCs w:val="22"/>
            <w:u w:val="none"/>
          </w:rPr>
          <w:t>Central Goods and Services Tax Act, 2017</w:t>
        </w:r>
      </w:hyperlink>
      <w:r w:rsidRPr="004E7C9A">
        <w:rPr>
          <w:rFonts w:asciiTheme="minorHAnsi" w:hAnsiTheme="minorHAnsi" w:cstheme="minorHAnsi"/>
          <w:sz w:val="22"/>
          <w:szCs w:val="22"/>
        </w:rPr>
        <w:t> (hereinafter referred to as “CGST Act”), hereby clarifies the issues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59"/>
        <w:gridCol w:w="2185"/>
        <w:gridCol w:w="2946"/>
      </w:tblGrid>
      <w:tr w:rsidR="002A4ED8" w:rsidRPr="002A4ED8" w14:paraId="76CC7FB7" w14:textId="77777777" w:rsidTr="002A4ED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ABC419" w14:textId="77777777" w:rsidR="002A4ED8" w:rsidRPr="004E7C9A" w:rsidRDefault="002A4ED8">
            <w:pPr>
              <w:pStyle w:val="NormalWeb"/>
              <w:jc w:val="both"/>
              <w:rPr>
                <w:rFonts w:asciiTheme="minorHAnsi" w:hAnsiTheme="minorHAnsi" w:cstheme="minorHAnsi"/>
                <w:sz w:val="22"/>
                <w:szCs w:val="22"/>
              </w:rPr>
            </w:pPr>
            <w:r w:rsidRPr="004E7C9A">
              <w:rPr>
                <w:rStyle w:val="Strong"/>
                <w:rFonts w:asciiTheme="minorHAnsi" w:hAnsiTheme="minorHAnsi" w:cstheme="minorHAnsi"/>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8EB073" w14:textId="77777777" w:rsidR="002A4ED8" w:rsidRPr="004E7C9A" w:rsidRDefault="002A4ED8">
            <w:pPr>
              <w:pStyle w:val="NormalWeb"/>
              <w:jc w:val="center"/>
              <w:rPr>
                <w:rFonts w:asciiTheme="minorHAnsi" w:hAnsiTheme="minorHAnsi" w:cstheme="minorHAnsi"/>
                <w:sz w:val="22"/>
                <w:szCs w:val="22"/>
              </w:rPr>
            </w:pPr>
            <w:r w:rsidRPr="004E7C9A">
              <w:rPr>
                <w:rStyle w:val="Strong"/>
                <w:rFonts w:asciiTheme="minorHAnsi" w:hAnsiTheme="minorHAnsi" w:cstheme="minorHAnsi"/>
                <w:sz w:val="22"/>
                <w:szCs w:val="22"/>
              </w:rPr>
              <w:t>Issue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13FC8E" w14:textId="77777777" w:rsidR="002A4ED8" w:rsidRPr="004E7C9A" w:rsidRDefault="002A4ED8">
            <w:pPr>
              <w:pStyle w:val="NormalWeb"/>
              <w:jc w:val="center"/>
              <w:rPr>
                <w:rFonts w:asciiTheme="minorHAnsi" w:hAnsiTheme="minorHAnsi" w:cstheme="minorHAnsi"/>
                <w:sz w:val="22"/>
                <w:szCs w:val="22"/>
              </w:rPr>
            </w:pPr>
            <w:r w:rsidRPr="004E7C9A">
              <w:rPr>
                <w:rStyle w:val="Strong"/>
                <w:rFonts w:asciiTheme="minorHAnsi" w:hAnsiTheme="minorHAnsi" w:cstheme="minorHAnsi"/>
                <w:sz w:val="22"/>
                <w:szCs w:val="22"/>
              </w:rPr>
              <w:t>Clarification</w:t>
            </w:r>
          </w:p>
        </w:tc>
      </w:tr>
      <w:tr w:rsidR="002A4ED8" w:rsidRPr="002A4ED8" w14:paraId="0A63754A" w14:textId="77777777" w:rsidTr="002A4ED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4C8F29"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1CEAB0"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Whether the activity of providing personal guarantee by the Director of a company to the bank/ financial institutions for sanctioning of credit facilities to the said company without any consideration will be treated as a supply of service or not and whether the same will attract GST or not.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645720"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As per </w:t>
            </w:r>
            <w:hyperlink r:id="rId151" w:history="1">
              <w:r w:rsidRPr="004E7C9A">
                <w:rPr>
                  <w:rStyle w:val="Hyperlink"/>
                  <w:rFonts w:asciiTheme="minorHAnsi" w:hAnsiTheme="minorHAnsi" w:cstheme="minorHAnsi"/>
                  <w:color w:val="auto"/>
                  <w:sz w:val="22"/>
                  <w:szCs w:val="22"/>
                  <w:u w:val="none"/>
                </w:rPr>
                <w:t>Explanation (a) to section 15</w:t>
              </w:r>
            </w:hyperlink>
            <w:r w:rsidRPr="004E7C9A">
              <w:rPr>
                <w:rFonts w:asciiTheme="minorHAnsi" w:hAnsiTheme="minorHAnsi" w:cstheme="minorHAnsi"/>
                <w:sz w:val="22"/>
                <w:szCs w:val="22"/>
              </w:rPr>
              <w:t> of </w:t>
            </w:r>
            <w:hyperlink r:id="rId152" w:history="1">
              <w:r w:rsidRPr="004E7C9A">
                <w:rPr>
                  <w:rStyle w:val="Hyperlink"/>
                  <w:rFonts w:asciiTheme="minorHAnsi" w:hAnsiTheme="minorHAnsi" w:cstheme="minorHAnsi"/>
                  <w:color w:val="auto"/>
                  <w:sz w:val="22"/>
                  <w:szCs w:val="22"/>
                  <w:u w:val="none"/>
                </w:rPr>
                <w:t>CGST Act</w:t>
              </w:r>
            </w:hyperlink>
            <w:r w:rsidRPr="004E7C9A">
              <w:rPr>
                <w:rFonts w:asciiTheme="minorHAnsi" w:hAnsiTheme="minorHAnsi" w:cstheme="minorHAnsi"/>
                <w:sz w:val="22"/>
                <w:szCs w:val="22"/>
              </w:rPr>
              <w:t>, the director and the company are to be treated as related persons. As per </w:t>
            </w:r>
            <w:hyperlink r:id="rId153" w:history="1">
              <w:r w:rsidRPr="004E7C9A">
                <w:rPr>
                  <w:rStyle w:val="Hyperlink"/>
                  <w:rFonts w:asciiTheme="minorHAnsi" w:hAnsiTheme="minorHAnsi" w:cstheme="minorHAnsi"/>
                  <w:color w:val="auto"/>
                  <w:sz w:val="22"/>
                  <w:szCs w:val="22"/>
                  <w:u w:val="none"/>
                </w:rPr>
                <w:t>clause (c) of sub-section (1) of section 7</w:t>
              </w:r>
            </w:hyperlink>
            <w:r w:rsidRPr="004E7C9A">
              <w:rPr>
                <w:rFonts w:asciiTheme="minorHAnsi" w:hAnsiTheme="minorHAnsi" w:cstheme="minorHAnsi"/>
                <w:sz w:val="22"/>
                <w:szCs w:val="22"/>
              </w:rPr>
              <w:t> of the </w:t>
            </w:r>
            <w:hyperlink r:id="rId154" w:history="1">
              <w:r w:rsidRPr="004E7C9A">
                <w:rPr>
                  <w:rStyle w:val="Hyperlink"/>
                  <w:rFonts w:asciiTheme="minorHAnsi" w:hAnsiTheme="minorHAnsi" w:cstheme="minorHAnsi"/>
                  <w:color w:val="auto"/>
                  <w:sz w:val="22"/>
                  <w:szCs w:val="22"/>
                  <w:u w:val="none"/>
                </w:rPr>
                <w:t>CGST Act, 2017</w:t>
              </w:r>
            </w:hyperlink>
            <w:r w:rsidRPr="004E7C9A">
              <w:rPr>
                <w:rFonts w:asciiTheme="minorHAnsi" w:hAnsiTheme="minorHAnsi" w:cstheme="minorHAnsi"/>
                <w:sz w:val="22"/>
                <w:szCs w:val="22"/>
              </w:rPr>
              <w:t>, read with </w:t>
            </w:r>
            <w:hyperlink r:id="rId155" w:history="1">
              <w:r w:rsidRPr="004E7C9A">
                <w:rPr>
                  <w:rStyle w:val="Hyperlink"/>
                  <w:rFonts w:asciiTheme="minorHAnsi" w:hAnsiTheme="minorHAnsi" w:cstheme="minorHAnsi"/>
                  <w:color w:val="auto"/>
                  <w:sz w:val="22"/>
                  <w:szCs w:val="22"/>
                  <w:u w:val="none"/>
                </w:rPr>
                <w:t>S. No. 2 of Schedule I </w:t>
              </w:r>
            </w:hyperlink>
            <w:r w:rsidRPr="004E7C9A">
              <w:rPr>
                <w:rFonts w:asciiTheme="minorHAnsi" w:hAnsiTheme="minorHAnsi" w:cstheme="minorHAnsi"/>
                <w:sz w:val="22"/>
                <w:szCs w:val="22"/>
              </w:rPr>
              <w:t>of </w:t>
            </w:r>
            <w:hyperlink r:id="rId156" w:history="1">
              <w:r w:rsidRPr="004E7C9A">
                <w:rPr>
                  <w:rStyle w:val="Hyperlink"/>
                  <w:rFonts w:asciiTheme="minorHAnsi" w:hAnsiTheme="minorHAnsi" w:cstheme="minorHAnsi"/>
                  <w:color w:val="auto"/>
                  <w:sz w:val="22"/>
                  <w:szCs w:val="22"/>
                  <w:u w:val="none"/>
                </w:rPr>
                <w:t>CGST Act</w:t>
              </w:r>
            </w:hyperlink>
            <w:r w:rsidRPr="004E7C9A">
              <w:rPr>
                <w:rFonts w:asciiTheme="minorHAnsi" w:hAnsiTheme="minorHAnsi" w:cstheme="minorHAnsi"/>
                <w:sz w:val="22"/>
                <w:szCs w:val="22"/>
              </w:rPr>
              <w:t>, supply of goods or services or both between related persons, when made in the course or furtherance of business, shall be treated as supply even if made without consideration. Accordingly, the activity of providing personal guarantee by the Director to the banks/ financial institutions for securing credit facilities for their companies is to be treated as a supply of service, even when made without consideration.</w:t>
            </w:r>
          </w:p>
          <w:p w14:paraId="1E6F43C3" w14:textId="77777777" w:rsidR="002A4ED8" w:rsidRPr="004E7C9A" w:rsidRDefault="002A4ED8">
            <w:pPr>
              <w:pStyle w:val="NormalWeb"/>
              <w:jc w:val="both"/>
              <w:rPr>
                <w:rFonts w:asciiTheme="minorHAnsi" w:hAnsiTheme="minorHAnsi" w:cstheme="minorHAnsi"/>
                <w:sz w:val="22"/>
                <w:szCs w:val="22"/>
              </w:rPr>
            </w:pPr>
            <w:hyperlink r:id="rId157" w:history="1">
              <w:r w:rsidRPr="004E7C9A">
                <w:rPr>
                  <w:rStyle w:val="Hyperlink"/>
                  <w:rFonts w:asciiTheme="minorHAnsi" w:hAnsiTheme="minorHAnsi" w:cstheme="minorHAnsi"/>
                  <w:color w:val="auto"/>
                  <w:sz w:val="22"/>
                  <w:szCs w:val="22"/>
                  <w:u w:val="none"/>
                </w:rPr>
                <w:t>Rule 28</w:t>
              </w:r>
            </w:hyperlink>
            <w:r w:rsidRPr="004E7C9A">
              <w:rPr>
                <w:rFonts w:asciiTheme="minorHAnsi" w:hAnsiTheme="minorHAnsi" w:cstheme="minorHAnsi"/>
                <w:sz w:val="22"/>
                <w:szCs w:val="22"/>
              </w:rPr>
              <w:t> of </w:t>
            </w:r>
            <w:hyperlink r:id="rId158" w:history="1">
              <w:r w:rsidRPr="004E7C9A">
                <w:rPr>
                  <w:rStyle w:val="Hyperlink"/>
                  <w:rFonts w:asciiTheme="minorHAnsi" w:hAnsiTheme="minorHAnsi" w:cstheme="minorHAnsi"/>
                  <w:color w:val="auto"/>
                  <w:sz w:val="22"/>
                  <w:szCs w:val="22"/>
                  <w:u w:val="none"/>
                </w:rPr>
                <w:t>Central Goods and Services Tax Rules, 2017</w:t>
              </w:r>
            </w:hyperlink>
            <w:r w:rsidRPr="004E7C9A">
              <w:rPr>
                <w:rFonts w:asciiTheme="minorHAnsi" w:hAnsiTheme="minorHAnsi" w:cstheme="minorHAnsi"/>
                <w:sz w:val="22"/>
                <w:szCs w:val="22"/>
              </w:rPr>
              <w:t> (hereinafter referred to as “CGST Rules”) prescribes the method for determining the value of the supply of goods or services or both between related parties, other than where the supply is made through an agent. In terms of </w:t>
            </w:r>
            <w:hyperlink r:id="rId159" w:history="1">
              <w:r w:rsidRPr="004E7C9A">
                <w:rPr>
                  <w:rStyle w:val="Hyperlink"/>
                  <w:rFonts w:asciiTheme="minorHAnsi" w:hAnsiTheme="minorHAnsi" w:cstheme="minorHAnsi"/>
                  <w:color w:val="auto"/>
                  <w:sz w:val="22"/>
                  <w:szCs w:val="22"/>
                  <w:u w:val="none"/>
                </w:rPr>
                <w:t>Rule 28 </w:t>
              </w:r>
            </w:hyperlink>
            <w:r w:rsidRPr="004E7C9A">
              <w:rPr>
                <w:rFonts w:asciiTheme="minorHAnsi" w:hAnsiTheme="minorHAnsi" w:cstheme="minorHAnsi"/>
                <w:sz w:val="22"/>
                <w:szCs w:val="22"/>
              </w:rPr>
              <w:t>of </w:t>
            </w:r>
            <w:hyperlink r:id="rId160" w:history="1">
              <w:r w:rsidRPr="004E7C9A">
                <w:rPr>
                  <w:rStyle w:val="Hyperlink"/>
                  <w:rFonts w:asciiTheme="minorHAnsi" w:hAnsiTheme="minorHAnsi" w:cstheme="minorHAnsi"/>
                  <w:color w:val="auto"/>
                  <w:sz w:val="22"/>
                  <w:szCs w:val="22"/>
                  <w:u w:val="none"/>
                </w:rPr>
                <w:t>CGST Rules</w:t>
              </w:r>
            </w:hyperlink>
            <w:r w:rsidRPr="004E7C9A">
              <w:rPr>
                <w:rFonts w:asciiTheme="minorHAnsi" w:hAnsiTheme="minorHAnsi" w:cstheme="minorHAnsi"/>
                <w:sz w:val="22"/>
                <w:szCs w:val="22"/>
              </w:rPr>
              <w:t>, the taxable value of such supply of service shall be the open market value of such supply.</w:t>
            </w:r>
          </w:p>
          <w:p w14:paraId="2D876137"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 xml:space="preserve">RBI has provided guidelines for obtaining personal guarantee of </w:t>
            </w:r>
            <w:r w:rsidRPr="004E7C9A">
              <w:rPr>
                <w:rFonts w:asciiTheme="minorHAnsi" w:hAnsiTheme="minorHAnsi" w:cstheme="minorHAnsi"/>
                <w:sz w:val="22"/>
                <w:szCs w:val="22"/>
              </w:rPr>
              <w:t xml:space="preserve">promoters, directors and other managerial personnel of the borrowing concerns vide Para 2.2.9 of its Circular No. RBI/2021-22/121 dated 9th </w:t>
            </w:r>
            <w:proofErr w:type="gramStart"/>
            <w:r w:rsidRPr="004E7C9A">
              <w:rPr>
                <w:rFonts w:asciiTheme="minorHAnsi" w:hAnsiTheme="minorHAnsi" w:cstheme="minorHAnsi"/>
                <w:sz w:val="22"/>
                <w:szCs w:val="22"/>
              </w:rPr>
              <w:t>November,</w:t>
            </w:r>
            <w:proofErr w:type="gramEnd"/>
            <w:r w:rsidRPr="004E7C9A">
              <w:rPr>
                <w:rFonts w:asciiTheme="minorHAnsi" w:hAnsiTheme="minorHAnsi" w:cstheme="minorHAnsi"/>
                <w:sz w:val="22"/>
                <w:szCs w:val="22"/>
              </w:rPr>
              <w:t xml:space="preserve"> 2021, which is reproduced below:</w:t>
            </w:r>
          </w:p>
          <w:p w14:paraId="3DA9387F" w14:textId="77777777" w:rsidR="002A4ED8" w:rsidRPr="004E7C9A" w:rsidRDefault="002A4ED8">
            <w:pPr>
              <w:pStyle w:val="NormalWeb"/>
              <w:jc w:val="both"/>
              <w:rPr>
                <w:rFonts w:asciiTheme="minorHAnsi" w:hAnsiTheme="minorHAnsi" w:cstheme="minorHAnsi"/>
                <w:sz w:val="22"/>
                <w:szCs w:val="22"/>
              </w:rPr>
            </w:pPr>
            <w:r w:rsidRPr="004E7C9A">
              <w:rPr>
                <w:rStyle w:val="Strong"/>
                <w:rFonts w:asciiTheme="minorHAnsi" w:hAnsiTheme="minorHAnsi" w:cstheme="minorHAnsi"/>
                <w:i/>
                <w:iCs/>
                <w:sz w:val="22"/>
                <w:szCs w:val="22"/>
              </w:rPr>
              <w:t xml:space="preserve">“2.2.9 Guidelines relating to obtaining of personal guarantees of promoters, directors, other managerial personnel, and shareholders of borrowing </w:t>
            </w:r>
            <w:proofErr w:type="gramStart"/>
            <w:r w:rsidRPr="004E7C9A">
              <w:rPr>
                <w:rStyle w:val="Strong"/>
                <w:rFonts w:asciiTheme="minorHAnsi" w:hAnsiTheme="minorHAnsi" w:cstheme="minorHAnsi"/>
                <w:i/>
                <w:iCs/>
                <w:sz w:val="22"/>
                <w:szCs w:val="22"/>
              </w:rPr>
              <w:t>concerns</w:t>
            </w:r>
            <w:proofErr w:type="gramEnd"/>
          </w:p>
          <w:p w14:paraId="1FE93ED9"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i/>
                <w:iCs/>
                <w:sz w:val="22"/>
                <w:szCs w:val="22"/>
              </w:rPr>
              <w:t xml:space="preserve">Banks should take personal guarantees of promoters, directors, other managerial </w:t>
            </w:r>
            <w:proofErr w:type="gramStart"/>
            <w:r w:rsidRPr="004E7C9A">
              <w:rPr>
                <w:rFonts w:asciiTheme="minorHAnsi" w:hAnsiTheme="minorHAnsi" w:cstheme="minorHAnsi"/>
                <w:i/>
                <w:iCs/>
                <w:sz w:val="22"/>
                <w:szCs w:val="22"/>
              </w:rPr>
              <w:t>personnel</w:t>
            </w:r>
            <w:proofErr w:type="gramEnd"/>
            <w:r w:rsidRPr="004E7C9A">
              <w:rPr>
                <w:rFonts w:asciiTheme="minorHAnsi" w:hAnsiTheme="minorHAnsi" w:cstheme="minorHAnsi"/>
                <w:i/>
                <w:iCs/>
                <w:sz w:val="22"/>
                <w:szCs w:val="22"/>
              </w:rPr>
              <w:t xml:space="preserve"> or major shareholders for the credit facilities granted to corporates, public or private, only when absolutely warranted after a careful examination of the circumstances of the case and not as a matter of course. </w:t>
            </w:r>
            <w:proofErr w:type="gramStart"/>
            <w:r w:rsidRPr="004E7C9A">
              <w:rPr>
                <w:rFonts w:asciiTheme="minorHAnsi" w:hAnsiTheme="minorHAnsi" w:cstheme="minorHAnsi"/>
                <w:i/>
                <w:iCs/>
                <w:sz w:val="22"/>
                <w:szCs w:val="22"/>
              </w:rPr>
              <w:t>In order to</w:t>
            </w:r>
            <w:proofErr w:type="gramEnd"/>
            <w:r w:rsidRPr="004E7C9A">
              <w:rPr>
                <w:rFonts w:asciiTheme="minorHAnsi" w:hAnsiTheme="minorHAnsi" w:cstheme="minorHAnsi"/>
                <w:i/>
                <w:iCs/>
                <w:sz w:val="22"/>
                <w:szCs w:val="22"/>
              </w:rPr>
              <w:t xml:space="preserve"> identify the circumstances under which the guarantee may or may not be considered necessary, banks should be guided by the following broad considerations:</w:t>
            </w:r>
          </w:p>
          <w:p w14:paraId="521CD516" w14:textId="77777777" w:rsidR="002A4ED8" w:rsidRPr="004E7C9A" w:rsidRDefault="002A4ED8">
            <w:pPr>
              <w:pStyle w:val="NormalWeb"/>
              <w:jc w:val="both"/>
              <w:rPr>
                <w:rFonts w:asciiTheme="minorHAnsi" w:hAnsiTheme="minorHAnsi" w:cstheme="minorHAnsi"/>
                <w:sz w:val="22"/>
                <w:szCs w:val="22"/>
              </w:rPr>
            </w:pPr>
            <w:r w:rsidRPr="004E7C9A">
              <w:rPr>
                <w:rStyle w:val="Strong"/>
                <w:rFonts w:asciiTheme="minorHAnsi" w:hAnsiTheme="minorHAnsi" w:cstheme="minorHAnsi"/>
                <w:i/>
                <w:iCs/>
                <w:sz w:val="22"/>
                <w:szCs w:val="22"/>
              </w:rPr>
              <w:t>…………………..</w:t>
            </w:r>
          </w:p>
          <w:p w14:paraId="3727870F" w14:textId="77777777" w:rsidR="002A4ED8" w:rsidRPr="004E7C9A" w:rsidRDefault="002A4ED8">
            <w:pPr>
              <w:pStyle w:val="NormalWeb"/>
              <w:jc w:val="both"/>
              <w:rPr>
                <w:rFonts w:asciiTheme="minorHAnsi" w:hAnsiTheme="minorHAnsi" w:cstheme="minorHAnsi"/>
                <w:sz w:val="22"/>
                <w:szCs w:val="22"/>
              </w:rPr>
            </w:pPr>
            <w:r w:rsidRPr="004E7C9A">
              <w:rPr>
                <w:rStyle w:val="Strong"/>
                <w:rFonts w:asciiTheme="minorHAnsi" w:hAnsiTheme="minorHAnsi" w:cstheme="minorHAnsi"/>
                <w:i/>
                <w:iCs/>
                <w:sz w:val="22"/>
                <w:szCs w:val="22"/>
              </w:rPr>
              <w:t xml:space="preserve">C. Worth of the guarantors, payment of </w:t>
            </w:r>
            <w:proofErr w:type="gramStart"/>
            <w:r w:rsidRPr="004E7C9A">
              <w:rPr>
                <w:rStyle w:val="Strong"/>
                <w:rFonts w:asciiTheme="minorHAnsi" w:hAnsiTheme="minorHAnsi" w:cstheme="minorHAnsi"/>
                <w:i/>
                <w:iCs/>
                <w:sz w:val="22"/>
                <w:szCs w:val="22"/>
              </w:rPr>
              <w:t>guarantee</w:t>
            </w:r>
            <w:proofErr w:type="gramEnd"/>
            <w:r w:rsidRPr="004E7C9A">
              <w:rPr>
                <w:rStyle w:val="Strong"/>
                <w:rFonts w:asciiTheme="minorHAnsi" w:hAnsiTheme="minorHAnsi" w:cstheme="minorHAnsi"/>
                <w:i/>
                <w:iCs/>
                <w:sz w:val="22"/>
                <w:szCs w:val="22"/>
              </w:rPr>
              <w:t xml:space="preserve"> commission, etc</w:t>
            </w:r>
          </w:p>
          <w:p w14:paraId="02750AAB"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i/>
                <w:iCs/>
                <w:sz w:val="22"/>
                <w:szCs w:val="22"/>
              </w:rPr>
              <w:t>Where personal guarantees of directors are warranted, they should bear reasonable proportion to the estimated worth of the person. </w:t>
            </w:r>
            <w:r w:rsidRPr="004E7C9A">
              <w:rPr>
                <w:rStyle w:val="Strong"/>
                <w:rFonts w:asciiTheme="minorHAnsi" w:hAnsiTheme="minorHAnsi" w:cstheme="minorHAnsi"/>
                <w:i/>
                <w:iCs/>
                <w:sz w:val="22"/>
                <w:szCs w:val="22"/>
              </w:rPr>
              <w:t>The system of obtaining guarantees should not be used by the directors and other managerial personnel as a source of income from the company</w:t>
            </w:r>
            <w:r w:rsidRPr="004E7C9A">
              <w:rPr>
                <w:rFonts w:asciiTheme="minorHAnsi" w:hAnsiTheme="minorHAnsi" w:cstheme="minorHAnsi"/>
                <w:i/>
                <w:iCs/>
                <w:sz w:val="22"/>
                <w:szCs w:val="22"/>
              </w:rPr>
              <w:t>. </w:t>
            </w:r>
            <w:r w:rsidRPr="004E7C9A">
              <w:rPr>
                <w:rStyle w:val="Strong"/>
                <w:rFonts w:asciiTheme="minorHAnsi" w:hAnsiTheme="minorHAnsi" w:cstheme="minorHAnsi"/>
                <w:i/>
                <w:iCs/>
                <w:sz w:val="22"/>
                <w:szCs w:val="22"/>
              </w:rPr>
              <w:t xml:space="preserve">Banks should obtain an undertaking from the borrowing company as well as the guarantors that no consideration whether by </w:t>
            </w:r>
            <w:r w:rsidRPr="004E7C9A">
              <w:rPr>
                <w:rStyle w:val="Strong"/>
                <w:rFonts w:asciiTheme="minorHAnsi" w:hAnsiTheme="minorHAnsi" w:cstheme="minorHAnsi"/>
                <w:i/>
                <w:iCs/>
                <w:sz w:val="22"/>
                <w:szCs w:val="22"/>
              </w:rPr>
              <w:lastRenderedPageBreak/>
              <w:t>way of commission, brokerage fees or any other form, would be paid by the former or received by the latter, directly or indirectly. This requirement should be incorporated in the bank's terms and conditions for sanctioning of credit limits. </w:t>
            </w:r>
            <w:r w:rsidRPr="004E7C9A">
              <w:rPr>
                <w:rFonts w:asciiTheme="minorHAnsi" w:hAnsiTheme="minorHAnsi" w:cstheme="minorHAnsi"/>
                <w:i/>
                <w:iCs/>
                <w:sz w:val="22"/>
                <w:szCs w:val="22"/>
              </w:rPr>
              <w:t>During the periodic inspections, the bank's inspectors should verify that this stipulation has been complied with. </w:t>
            </w:r>
            <w:r w:rsidRPr="004E7C9A">
              <w:rPr>
                <w:rStyle w:val="Strong"/>
                <w:rFonts w:asciiTheme="minorHAnsi" w:hAnsiTheme="minorHAnsi" w:cstheme="minorHAnsi"/>
                <w:i/>
                <w:iCs/>
                <w:sz w:val="22"/>
                <w:szCs w:val="22"/>
              </w:rPr>
              <w:t xml:space="preserve">There may, however, be exceptional cases where payment of remuneration may be permitted </w:t>
            </w:r>
            <w:proofErr w:type="gramStart"/>
            <w:r w:rsidRPr="004E7C9A">
              <w:rPr>
                <w:rStyle w:val="Strong"/>
                <w:rFonts w:asciiTheme="minorHAnsi" w:hAnsiTheme="minorHAnsi" w:cstheme="minorHAnsi"/>
                <w:i/>
                <w:iCs/>
                <w:sz w:val="22"/>
                <w:szCs w:val="22"/>
              </w:rPr>
              <w:t>e.g.</w:t>
            </w:r>
            <w:proofErr w:type="gramEnd"/>
            <w:r w:rsidRPr="004E7C9A">
              <w:rPr>
                <w:rStyle w:val="Strong"/>
                <w:rFonts w:asciiTheme="minorHAnsi" w:hAnsiTheme="minorHAnsi" w:cstheme="minorHAnsi"/>
                <w:i/>
                <w:iCs/>
                <w:sz w:val="22"/>
                <w:szCs w:val="22"/>
              </w:rPr>
              <w:t xml:space="preserve"> where assisted concerns are not doing well and the existing guarantors are no longer connected with the management but continuance of their guarantees is considered essential because the new management's guarantee is either not available or is found inadequate.</w:t>
            </w:r>
          </w:p>
          <w:p w14:paraId="5F26E8C8" w14:textId="77777777" w:rsidR="002A4ED8" w:rsidRPr="004E7C9A" w:rsidRDefault="002A4ED8">
            <w:pPr>
              <w:pStyle w:val="NormalWeb"/>
              <w:jc w:val="both"/>
              <w:rPr>
                <w:rFonts w:asciiTheme="minorHAnsi" w:hAnsiTheme="minorHAnsi" w:cstheme="minorHAnsi"/>
                <w:sz w:val="22"/>
                <w:szCs w:val="22"/>
              </w:rPr>
            </w:pPr>
            <w:r w:rsidRPr="004E7C9A">
              <w:rPr>
                <w:rStyle w:val="Strong"/>
                <w:rFonts w:asciiTheme="minorHAnsi" w:hAnsiTheme="minorHAnsi" w:cstheme="minorHAnsi"/>
                <w:i/>
                <w:iCs/>
                <w:sz w:val="22"/>
                <w:szCs w:val="22"/>
              </w:rPr>
              <w:t>…………………..”</w:t>
            </w:r>
          </w:p>
          <w:p w14:paraId="72BD365E"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 xml:space="preserve">Accordingly, as per mandate provided by RBI in terms of Para 2.2.9 (C) of RBI’s Circular No. RBI/2021-22/121 dated 9th </w:t>
            </w:r>
            <w:proofErr w:type="gramStart"/>
            <w:r w:rsidRPr="004E7C9A">
              <w:rPr>
                <w:rFonts w:asciiTheme="minorHAnsi" w:hAnsiTheme="minorHAnsi" w:cstheme="minorHAnsi"/>
                <w:sz w:val="22"/>
                <w:szCs w:val="22"/>
              </w:rPr>
              <w:t>November,</w:t>
            </w:r>
            <w:proofErr w:type="gramEnd"/>
            <w:r w:rsidRPr="004E7C9A">
              <w:rPr>
                <w:rFonts w:asciiTheme="minorHAnsi" w:hAnsiTheme="minorHAnsi" w:cstheme="minorHAnsi"/>
                <w:sz w:val="22"/>
                <w:szCs w:val="22"/>
              </w:rPr>
              <w:t xml:space="preserve"> 2021, no consideration by way of commission, brokerage fees or any other form, can be paid to the director by the company, directly or indirectly, in lieu of providing personal guarantee to the bank for borrowing credit limits. As such, when no consideration can be paid for the said transaction by the company to the director in any form, directly or indirectly, as per RBI mandate, there is no question of such supply/ transaction having any open market value. </w:t>
            </w:r>
            <w:r w:rsidRPr="004E7C9A">
              <w:rPr>
                <w:rStyle w:val="Strong"/>
                <w:rFonts w:asciiTheme="minorHAnsi" w:hAnsiTheme="minorHAnsi" w:cstheme="minorHAnsi"/>
                <w:sz w:val="22"/>
                <w:szCs w:val="22"/>
              </w:rPr>
              <w:t xml:space="preserve">Accordingly, the open market value of the said </w:t>
            </w:r>
            <w:r w:rsidRPr="004E7C9A">
              <w:rPr>
                <w:rStyle w:val="Strong"/>
                <w:rFonts w:asciiTheme="minorHAnsi" w:hAnsiTheme="minorHAnsi" w:cstheme="minorHAnsi"/>
                <w:sz w:val="22"/>
                <w:szCs w:val="22"/>
              </w:rPr>
              <w:t>transaction/ supply may be treated as zero and therefore, taxable value of such supply may be treated as zero. In such a scenario, no tax is payable on such supply of service by the director to the company</w:t>
            </w:r>
            <w:r w:rsidRPr="004E7C9A">
              <w:rPr>
                <w:rFonts w:asciiTheme="minorHAnsi" w:hAnsiTheme="minorHAnsi" w:cstheme="minorHAnsi"/>
                <w:sz w:val="22"/>
                <w:szCs w:val="22"/>
              </w:rPr>
              <w:t>.</w:t>
            </w:r>
          </w:p>
          <w:p w14:paraId="5FDBB2B3"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There may, however, be cases where the director, who had provided the guarantee, is no longer connected with the management but continuance of his guarantee is considered essential because the new management's guarantee is either not available or is found inadequate, or there may be other exceptional cases where the promoters, existing directors, other managerial personnel, and shareholders of borrowing concerns are paid remuneration/ consideration in any manner, directly or indirectly. In all these cases, the taxable value of such supply of service shall be the remuneration/ consideration provided to such a person/ guarantor by the company, directly or indirectly.</w:t>
            </w:r>
          </w:p>
        </w:tc>
      </w:tr>
      <w:tr w:rsidR="002A4ED8" w:rsidRPr="002A4ED8" w14:paraId="005227F7" w14:textId="77777777" w:rsidTr="002A4ED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975FD1"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lastRenderedPageBreak/>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4396C9"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Whether the activity of providing corporate guarantee by a person on behalf of another related person, or by the holding company for sanction of credit facilities to its subsidiary company, to the bank/ financial institutions, even when made without any consideration will be treated as a taxable supply of service or not, and if taxable, what would be the valuation of such supply of services.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FC9042"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Where the corporate guarantee is provided by a company to the bank/financial institutions for providing credit facilities to the other company, where both the companies are related, the activity is to be treated as a supply of service between related parties as per provisions of </w:t>
            </w:r>
            <w:hyperlink r:id="rId161" w:history="1">
              <w:r w:rsidRPr="004E7C9A">
                <w:rPr>
                  <w:rStyle w:val="Hyperlink"/>
                  <w:rFonts w:asciiTheme="minorHAnsi" w:hAnsiTheme="minorHAnsi" w:cstheme="minorHAnsi"/>
                  <w:color w:val="auto"/>
                  <w:sz w:val="22"/>
                  <w:szCs w:val="22"/>
                  <w:u w:val="none"/>
                </w:rPr>
                <w:t>Schedule I</w:t>
              </w:r>
            </w:hyperlink>
            <w:r w:rsidRPr="004E7C9A">
              <w:rPr>
                <w:rFonts w:asciiTheme="minorHAnsi" w:hAnsiTheme="minorHAnsi" w:cstheme="minorHAnsi"/>
                <w:sz w:val="22"/>
                <w:szCs w:val="22"/>
              </w:rPr>
              <w:t> of </w:t>
            </w:r>
            <w:hyperlink r:id="rId162" w:history="1">
              <w:r w:rsidRPr="004E7C9A">
                <w:rPr>
                  <w:rStyle w:val="Hyperlink"/>
                  <w:rFonts w:asciiTheme="minorHAnsi" w:hAnsiTheme="minorHAnsi" w:cstheme="minorHAnsi"/>
                  <w:color w:val="auto"/>
                  <w:sz w:val="22"/>
                  <w:szCs w:val="22"/>
                  <w:u w:val="none"/>
                </w:rPr>
                <w:t>CGST Act,</w:t>
              </w:r>
            </w:hyperlink>
            <w:r w:rsidRPr="004E7C9A">
              <w:rPr>
                <w:rFonts w:asciiTheme="minorHAnsi" w:hAnsiTheme="minorHAnsi" w:cstheme="minorHAnsi"/>
                <w:sz w:val="22"/>
                <w:szCs w:val="22"/>
              </w:rPr>
              <w:t> even when made without any consideration.</w:t>
            </w:r>
          </w:p>
          <w:p w14:paraId="31371BC1"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 xml:space="preserve">Similarly, where the corporate guarantee is provided by a holding company, for its subsidiary company, those two entities also fall under the category of ‘related persons’. Hence the activity of providing </w:t>
            </w:r>
            <w:r w:rsidRPr="004E7C9A">
              <w:rPr>
                <w:rFonts w:asciiTheme="minorHAnsi" w:hAnsiTheme="minorHAnsi" w:cstheme="minorHAnsi"/>
                <w:sz w:val="22"/>
                <w:szCs w:val="22"/>
              </w:rPr>
              <w:lastRenderedPageBreak/>
              <w:t>corporate guarantee by a holding company to the bank/financial institutions for securing credit facilities for its subsidiary company, even when made without any consideration, is also to be treated as a supply of service by holding company to the subsidiary company, being a related person, as per provisions of </w:t>
            </w:r>
            <w:hyperlink r:id="rId163" w:history="1">
              <w:r w:rsidRPr="004E7C9A">
                <w:rPr>
                  <w:rStyle w:val="Hyperlink"/>
                  <w:rFonts w:asciiTheme="minorHAnsi" w:hAnsiTheme="minorHAnsi" w:cstheme="minorHAnsi"/>
                  <w:color w:val="auto"/>
                  <w:sz w:val="22"/>
                  <w:szCs w:val="22"/>
                  <w:u w:val="none"/>
                </w:rPr>
                <w:t>Schedule I</w:t>
              </w:r>
            </w:hyperlink>
            <w:r w:rsidRPr="004E7C9A">
              <w:rPr>
                <w:rFonts w:asciiTheme="minorHAnsi" w:hAnsiTheme="minorHAnsi" w:cstheme="minorHAnsi"/>
                <w:sz w:val="22"/>
                <w:szCs w:val="22"/>
              </w:rPr>
              <w:t> of </w:t>
            </w:r>
            <w:hyperlink r:id="rId164" w:history="1">
              <w:r w:rsidRPr="004E7C9A">
                <w:rPr>
                  <w:rStyle w:val="Hyperlink"/>
                  <w:rFonts w:asciiTheme="minorHAnsi" w:hAnsiTheme="minorHAnsi" w:cstheme="minorHAnsi"/>
                  <w:color w:val="auto"/>
                  <w:sz w:val="22"/>
                  <w:szCs w:val="22"/>
                  <w:u w:val="none"/>
                </w:rPr>
                <w:t>CGST Act.</w:t>
              </w:r>
            </w:hyperlink>
          </w:p>
          <w:p w14:paraId="2A30848B"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In respect of such supply of services by a person to another related person or by a holding company to a subsidiary company, in form of providing corporate guarantee on their behalf to a bank/ financial institution, the taxable value will be determined as per </w:t>
            </w:r>
            <w:hyperlink r:id="rId165" w:history="1">
              <w:r w:rsidRPr="004E7C9A">
                <w:rPr>
                  <w:rStyle w:val="Hyperlink"/>
                  <w:rFonts w:asciiTheme="minorHAnsi" w:hAnsiTheme="minorHAnsi" w:cstheme="minorHAnsi"/>
                  <w:color w:val="auto"/>
                  <w:sz w:val="22"/>
                  <w:szCs w:val="22"/>
                  <w:u w:val="none"/>
                </w:rPr>
                <w:t>rule 28</w:t>
              </w:r>
            </w:hyperlink>
            <w:r w:rsidRPr="004E7C9A">
              <w:rPr>
                <w:rFonts w:asciiTheme="minorHAnsi" w:hAnsiTheme="minorHAnsi" w:cstheme="minorHAnsi"/>
                <w:sz w:val="22"/>
                <w:szCs w:val="22"/>
              </w:rPr>
              <w:t> of </w:t>
            </w:r>
            <w:hyperlink r:id="rId166" w:history="1">
              <w:r w:rsidRPr="004E7C9A">
                <w:rPr>
                  <w:rStyle w:val="Hyperlink"/>
                  <w:rFonts w:asciiTheme="minorHAnsi" w:hAnsiTheme="minorHAnsi" w:cstheme="minorHAnsi"/>
                  <w:color w:val="auto"/>
                  <w:sz w:val="22"/>
                  <w:szCs w:val="22"/>
                  <w:u w:val="none"/>
                </w:rPr>
                <w:t>CGST Rules</w:t>
              </w:r>
            </w:hyperlink>
            <w:r w:rsidRPr="004E7C9A">
              <w:rPr>
                <w:rFonts w:asciiTheme="minorHAnsi" w:hAnsiTheme="minorHAnsi" w:cstheme="minorHAnsi"/>
                <w:sz w:val="22"/>
                <w:szCs w:val="22"/>
              </w:rPr>
              <w:t>.</w:t>
            </w:r>
          </w:p>
          <w:p w14:paraId="2259A2A3"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Considering different practices being followed by the field formations and taxpayers in determining such taxable value, in order to provide uniformity in practices and ease of implementation, sub-rule (2) has been inserted in </w:t>
            </w:r>
            <w:hyperlink r:id="rId167" w:history="1">
              <w:r w:rsidRPr="004E7C9A">
                <w:rPr>
                  <w:rStyle w:val="Hyperlink"/>
                  <w:rFonts w:asciiTheme="minorHAnsi" w:hAnsiTheme="minorHAnsi" w:cstheme="minorHAnsi"/>
                  <w:color w:val="auto"/>
                  <w:sz w:val="22"/>
                  <w:szCs w:val="22"/>
                  <w:u w:val="none"/>
                </w:rPr>
                <w:t>rule 28</w:t>
              </w:r>
            </w:hyperlink>
            <w:r w:rsidRPr="004E7C9A">
              <w:rPr>
                <w:rFonts w:asciiTheme="minorHAnsi" w:hAnsiTheme="minorHAnsi" w:cstheme="minorHAnsi"/>
                <w:sz w:val="22"/>
                <w:szCs w:val="22"/>
              </w:rPr>
              <w:t> of </w:t>
            </w:r>
            <w:hyperlink r:id="rId168" w:history="1">
              <w:r w:rsidRPr="004E7C9A">
                <w:rPr>
                  <w:rStyle w:val="Hyperlink"/>
                  <w:rFonts w:asciiTheme="minorHAnsi" w:hAnsiTheme="minorHAnsi" w:cstheme="minorHAnsi"/>
                  <w:color w:val="auto"/>
                  <w:sz w:val="22"/>
                  <w:szCs w:val="22"/>
                  <w:u w:val="none"/>
                </w:rPr>
                <w:t>CGST Rules</w:t>
              </w:r>
            </w:hyperlink>
            <w:r w:rsidRPr="004E7C9A">
              <w:rPr>
                <w:rFonts w:asciiTheme="minorHAnsi" w:hAnsiTheme="minorHAnsi" w:cstheme="minorHAnsi"/>
                <w:sz w:val="22"/>
                <w:szCs w:val="22"/>
              </w:rPr>
              <w:t> vide </w:t>
            </w:r>
            <w:hyperlink r:id="rId169" w:history="1">
              <w:r w:rsidRPr="004E7C9A">
                <w:rPr>
                  <w:rStyle w:val="Hyperlink"/>
                  <w:rFonts w:asciiTheme="minorHAnsi" w:hAnsiTheme="minorHAnsi" w:cstheme="minorHAnsi"/>
                  <w:color w:val="auto"/>
                  <w:sz w:val="22"/>
                  <w:szCs w:val="22"/>
                  <w:u w:val="none"/>
                </w:rPr>
                <w:t>Notification No. 52/2023 dated 26.10.2023</w:t>
              </w:r>
            </w:hyperlink>
            <w:r w:rsidRPr="004E7C9A">
              <w:rPr>
                <w:rFonts w:asciiTheme="minorHAnsi" w:hAnsiTheme="minorHAnsi" w:cstheme="minorHAnsi"/>
                <w:sz w:val="22"/>
                <w:szCs w:val="22"/>
              </w:rPr>
              <w:t>, for determining the taxable value of such supply of services between related persons in respect of providing corporate guarantee. Accordingly, consequent to insertion of the said sub-rule in </w:t>
            </w:r>
            <w:hyperlink r:id="rId170" w:history="1">
              <w:r w:rsidRPr="004E7C9A">
                <w:rPr>
                  <w:rStyle w:val="Hyperlink"/>
                  <w:rFonts w:asciiTheme="minorHAnsi" w:hAnsiTheme="minorHAnsi" w:cstheme="minorHAnsi"/>
                  <w:color w:val="auto"/>
                  <w:sz w:val="22"/>
                  <w:szCs w:val="22"/>
                  <w:u w:val="none"/>
                </w:rPr>
                <w:t>rule 28</w:t>
              </w:r>
            </w:hyperlink>
            <w:r w:rsidRPr="004E7C9A">
              <w:rPr>
                <w:rFonts w:asciiTheme="minorHAnsi" w:hAnsiTheme="minorHAnsi" w:cstheme="minorHAnsi"/>
                <w:sz w:val="22"/>
                <w:szCs w:val="22"/>
              </w:rPr>
              <w:t> of </w:t>
            </w:r>
            <w:hyperlink r:id="rId171" w:history="1">
              <w:r w:rsidRPr="004E7C9A">
                <w:rPr>
                  <w:rStyle w:val="Hyperlink"/>
                  <w:rFonts w:asciiTheme="minorHAnsi" w:hAnsiTheme="minorHAnsi" w:cstheme="minorHAnsi"/>
                  <w:color w:val="auto"/>
                  <w:sz w:val="22"/>
                  <w:szCs w:val="22"/>
                  <w:u w:val="none"/>
                </w:rPr>
                <w:t>CGST Rules</w:t>
              </w:r>
            </w:hyperlink>
            <w:r w:rsidRPr="004E7C9A">
              <w:rPr>
                <w:rFonts w:asciiTheme="minorHAnsi" w:hAnsiTheme="minorHAnsi" w:cstheme="minorHAnsi"/>
                <w:sz w:val="22"/>
                <w:szCs w:val="22"/>
              </w:rPr>
              <w:t xml:space="preserve">, in all such cases of supply of services by a related person to another person, or by a holding company to a subsidiary company, in the form of providing corporate guarantee on their behalf to a bank/ financial institution, the taxable value of such supply of services, </w:t>
            </w:r>
            <w:r w:rsidRPr="004E7C9A">
              <w:rPr>
                <w:rFonts w:asciiTheme="minorHAnsi" w:hAnsiTheme="minorHAnsi" w:cstheme="minorHAnsi"/>
                <w:sz w:val="22"/>
                <w:szCs w:val="22"/>
              </w:rPr>
              <w:t>will henceforth be determined as per the provisions of the </w:t>
            </w:r>
            <w:hyperlink r:id="rId172" w:history="1">
              <w:r w:rsidRPr="004E7C9A">
                <w:rPr>
                  <w:rStyle w:val="Hyperlink"/>
                  <w:rFonts w:asciiTheme="minorHAnsi" w:hAnsiTheme="minorHAnsi" w:cstheme="minorHAnsi"/>
                  <w:color w:val="auto"/>
                  <w:sz w:val="22"/>
                  <w:szCs w:val="22"/>
                  <w:u w:val="none"/>
                </w:rPr>
                <w:t>sub-rule (2) of Rule 28</w:t>
              </w:r>
            </w:hyperlink>
            <w:r w:rsidRPr="004E7C9A">
              <w:rPr>
                <w:rFonts w:asciiTheme="minorHAnsi" w:hAnsiTheme="minorHAnsi" w:cstheme="minorHAnsi"/>
                <w:sz w:val="22"/>
                <w:szCs w:val="22"/>
              </w:rPr>
              <w:t> of </w:t>
            </w:r>
            <w:hyperlink r:id="rId173" w:history="1">
              <w:r w:rsidRPr="004E7C9A">
                <w:rPr>
                  <w:rStyle w:val="Hyperlink"/>
                  <w:rFonts w:asciiTheme="minorHAnsi" w:hAnsiTheme="minorHAnsi" w:cstheme="minorHAnsi"/>
                  <w:color w:val="auto"/>
                  <w:sz w:val="22"/>
                  <w:szCs w:val="22"/>
                  <w:u w:val="none"/>
                </w:rPr>
                <w:t>CGST Rules</w:t>
              </w:r>
            </w:hyperlink>
            <w:r w:rsidRPr="004E7C9A">
              <w:rPr>
                <w:rFonts w:asciiTheme="minorHAnsi" w:hAnsiTheme="minorHAnsi" w:cstheme="minorHAnsi"/>
                <w:sz w:val="22"/>
                <w:szCs w:val="22"/>
              </w:rPr>
              <w:t>, irrespective of whether full ITC is available to the recipient of services or not.</w:t>
            </w:r>
          </w:p>
          <w:p w14:paraId="63C10E65" w14:textId="77777777" w:rsidR="002A4ED8" w:rsidRPr="004E7C9A" w:rsidRDefault="002A4ED8">
            <w:pPr>
              <w:pStyle w:val="NormalWeb"/>
              <w:jc w:val="both"/>
              <w:rPr>
                <w:rFonts w:asciiTheme="minorHAnsi" w:hAnsiTheme="minorHAnsi" w:cstheme="minorHAnsi"/>
                <w:sz w:val="22"/>
                <w:szCs w:val="22"/>
              </w:rPr>
            </w:pPr>
            <w:r w:rsidRPr="004E7C9A">
              <w:rPr>
                <w:rFonts w:asciiTheme="minorHAnsi" w:hAnsiTheme="minorHAnsi" w:cstheme="minorHAnsi"/>
                <w:sz w:val="22"/>
                <w:szCs w:val="22"/>
              </w:rPr>
              <w:t>It is clarified that the </w:t>
            </w:r>
            <w:hyperlink r:id="rId174" w:history="1">
              <w:r w:rsidRPr="004E7C9A">
                <w:rPr>
                  <w:rStyle w:val="Hyperlink"/>
                  <w:rFonts w:asciiTheme="minorHAnsi" w:hAnsiTheme="minorHAnsi" w:cstheme="minorHAnsi"/>
                  <w:color w:val="auto"/>
                  <w:sz w:val="22"/>
                  <w:szCs w:val="22"/>
                  <w:u w:val="none"/>
                </w:rPr>
                <w:t>sub-rule (2) of Rule 28 </w:t>
              </w:r>
            </w:hyperlink>
            <w:r w:rsidRPr="004E7C9A">
              <w:rPr>
                <w:rFonts w:asciiTheme="minorHAnsi" w:hAnsiTheme="minorHAnsi" w:cstheme="minorHAnsi"/>
                <w:sz w:val="22"/>
                <w:szCs w:val="22"/>
              </w:rPr>
              <w:t>shall not apply in respect of the activity of providing personal guarantee by the Director to the banks/ financial institutions for securing credit facilities for their companies and the same shall be valued in the manner provided in S. No. (1) above.</w:t>
            </w:r>
          </w:p>
        </w:tc>
      </w:tr>
    </w:tbl>
    <w:p w14:paraId="6AD3D817" w14:textId="77777777" w:rsidR="002A4ED8" w:rsidRPr="004E7C9A" w:rsidRDefault="002A4ED8" w:rsidP="002A4ED8">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lastRenderedPageBreak/>
        <w:t>3. It is requested that suitable trade notices may be issued to publicize the contents of this Circular.</w:t>
      </w:r>
    </w:p>
    <w:p w14:paraId="5C15CE63" w14:textId="77777777" w:rsidR="002A4ED8" w:rsidRPr="004E7C9A" w:rsidRDefault="002A4ED8" w:rsidP="002A4ED8">
      <w:pPr>
        <w:pStyle w:val="NormalWeb"/>
        <w:shd w:val="clear" w:color="auto" w:fill="FFFFFF"/>
        <w:jc w:val="both"/>
        <w:rPr>
          <w:rFonts w:asciiTheme="minorHAnsi" w:hAnsiTheme="minorHAnsi" w:cstheme="minorHAnsi"/>
          <w:sz w:val="22"/>
          <w:szCs w:val="22"/>
        </w:rPr>
      </w:pPr>
      <w:r w:rsidRPr="004E7C9A">
        <w:rPr>
          <w:rFonts w:asciiTheme="minorHAnsi" w:hAnsiTheme="minorHAnsi" w:cstheme="minorHAnsi"/>
          <w:sz w:val="22"/>
          <w:szCs w:val="22"/>
        </w:rPr>
        <w:t>4. Difficulties, if any, in implementation of this Circular may please be brought to the notice of the Board. Hindi version would follow.</w:t>
      </w:r>
    </w:p>
    <w:p w14:paraId="47C1E753" w14:textId="77777777" w:rsidR="002A4ED8" w:rsidRDefault="002A4ED8" w:rsidP="002A4ED8">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Circular]</w:t>
      </w:r>
    </w:p>
    <w:p w14:paraId="0AD91ACE" w14:textId="4B9B80B5" w:rsidR="002A4ED8" w:rsidRPr="004C068F" w:rsidRDefault="002A4ED8" w:rsidP="002A4ED8">
      <w:pPr>
        <w:pStyle w:val="NormalWeb"/>
        <w:shd w:val="clear" w:color="auto" w:fill="FFFFFF"/>
        <w:jc w:val="both"/>
        <w:rPr>
          <w:rFonts w:asciiTheme="minorHAnsi" w:hAnsiTheme="minorHAnsi" w:cstheme="minorHAnsi"/>
          <w:sz w:val="22"/>
          <w:szCs w:val="22"/>
        </w:rPr>
      </w:pPr>
    </w:p>
    <w:p w14:paraId="39C6F7B8" w14:textId="2784C3C9" w:rsidR="00700421" w:rsidRPr="00700421" w:rsidRDefault="00700421" w:rsidP="002A4ED8">
      <w:pPr>
        <w:pStyle w:val="NormalWeb"/>
        <w:shd w:val="clear" w:color="auto" w:fill="FFFFFF"/>
        <w:spacing w:before="0" w:beforeAutospacing="0" w:after="150" w:afterAutospacing="0"/>
        <w:jc w:val="both"/>
        <w:rPr>
          <w:rFonts w:asciiTheme="minorHAnsi" w:hAnsiTheme="minorHAnsi" w:cstheme="minorHAnsi"/>
          <w:sz w:val="22"/>
          <w:szCs w:val="22"/>
        </w:rPr>
      </w:pPr>
    </w:p>
    <w:p w14:paraId="4E07EBCF" w14:textId="0BD5C0BB" w:rsidR="00700421" w:rsidRDefault="00700421" w:rsidP="00700421">
      <w:pPr>
        <w:pStyle w:val="NormalWeb"/>
        <w:shd w:val="clear" w:color="auto" w:fill="FFFFFF"/>
        <w:jc w:val="both"/>
        <w:rPr>
          <w:rFonts w:asciiTheme="minorHAnsi" w:hAnsiTheme="minorHAnsi" w:cstheme="minorHAnsi"/>
          <w:b/>
          <w:bCs/>
          <w:color w:val="212529"/>
          <w:sz w:val="22"/>
          <w:szCs w:val="22"/>
        </w:rPr>
      </w:pPr>
    </w:p>
    <w:p w14:paraId="3BC0BB25" w14:textId="20414BE4" w:rsidR="00B320F1" w:rsidRPr="00B320F1" w:rsidRDefault="00B320F1" w:rsidP="00B320F1">
      <w:pPr>
        <w:pStyle w:val="NormalWeb"/>
        <w:shd w:val="clear" w:color="auto" w:fill="FFFFFF"/>
        <w:jc w:val="both"/>
        <w:rPr>
          <w:rFonts w:asciiTheme="minorHAnsi" w:hAnsiTheme="minorHAnsi" w:cstheme="minorHAnsi"/>
          <w:sz w:val="22"/>
          <w:szCs w:val="22"/>
        </w:rPr>
      </w:pPr>
    </w:p>
    <w:p w14:paraId="642A27EF" w14:textId="2A70D20C" w:rsidR="00C3043D" w:rsidRDefault="00C3043D" w:rsidP="00C3043D">
      <w:pPr>
        <w:pStyle w:val="NormalWeb"/>
        <w:shd w:val="clear" w:color="auto" w:fill="FFFFFF"/>
        <w:jc w:val="both"/>
        <w:rPr>
          <w:rFonts w:asciiTheme="minorHAnsi" w:hAnsiTheme="minorHAnsi" w:cstheme="minorHAnsi"/>
          <w:b/>
          <w:bCs/>
          <w:color w:val="212529"/>
          <w:sz w:val="22"/>
          <w:szCs w:val="22"/>
        </w:rPr>
      </w:pPr>
    </w:p>
    <w:p w14:paraId="01250C29" w14:textId="67B19B90" w:rsidR="005B00D1" w:rsidRPr="00433E65" w:rsidRDefault="005B00D1" w:rsidP="00E437B3">
      <w:pPr>
        <w:pStyle w:val="NormalWeb"/>
        <w:shd w:val="clear" w:color="auto" w:fill="FFFFFF"/>
        <w:jc w:val="both"/>
        <w:rPr>
          <w:b/>
          <w:bCs/>
        </w:rPr>
        <w:sectPr w:rsidR="005B00D1" w:rsidRPr="00433E65" w:rsidSect="009167FD">
          <w:headerReference w:type="default" r:id="rId175"/>
          <w:pgSz w:w="11909" w:h="16834" w:code="9"/>
          <w:pgMar w:top="1560" w:right="427" w:bottom="709" w:left="284"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5465DBC8" w:rsidR="002228C5" w:rsidRPr="00365398" w:rsidRDefault="00E02018" w:rsidP="007F11D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CASE LAW</w:t>
      </w:r>
    </w:p>
    <w:p w14:paraId="43DB2F65" w14:textId="7AB45900" w:rsidR="006336D2" w:rsidRPr="00251D69" w:rsidRDefault="006336D2" w:rsidP="007F11D1">
      <w:pPr>
        <w:shd w:val="clear" w:color="auto" w:fill="8DC182"/>
        <w:tabs>
          <w:tab w:val="left" w:pos="4820"/>
        </w:tabs>
        <w:autoSpaceDE w:val="0"/>
        <w:autoSpaceDN w:val="0"/>
        <w:adjustRightInd w:val="0"/>
        <w:spacing w:line="240" w:lineRule="auto"/>
        <w:ind w:right="11"/>
        <w:jc w:val="both"/>
        <w:rPr>
          <w:rFonts w:cstheme="minorHAnsi"/>
          <w:b/>
          <w:bCs/>
          <w:caps/>
        </w:rPr>
      </w:pPr>
      <w:r w:rsidRPr="006336D2">
        <w:rPr>
          <w:rFonts w:cstheme="minorHAnsi"/>
          <w:b/>
          <w:bCs/>
          <w:caps/>
        </w:rPr>
        <w:t xml:space="preserve">Proceedings initiated u/s 56 of FERA - </w:t>
      </w:r>
      <w:proofErr w:type="gramStart"/>
      <w:r w:rsidRPr="006336D2">
        <w:rPr>
          <w:rFonts w:cstheme="minorHAnsi"/>
          <w:b/>
          <w:bCs/>
          <w:caps/>
        </w:rPr>
        <w:t>non issue</w:t>
      </w:r>
      <w:proofErr w:type="gramEnd"/>
      <w:r w:rsidRPr="006336D2">
        <w:rPr>
          <w:rFonts w:cstheme="minorHAnsi"/>
          <w:b/>
          <w:bCs/>
          <w:caps/>
        </w:rPr>
        <w:t xml:space="preserve"> of SCN - Violation of principle of natural justice</w:t>
      </w:r>
      <w:r>
        <w:rPr>
          <w:rFonts w:cstheme="minorHAnsi"/>
          <w:b/>
          <w:bCs/>
          <w:caps/>
        </w:rPr>
        <w:t>: DELHI HIGH COURT</w:t>
      </w:r>
    </w:p>
    <w:p w14:paraId="20C6B67C" w14:textId="77777777" w:rsidR="006D55C9" w:rsidRPr="006D55C9" w:rsidRDefault="002228C5" w:rsidP="006D55C9">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1A6C92">
        <w:rPr>
          <w:rFonts w:asciiTheme="minorHAnsi" w:hAnsiTheme="minorHAnsi" w:cstheme="minorHAnsi"/>
          <w:sz w:val="22"/>
          <w:szCs w:val="22"/>
        </w:rPr>
        <w:t xml:space="preserve">It was held that </w:t>
      </w:r>
      <w:r w:rsidR="006D55C9" w:rsidRPr="006D55C9">
        <w:rPr>
          <w:rFonts w:asciiTheme="minorHAnsi" w:hAnsiTheme="minorHAnsi" w:cstheme="minorHAnsi"/>
          <w:sz w:val="22"/>
          <w:szCs w:val="22"/>
        </w:rPr>
        <w:t>No complaint can be filed unless the person accused of such offence has been given an opportunity of showing that he has such requisite permission. It is clear that from the facts of this case and also not disputed by Respondent that there is no such show cause notice which was issued and served on the fresh address of the petitioner at Gurugram. That apart, it is pertinent to note that though the notice issued under proviso to Clause (ii) of sub section (2) of Section 61 FERA was not served upon the petitioner, the demand notice dated 28.08.2020 was served upon the correct address. There is no explanation as to how and from where the ED obtained this correct address of the petitioner while issuing the demand notice.</w:t>
      </w:r>
    </w:p>
    <w:p w14:paraId="02536D92" w14:textId="77777777" w:rsidR="006D55C9" w:rsidRPr="006D55C9" w:rsidRDefault="006D55C9" w:rsidP="006D55C9">
      <w:pPr>
        <w:pStyle w:val="NormalWeb"/>
        <w:shd w:val="clear" w:color="auto" w:fill="FFFFFF"/>
        <w:spacing w:line="360" w:lineRule="auto"/>
        <w:jc w:val="both"/>
        <w:rPr>
          <w:rFonts w:asciiTheme="minorHAnsi" w:hAnsiTheme="minorHAnsi" w:cstheme="minorHAnsi"/>
          <w:sz w:val="22"/>
          <w:szCs w:val="22"/>
        </w:rPr>
      </w:pPr>
      <w:r w:rsidRPr="006D55C9">
        <w:rPr>
          <w:rFonts w:asciiTheme="minorHAnsi" w:hAnsiTheme="minorHAnsi" w:cstheme="minorHAnsi"/>
          <w:sz w:val="22"/>
          <w:szCs w:val="22"/>
        </w:rPr>
        <w:t>So far as the judgments of State Bank of India [</w:t>
      </w:r>
      <w:hyperlink r:id="rId176" w:tgtFrame="_blank" w:history="1">
        <w:r w:rsidRPr="006D55C9">
          <w:rPr>
            <w:rFonts w:asciiTheme="minorHAnsi" w:hAnsiTheme="minorHAnsi" w:cstheme="minorHAnsi"/>
            <w:sz w:val="22"/>
            <w:szCs w:val="22"/>
          </w:rPr>
          <w:t>2023 (3) TMI 1205 - SUPREME COURT]</w:t>
        </w:r>
      </w:hyperlink>
      <w:r w:rsidRPr="006D55C9">
        <w:rPr>
          <w:rFonts w:asciiTheme="minorHAnsi" w:hAnsiTheme="minorHAnsi" w:cstheme="minorHAnsi"/>
          <w:sz w:val="22"/>
          <w:szCs w:val="22"/>
        </w:rPr>
        <w:t> and Oil and Natural Gas Corporation Limited [</w:t>
      </w:r>
      <w:hyperlink r:id="rId177" w:tgtFrame="_blank" w:history="1">
        <w:r w:rsidRPr="006D55C9">
          <w:rPr>
            <w:rFonts w:asciiTheme="minorHAnsi" w:hAnsiTheme="minorHAnsi" w:cstheme="minorHAnsi"/>
            <w:sz w:val="22"/>
            <w:szCs w:val="22"/>
          </w:rPr>
          <w:t>2014 (10) TMI 589 - SUPREME COURT]</w:t>
        </w:r>
      </w:hyperlink>
      <w:r w:rsidRPr="006D55C9">
        <w:rPr>
          <w:rFonts w:asciiTheme="minorHAnsi" w:hAnsiTheme="minorHAnsi" w:cstheme="minorHAnsi"/>
          <w:sz w:val="22"/>
          <w:szCs w:val="22"/>
        </w:rPr>
        <w:t> relied upon are concerned, they laid down the law in respect of what is trite by now that </w:t>
      </w:r>
      <w:r w:rsidRPr="006D55C9">
        <w:rPr>
          <w:rFonts w:asciiTheme="minorHAnsi" w:hAnsiTheme="minorHAnsi" w:cstheme="minorHAnsi"/>
          <w:b/>
          <w:bCs/>
          <w:sz w:val="22"/>
          <w:szCs w:val="22"/>
        </w:rPr>
        <w:t>rule of Audi Alteram Partem </w:t>
      </w:r>
      <w:r w:rsidRPr="006D55C9">
        <w:rPr>
          <w:rFonts w:asciiTheme="minorHAnsi" w:hAnsiTheme="minorHAnsi" w:cstheme="minorHAnsi"/>
          <w:sz w:val="22"/>
          <w:szCs w:val="22"/>
        </w:rPr>
        <w:t>is fundamental to the policy of Indian law and as such any order by any quasi-judicial authority or any administrative authority entailing drastic civil consequences cannot be sustained except after affording an opportunity to the person who would have to face such civil consequences. There is no doubt in the mind of this Court that there has been clear violation of principles of natural justice in the present case.</w:t>
      </w:r>
    </w:p>
    <w:p w14:paraId="559F2832" w14:textId="77777777" w:rsidR="006D55C9" w:rsidRPr="006D55C9" w:rsidRDefault="006D55C9" w:rsidP="006D55C9">
      <w:pPr>
        <w:pStyle w:val="NormalWeb"/>
        <w:shd w:val="clear" w:color="auto" w:fill="FFFFFF"/>
        <w:spacing w:line="360" w:lineRule="auto"/>
        <w:jc w:val="both"/>
        <w:rPr>
          <w:rFonts w:asciiTheme="minorHAnsi" w:hAnsiTheme="minorHAnsi" w:cstheme="minorHAnsi"/>
          <w:sz w:val="22"/>
          <w:szCs w:val="22"/>
        </w:rPr>
      </w:pPr>
      <w:r w:rsidRPr="006D55C9">
        <w:rPr>
          <w:rFonts w:asciiTheme="minorHAnsi" w:hAnsiTheme="minorHAnsi" w:cstheme="minorHAnsi"/>
          <w:sz w:val="22"/>
          <w:szCs w:val="22"/>
        </w:rPr>
        <w:t>Since the respondent therein had failed to comply with the mandatory requirement of Section 61(2) of FERA, the Trial Court in that case clearly had erred in taking cognizance and on that basis, quashed and set aside the impugned order on charge.</w:t>
      </w:r>
    </w:p>
    <w:p w14:paraId="55D5DBCF" w14:textId="77777777" w:rsidR="006D55C9" w:rsidRPr="006D55C9" w:rsidRDefault="006D55C9" w:rsidP="006D55C9">
      <w:pPr>
        <w:pStyle w:val="NormalWeb"/>
        <w:shd w:val="clear" w:color="auto" w:fill="FFFFFF"/>
        <w:spacing w:line="360" w:lineRule="auto"/>
        <w:jc w:val="both"/>
        <w:rPr>
          <w:rFonts w:asciiTheme="minorHAnsi" w:hAnsiTheme="minorHAnsi" w:cstheme="minorHAnsi"/>
          <w:sz w:val="22"/>
          <w:szCs w:val="22"/>
        </w:rPr>
      </w:pPr>
      <w:r w:rsidRPr="006D55C9">
        <w:rPr>
          <w:rFonts w:asciiTheme="minorHAnsi" w:hAnsiTheme="minorHAnsi" w:cstheme="minorHAnsi"/>
          <w:sz w:val="22"/>
          <w:szCs w:val="22"/>
        </w:rPr>
        <w:t xml:space="preserve">This Court respectfully concurs with the observations and the ratio laid down in the case United India Airways Ltd. &amp; </w:t>
      </w:r>
      <w:proofErr w:type="spellStart"/>
      <w:r w:rsidRPr="006D55C9">
        <w:rPr>
          <w:rFonts w:asciiTheme="minorHAnsi" w:hAnsiTheme="minorHAnsi" w:cstheme="minorHAnsi"/>
          <w:sz w:val="22"/>
          <w:szCs w:val="22"/>
        </w:rPr>
        <w:t>Anr</w:t>
      </w:r>
      <w:proofErr w:type="spellEnd"/>
      <w:r w:rsidRPr="006D55C9">
        <w:rPr>
          <w:rFonts w:asciiTheme="minorHAnsi" w:hAnsiTheme="minorHAnsi" w:cstheme="minorHAnsi"/>
          <w:sz w:val="22"/>
          <w:szCs w:val="22"/>
        </w:rPr>
        <w:t>. [</w:t>
      </w:r>
      <w:hyperlink r:id="rId178" w:tgtFrame="_blank" w:history="1">
        <w:r w:rsidRPr="006D55C9">
          <w:rPr>
            <w:rFonts w:asciiTheme="minorHAnsi" w:hAnsiTheme="minorHAnsi" w:cstheme="minorHAnsi"/>
            <w:sz w:val="22"/>
            <w:szCs w:val="22"/>
          </w:rPr>
          <w:t>2018 (4) TMI 421 - DELHI HIGH COURT]</w:t>
        </w:r>
      </w:hyperlink>
    </w:p>
    <w:p w14:paraId="085E7649" w14:textId="77777777" w:rsidR="006D55C9" w:rsidRPr="006D55C9" w:rsidRDefault="006D55C9" w:rsidP="006D55C9">
      <w:pPr>
        <w:pStyle w:val="NormalWeb"/>
        <w:shd w:val="clear" w:color="auto" w:fill="FFFFFF"/>
        <w:spacing w:line="360" w:lineRule="auto"/>
        <w:jc w:val="both"/>
        <w:rPr>
          <w:rFonts w:asciiTheme="minorHAnsi" w:hAnsiTheme="minorHAnsi" w:cstheme="minorHAnsi"/>
          <w:sz w:val="22"/>
          <w:szCs w:val="22"/>
        </w:rPr>
      </w:pPr>
      <w:r w:rsidRPr="006D55C9">
        <w:rPr>
          <w:rFonts w:asciiTheme="minorHAnsi" w:hAnsiTheme="minorHAnsi" w:cstheme="minorHAnsi"/>
          <w:b/>
          <w:bCs/>
          <w:sz w:val="22"/>
          <w:szCs w:val="22"/>
        </w:rPr>
        <w:t>Proceedings being separate and not intertwined in respect of violation u/s 18(2) and (3) and Section 56 of the FERA </w:t>
      </w:r>
      <w:r w:rsidRPr="006D55C9">
        <w:rPr>
          <w:rFonts w:asciiTheme="minorHAnsi" w:hAnsiTheme="minorHAnsi" w:cstheme="minorHAnsi"/>
          <w:sz w:val="22"/>
          <w:szCs w:val="22"/>
        </w:rPr>
        <w:t>- This Court is of the considered opinion that the substratum of violation of under Section 18(2) for becoming an offence u/s 56 has to be tested first by issuing show cause notice/opportunity notice so as to permit the petitioner to explain as to whether it got the requisite permission in accordance with law or not.</w:t>
      </w:r>
    </w:p>
    <w:p w14:paraId="2AEC7915" w14:textId="77777777" w:rsidR="006D55C9" w:rsidRPr="006D55C9" w:rsidRDefault="006D55C9" w:rsidP="006D55C9">
      <w:pPr>
        <w:pStyle w:val="NormalWeb"/>
        <w:shd w:val="clear" w:color="auto" w:fill="FFFFFF"/>
        <w:spacing w:line="360" w:lineRule="auto"/>
        <w:jc w:val="both"/>
        <w:rPr>
          <w:rFonts w:asciiTheme="minorHAnsi" w:hAnsiTheme="minorHAnsi" w:cstheme="minorHAnsi"/>
          <w:sz w:val="22"/>
          <w:szCs w:val="22"/>
        </w:rPr>
      </w:pPr>
      <w:r w:rsidRPr="006D55C9">
        <w:rPr>
          <w:rFonts w:asciiTheme="minorHAnsi" w:hAnsiTheme="minorHAnsi" w:cstheme="minorHAnsi"/>
          <w:sz w:val="22"/>
          <w:szCs w:val="22"/>
        </w:rPr>
        <w:t xml:space="preserve">Since the show cause notice or opportunity notice was never served upon the petitioner, the consequent </w:t>
      </w:r>
      <w:proofErr w:type="gramStart"/>
      <w:r w:rsidRPr="006D55C9">
        <w:rPr>
          <w:rFonts w:asciiTheme="minorHAnsi" w:hAnsiTheme="minorHAnsi" w:cstheme="minorHAnsi"/>
          <w:sz w:val="22"/>
          <w:szCs w:val="22"/>
        </w:rPr>
        <w:t>proceedings initiated</w:t>
      </w:r>
      <w:proofErr w:type="gramEnd"/>
      <w:r w:rsidRPr="006D55C9">
        <w:rPr>
          <w:rFonts w:asciiTheme="minorHAnsi" w:hAnsiTheme="minorHAnsi" w:cstheme="minorHAnsi"/>
          <w:sz w:val="22"/>
          <w:szCs w:val="22"/>
        </w:rPr>
        <w:t xml:space="preserve"> u/s 56 FERA cannot be continued. It is for violation of Section 18(2) and Section 18(3) of the FERA that would entail action u/s 56 FERA, but the intervening threshold of issuance of show cause notice/opportunity notice and hearing the notice before passing the decision upon such mandatory application of principles of natural justice alone that the action u/s 56 could, at all, have been initiated. As such the submission of Respondent on that count are found to be untenable.</w:t>
      </w:r>
    </w:p>
    <w:p w14:paraId="4CEDD4B3" w14:textId="77777777" w:rsidR="006D55C9" w:rsidRDefault="006D55C9" w:rsidP="006D55C9">
      <w:pPr>
        <w:pStyle w:val="NormalWeb"/>
        <w:shd w:val="clear" w:color="auto" w:fill="FFFFFF"/>
        <w:spacing w:line="360" w:lineRule="auto"/>
        <w:jc w:val="both"/>
        <w:rPr>
          <w:rFonts w:ascii="Arial" w:hAnsi="Arial" w:cs="Arial"/>
          <w:color w:val="00AB31"/>
        </w:rPr>
      </w:pPr>
      <w:r w:rsidRPr="006D55C9">
        <w:rPr>
          <w:rFonts w:asciiTheme="minorHAnsi" w:hAnsiTheme="minorHAnsi" w:cstheme="minorHAnsi"/>
          <w:sz w:val="22"/>
          <w:szCs w:val="22"/>
        </w:rPr>
        <w:t xml:space="preserve">Present writ petition is allowed and as a consequence thereof, a writ of certiorari is issued quashing the </w:t>
      </w:r>
      <w:proofErr w:type="spellStart"/>
      <w:r w:rsidRPr="006D55C9">
        <w:rPr>
          <w:rFonts w:asciiTheme="minorHAnsi" w:hAnsiTheme="minorHAnsi" w:cstheme="minorHAnsi"/>
          <w:sz w:val="22"/>
          <w:szCs w:val="22"/>
        </w:rPr>
        <w:t>exparte</w:t>
      </w:r>
      <w:proofErr w:type="spellEnd"/>
      <w:r w:rsidRPr="006D55C9">
        <w:rPr>
          <w:rFonts w:asciiTheme="minorHAnsi" w:hAnsiTheme="minorHAnsi" w:cstheme="minorHAnsi"/>
          <w:sz w:val="22"/>
          <w:szCs w:val="22"/>
        </w:rPr>
        <w:t xml:space="preserve"> proceedings issued by the ED.</w:t>
      </w:r>
    </w:p>
    <w:p w14:paraId="60CF0B6E" w14:textId="5B05A819" w:rsidR="00174F35" w:rsidRPr="00943161" w:rsidRDefault="00174F35" w:rsidP="006D55C9">
      <w:pPr>
        <w:pStyle w:val="NormalWeb"/>
        <w:shd w:val="clear" w:color="auto" w:fill="FFFFFF"/>
        <w:spacing w:line="276" w:lineRule="auto"/>
        <w:jc w:val="both"/>
        <w:rPr>
          <w:rFonts w:asciiTheme="minorHAnsi" w:hAnsiTheme="minorHAnsi" w:cstheme="minorHAnsi"/>
          <w:sz w:val="22"/>
          <w:szCs w:val="22"/>
        </w:rPr>
        <w:sectPr w:rsidR="00174F35" w:rsidRPr="00943161" w:rsidSect="007F11D1">
          <w:headerReference w:type="default" r:id="rId179"/>
          <w:footerReference w:type="default" r:id="rId180"/>
          <w:headerReference w:type="first" r:id="rId181"/>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A7666E">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3358C8D4" w14:textId="068D2995" w:rsidR="00B34351" w:rsidRPr="003D1CF6" w:rsidRDefault="00B34351" w:rsidP="00A7666E">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B34351">
        <w:rPr>
          <w:rFonts w:cstheme="minorHAnsi"/>
          <w:b/>
          <w:bCs/>
          <w:caps/>
          <w:color w:val="000000" w:themeColor="text1"/>
        </w:rPr>
        <w:t>Fixation of Tariff Value of Edible Oils, Brass Scrap, Areca Nut, Gold and Silver</w:t>
      </w:r>
    </w:p>
    <w:p w14:paraId="4D58F07F" w14:textId="77777777" w:rsidR="00B34351" w:rsidRPr="00B34351" w:rsidRDefault="00712B21" w:rsidP="00A7666E">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7E3844">
        <w:rPr>
          <w:rFonts w:asciiTheme="minorHAnsi" w:hAnsiTheme="minorHAnsi" w:cstheme="minorHAnsi"/>
          <w:sz w:val="22"/>
          <w:szCs w:val="22"/>
        </w:rPr>
        <w:t>7</w:t>
      </w:r>
      <w:r w:rsidR="00B34351">
        <w:rPr>
          <w:rFonts w:asciiTheme="minorHAnsi" w:hAnsiTheme="minorHAnsi" w:cstheme="minorHAnsi"/>
          <w:sz w:val="22"/>
          <w:szCs w:val="22"/>
        </w:rPr>
        <w:t>8</w:t>
      </w:r>
      <w:r>
        <w:rPr>
          <w:rFonts w:asciiTheme="minorHAnsi" w:hAnsiTheme="minorHAnsi" w:cstheme="minorHAnsi"/>
          <w:sz w:val="22"/>
          <w:szCs w:val="22"/>
        </w:rPr>
        <w:t>/2023-Customs</w:t>
      </w:r>
      <w:r w:rsidR="00DF60D9">
        <w:rPr>
          <w:rFonts w:asciiTheme="minorHAnsi" w:hAnsiTheme="minorHAnsi" w:cstheme="minorHAnsi"/>
          <w:sz w:val="22"/>
          <w:szCs w:val="22"/>
        </w:rPr>
        <w:t>(N.T)</w:t>
      </w:r>
      <w:r w:rsidR="00D32FEB">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225106">
        <w:rPr>
          <w:rFonts w:asciiTheme="minorHAnsi" w:hAnsiTheme="minorHAnsi" w:cstheme="minorHAnsi"/>
          <w:sz w:val="22"/>
          <w:szCs w:val="22"/>
        </w:rPr>
        <w:t>2</w:t>
      </w:r>
      <w:r w:rsidR="00B34351">
        <w:rPr>
          <w:rFonts w:asciiTheme="minorHAnsi" w:hAnsiTheme="minorHAnsi" w:cstheme="minorHAnsi"/>
          <w:sz w:val="22"/>
          <w:szCs w:val="22"/>
        </w:rPr>
        <w:t>3</w:t>
      </w:r>
      <w:r w:rsidR="00095481">
        <w:rPr>
          <w:rFonts w:asciiTheme="minorHAnsi" w:hAnsiTheme="minorHAnsi" w:cstheme="minorHAnsi"/>
          <w:sz w:val="22"/>
          <w:szCs w:val="22"/>
        </w:rPr>
        <w:t>.10</w:t>
      </w:r>
      <w:r>
        <w:rPr>
          <w:rFonts w:asciiTheme="minorHAnsi" w:hAnsiTheme="minorHAnsi" w:cstheme="minorHAnsi"/>
          <w:sz w:val="22"/>
          <w:szCs w:val="22"/>
        </w:rPr>
        <w:t xml:space="preserve">.2023 notified </w:t>
      </w:r>
      <w:r w:rsidR="00D3184F" w:rsidRPr="00D3184F">
        <w:rPr>
          <w:rFonts w:asciiTheme="minorHAnsi" w:hAnsiTheme="minorHAnsi" w:cstheme="minorHAnsi"/>
          <w:sz w:val="22"/>
          <w:szCs w:val="22"/>
        </w:rPr>
        <w:t> </w:t>
      </w:r>
      <w:r w:rsidR="00B34351" w:rsidRPr="00B34351">
        <w:rPr>
          <w:rFonts w:asciiTheme="minorHAnsi" w:hAnsiTheme="minorHAnsi" w:cstheme="minorHAnsi"/>
          <w:sz w:val="22"/>
          <w:szCs w:val="22"/>
        </w:rPr>
        <w:t>In exercise of the powers conferred by </w:t>
      </w:r>
      <w:hyperlink r:id="rId182" w:history="1">
        <w:r w:rsidR="00B34351" w:rsidRPr="00B34351">
          <w:rPr>
            <w:rFonts w:asciiTheme="minorHAnsi" w:hAnsiTheme="minorHAnsi" w:cstheme="minorHAnsi"/>
            <w:sz w:val="22"/>
            <w:szCs w:val="22"/>
          </w:rPr>
          <w:t>sub-section (2) of section 14</w:t>
        </w:r>
      </w:hyperlink>
      <w:r w:rsidR="00B34351" w:rsidRPr="00B34351">
        <w:rPr>
          <w:rFonts w:asciiTheme="minorHAnsi" w:hAnsiTheme="minorHAnsi" w:cstheme="minorHAnsi"/>
          <w:sz w:val="22"/>
          <w:szCs w:val="22"/>
        </w:rPr>
        <w:t> of the </w:t>
      </w:r>
      <w:hyperlink r:id="rId183" w:history="1">
        <w:r w:rsidR="00B34351" w:rsidRPr="00B34351">
          <w:rPr>
            <w:rFonts w:asciiTheme="minorHAnsi" w:hAnsiTheme="minorHAnsi" w:cstheme="minorHAnsi"/>
            <w:sz w:val="22"/>
            <w:szCs w:val="22"/>
          </w:rPr>
          <w:t>Customs Act, 1962 (52 of 1962),</w:t>
        </w:r>
      </w:hyperlink>
      <w:r w:rsidR="00B34351" w:rsidRPr="00B34351">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184" w:history="1">
        <w:r w:rsidR="00B34351" w:rsidRPr="00B34351">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00B34351" w:rsidRPr="00B34351">
        <w:rPr>
          <w:rFonts w:asciiTheme="minorHAnsi" w:hAnsiTheme="minorHAnsi" w:cstheme="minorHAnsi"/>
          <w:sz w:val="22"/>
          <w:szCs w:val="22"/>
        </w:rPr>
        <w:t>, namely:-</w:t>
      </w:r>
    </w:p>
    <w:p w14:paraId="680F206F" w14:textId="77777777" w:rsidR="00B34351" w:rsidRPr="00B34351" w:rsidRDefault="00B34351" w:rsidP="00A7666E">
      <w:pPr>
        <w:pStyle w:val="NormalWeb"/>
        <w:shd w:val="clear" w:color="auto" w:fill="FFFFFF"/>
        <w:spacing w:line="276" w:lineRule="auto"/>
        <w:jc w:val="both"/>
        <w:rPr>
          <w:rFonts w:asciiTheme="minorHAnsi" w:hAnsiTheme="minorHAnsi" w:cstheme="minorHAnsi"/>
          <w:sz w:val="22"/>
          <w:szCs w:val="22"/>
        </w:rPr>
      </w:pPr>
      <w:r w:rsidRPr="00B34351">
        <w:rPr>
          <w:rFonts w:asciiTheme="minorHAnsi" w:hAnsiTheme="minorHAnsi" w:cstheme="minorHAnsi"/>
          <w:sz w:val="22"/>
          <w:szCs w:val="22"/>
        </w:rPr>
        <w:t>In the said notification, for TABLE-1, TABLE-2, and TABLE-3 the following Tables shall be substituted, namely: -</w:t>
      </w:r>
    </w:p>
    <w:p w14:paraId="275C3C89"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“TABLE-1</w:t>
      </w:r>
    </w:p>
    <w:tbl>
      <w:tblPr>
        <w:tblW w:w="0" w:type="auto"/>
        <w:jc w:val="center"/>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3"/>
        <w:gridCol w:w="2303"/>
        <w:gridCol w:w="1458"/>
        <w:gridCol w:w="1390"/>
      </w:tblGrid>
      <w:tr w:rsidR="00B34351" w:rsidRPr="00B34351" w14:paraId="278A2B13"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8B1110"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1A5C9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5FF004"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87A266"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Tariff value</w:t>
            </w:r>
          </w:p>
          <w:p w14:paraId="6D6DC778"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(US $Per Metric Tonne)</w:t>
            </w:r>
          </w:p>
        </w:tc>
      </w:tr>
      <w:tr w:rsidR="00B34351" w:rsidRPr="00B34351" w14:paraId="51D973D9"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A341B4"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1C935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4E7C74"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0938EB"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(4)</w:t>
            </w:r>
          </w:p>
        </w:tc>
      </w:tr>
      <w:tr w:rsidR="00B34351" w:rsidRPr="00B34351" w14:paraId="2E5320B6"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3E3BED"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8DC2BF"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74F672"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1F642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859 (i.e., no change)</w:t>
            </w:r>
          </w:p>
        </w:tc>
      </w:tr>
      <w:tr w:rsidR="00B34351" w:rsidRPr="00B34351" w14:paraId="1E3912DC"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1AC474"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EF63EB"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D8F6AC"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7C2F8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863 (i.e., no change)</w:t>
            </w:r>
          </w:p>
        </w:tc>
      </w:tr>
      <w:tr w:rsidR="00B34351" w:rsidRPr="00B34351" w14:paraId="76F273D4"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954536"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8CE071"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8B0EE4"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C71161"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861 (i.e., no change)</w:t>
            </w:r>
          </w:p>
        </w:tc>
      </w:tr>
      <w:tr w:rsidR="00B34351" w:rsidRPr="00B34351" w14:paraId="0405D013"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5271B1"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E07FDF"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966F6A"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 xml:space="preserve">Crude </w:t>
            </w:r>
            <w:proofErr w:type="spellStart"/>
            <w:r w:rsidRPr="00B34351">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3D3AC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868 (i.e., no change)</w:t>
            </w:r>
          </w:p>
        </w:tc>
      </w:tr>
      <w:tr w:rsidR="00B34351" w:rsidRPr="00B34351" w14:paraId="46161FBB"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0C1748"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E60FB4"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F5519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 xml:space="preserve">RBD </w:t>
            </w:r>
            <w:proofErr w:type="spellStart"/>
            <w:r w:rsidRPr="00B34351">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490374"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871 (i.e., no change)</w:t>
            </w:r>
          </w:p>
        </w:tc>
      </w:tr>
      <w:tr w:rsidR="00B34351" w:rsidRPr="00B34351" w14:paraId="49DA859F"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CC1151"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C12CB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DE201D"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 xml:space="preserve">Others – </w:t>
            </w:r>
            <w:proofErr w:type="spellStart"/>
            <w:r w:rsidRPr="00B34351">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8296A8"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870 (i.e., no change)</w:t>
            </w:r>
          </w:p>
        </w:tc>
      </w:tr>
      <w:tr w:rsidR="00B34351" w:rsidRPr="00B34351" w14:paraId="6BB27EAB"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450664"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131E2A"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792A6A"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5D19C6"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972 (i.e., no change)</w:t>
            </w:r>
          </w:p>
        </w:tc>
      </w:tr>
      <w:tr w:rsidR="00B34351" w:rsidRPr="00B34351" w14:paraId="63AC76F8"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B259BD"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29712B"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E7395D"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908E36"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4682 (i.e., no change)</w:t>
            </w:r>
          </w:p>
        </w:tc>
      </w:tr>
    </w:tbl>
    <w:p w14:paraId="6A5D01A0"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TABLE-2</w:t>
      </w:r>
    </w:p>
    <w:tbl>
      <w:tblPr>
        <w:tblW w:w="0" w:type="auto"/>
        <w:jc w:val="center"/>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1"/>
        <w:gridCol w:w="1503"/>
        <w:gridCol w:w="2759"/>
        <w:gridCol w:w="971"/>
      </w:tblGrid>
      <w:tr w:rsidR="00B34351" w:rsidRPr="00B34351" w14:paraId="3AEBC9EC"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1448CB"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395C46"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95E309"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33C8E7"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Tariff value</w:t>
            </w:r>
          </w:p>
          <w:p w14:paraId="6BAF30B0"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(US $)</w:t>
            </w:r>
          </w:p>
        </w:tc>
      </w:tr>
      <w:tr w:rsidR="00B34351" w:rsidRPr="00B34351" w14:paraId="3D48DD65"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AE317D"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AD3836"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526B79"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F1FB76"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(4)</w:t>
            </w:r>
          </w:p>
        </w:tc>
      </w:tr>
      <w:tr w:rsidR="00B34351" w:rsidRPr="00B34351" w14:paraId="20CC1840"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624B87"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F839BB"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CBA3E9"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Gold, in any form, in respect of which the benefit of entries at </w:t>
            </w:r>
            <w:hyperlink r:id="rId185" w:history="1">
              <w:r w:rsidRPr="00B34351">
                <w:rPr>
                  <w:rFonts w:asciiTheme="minorHAnsi" w:hAnsiTheme="minorHAnsi" w:cstheme="minorHAnsi"/>
                  <w:sz w:val="22"/>
                  <w:szCs w:val="22"/>
                </w:rPr>
                <w:t>serial number 356 of the Notification No. 50/2017-Customs dated 30.06.2017 </w:t>
              </w:r>
            </w:hyperlink>
            <w:r w:rsidRPr="00B34351">
              <w:rPr>
                <w:rFonts w:asciiTheme="minorHAnsi" w:hAnsiTheme="minorHAnsi" w:cstheme="minorHAnsi"/>
                <w:sz w:val="22"/>
                <w:szCs w:val="22"/>
              </w:rPr>
              <w:t>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5BE77A"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640 per 10 grams</w:t>
            </w:r>
          </w:p>
        </w:tc>
      </w:tr>
      <w:tr w:rsidR="00B34351" w:rsidRPr="00B34351" w14:paraId="49EAEE1D"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CB1C6D"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0E5EE3"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5AE36A"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Silver, in any form, in respect of which the benefit of entries at </w:t>
            </w:r>
            <w:hyperlink r:id="rId186" w:history="1">
              <w:r w:rsidRPr="00B34351">
                <w:rPr>
                  <w:rFonts w:asciiTheme="minorHAnsi" w:hAnsiTheme="minorHAnsi" w:cstheme="minorHAnsi"/>
                  <w:sz w:val="22"/>
                  <w:szCs w:val="22"/>
                </w:rPr>
                <w:t>serial number 357 of the Notification No. 50/2017-Customs dated 30.06.2017</w:t>
              </w:r>
            </w:hyperlink>
            <w:r w:rsidRPr="00B34351">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D30EC8"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716 per kilogram (i.e., no change)</w:t>
            </w:r>
          </w:p>
        </w:tc>
      </w:tr>
      <w:tr w:rsidR="00B34351" w:rsidRPr="00B34351" w14:paraId="77507721"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BDB81C"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4CE164"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6F7D49"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w:t>
            </w:r>
            <w:proofErr w:type="spellStart"/>
            <w:r w:rsidRPr="00B34351">
              <w:rPr>
                <w:rFonts w:asciiTheme="minorHAnsi" w:hAnsiTheme="minorHAnsi" w:cstheme="minorHAnsi"/>
                <w:sz w:val="22"/>
                <w:szCs w:val="22"/>
              </w:rPr>
              <w:t>i</w:t>
            </w:r>
            <w:proofErr w:type="spellEnd"/>
            <w:r w:rsidRPr="00B34351">
              <w:rPr>
                <w:rFonts w:asciiTheme="minorHAnsi" w:hAnsiTheme="minorHAnsi" w:cstheme="minorHAnsi"/>
                <w:sz w:val="22"/>
                <w:szCs w:val="22"/>
              </w:rPr>
              <w:t>) Silver, in any form, other than medallions and silver coins having silver content not below 99.9% or semi-manufactured forms of silver falling under sub-heading 7106 92;</w:t>
            </w:r>
          </w:p>
          <w:p w14:paraId="2526500F"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(ii) Medallions and silver coins having silver content not below 99.9% or semi-manufactured forms of silver falling under sub-heading 7106 92, other than imports of such goods through post, courier or baggage.</w:t>
            </w:r>
          </w:p>
          <w:p w14:paraId="49DA1090"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Explanation. - For the purposes of this entry, silver in any form shall not include foreign currency coins, jewellery made of silver or</w:t>
            </w:r>
          </w:p>
          <w:p w14:paraId="4DBA383B"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0C1A0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716 per kilogram (i.e., no change)</w:t>
            </w:r>
          </w:p>
        </w:tc>
      </w:tr>
      <w:tr w:rsidR="00B34351" w:rsidRPr="00B34351" w14:paraId="633CDF99"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F72A7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260733"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EF3127"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w:t>
            </w:r>
            <w:proofErr w:type="spellStart"/>
            <w:r w:rsidRPr="00B34351">
              <w:rPr>
                <w:rFonts w:asciiTheme="minorHAnsi" w:hAnsiTheme="minorHAnsi" w:cstheme="minorHAnsi"/>
                <w:sz w:val="22"/>
                <w:szCs w:val="22"/>
              </w:rPr>
              <w:t>i</w:t>
            </w:r>
            <w:proofErr w:type="spellEnd"/>
            <w:r w:rsidRPr="00B34351">
              <w:rPr>
                <w:rFonts w:asciiTheme="minorHAnsi" w:hAnsiTheme="minorHAnsi" w:cstheme="minorHAnsi"/>
                <w:sz w:val="22"/>
                <w:szCs w:val="22"/>
              </w:rPr>
              <w:t xml:space="preserve">) Gold bars, other than tola bars, bearing </w:t>
            </w:r>
            <w:proofErr w:type="gramStart"/>
            <w:r w:rsidRPr="00B34351">
              <w:rPr>
                <w:rFonts w:asciiTheme="minorHAnsi" w:hAnsiTheme="minorHAnsi" w:cstheme="minorHAnsi"/>
                <w:sz w:val="22"/>
                <w:szCs w:val="22"/>
              </w:rPr>
              <w:t>manufacturer’s</w:t>
            </w:r>
            <w:proofErr w:type="gramEnd"/>
            <w:r w:rsidRPr="00B34351">
              <w:rPr>
                <w:rFonts w:asciiTheme="minorHAnsi" w:hAnsiTheme="minorHAnsi" w:cstheme="minorHAnsi"/>
                <w:sz w:val="22"/>
                <w:szCs w:val="22"/>
              </w:rPr>
              <w:t xml:space="preserve"> or refiner’s engraved serial number and weight expressed </w:t>
            </w:r>
            <w:r w:rsidRPr="00B34351">
              <w:rPr>
                <w:rFonts w:asciiTheme="minorHAnsi" w:hAnsiTheme="minorHAnsi" w:cstheme="minorHAnsi"/>
                <w:sz w:val="22"/>
                <w:szCs w:val="22"/>
              </w:rPr>
              <w:lastRenderedPageBreak/>
              <w:t>in metric units;</w:t>
            </w:r>
          </w:p>
          <w:p w14:paraId="6D3D884C"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(ii) Gold coins having gold content not below 99.5% and gold findings, other than imports of such goods through post, courier or baggage.</w:t>
            </w:r>
          </w:p>
          <w:p w14:paraId="6CA2B15C"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Explanation. - For the purposes of this entry, “gold findings” means a small component such as hook, clasp, clamp, pin, catch, screw back used to hold the 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7B0A09"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lastRenderedPageBreak/>
              <w:t>640 per 10 grams</w:t>
            </w:r>
          </w:p>
        </w:tc>
      </w:tr>
    </w:tbl>
    <w:p w14:paraId="315AD2BD"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TABLE-3</w:t>
      </w:r>
    </w:p>
    <w:tbl>
      <w:tblPr>
        <w:tblW w:w="0" w:type="auto"/>
        <w:jc w:val="center"/>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8"/>
        <w:gridCol w:w="2354"/>
        <w:gridCol w:w="1410"/>
        <w:gridCol w:w="1382"/>
      </w:tblGrid>
      <w:tr w:rsidR="00B34351" w:rsidRPr="00B34351" w14:paraId="5A43DE03"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53748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AB218A"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325638"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2266D3"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Tariff value</w:t>
            </w:r>
          </w:p>
          <w:p w14:paraId="20CFAD9B"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b/>
                <w:bCs/>
                <w:sz w:val="22"/>
                <w:szCs w:val="22"/>
              </w:rPr>
              <w:t>(US $ Per Metric Tonne)</w:t>
            </w:r>
          </w:p>
        </w:tc>
      </w:tr>
      <w:tr w:rsidR="00B34351" w:rsidRPr="00B34351" w14:paraId="73D007F9"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A8F699"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093FCD"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E14475"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0C240E"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(4)</w:t>
            </w:r>
          </w:p>
        </w:tc>
      </w:tr>
      <w:tr w:rsidR="00B34351" w:rsidRPr="00B34351" w14:paraId="31B6131B" w14:textId="77777777" w:rsidTr="00B3435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CEC1F6"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F3C06D"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29E912"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DF185A" w14:textId="77777777" w:rsidR="00B34351" w:rsidRPr="00B34351" w:rsidRDefault="00B34351" w:rsidP="00A7666E">
            <w:pPr>
              <w:pStyle w:val="NormalWeb"/>
              <w:shd w:val="clear" w:color="auto" w:fill="FFFFFF"/>
              <w:spacing w:line="276" w:lineRule="auto"/>
              <w:jc w:val="center"/>
              <w:rPr>
                <w:rFonts w:asciiTheme="minorHAnsi" w:hAnsiTheme="minorHAnsi" w:cstheme="minorHAnsi"/>
                <w:sz w:val="22"/>
                <w:szCs w:val="22"/>
              </w:rPr>
            </w:pPr>
            <w:r w:rsidRPr="00B34351">
              <w:rPr>
                <w:rFonts w:asciiTheme="minorHAnsi" w:hAnsiTheme="minorHAnsi" w:cstheme="minorHAnsi"/>
                <w:sz w:val="22"/>
                <w:szCs w:val="22"/>
              </w:rPr>
              <w:t>8068 (i.e., no change)”</w:t>
            </w:r>
          </w:p>
        </w:tc>
      </w:tr>
    </w:tbl>
    <w:p w14:paraId="3107C78E" w14:textId="77777777" w:rsidR="00B34351" w:rsidRPr="00B34351" w:rsidRDefault="00B34351" w:rsidP="00A7666E">
      <w:pPr>
        <w:pStyle w:val="NormalWeb"/>
        <w:shd w:val="clear" w:color="auto" w:fill="FFFFFF"/>
        <w:spacing w:line="276" w:lineRule="auto"/>
        <w:jc w:val="both"/>
        <w:rPr>
          <w:rFonts w:asciiTheme="minorHAnsi" w:hAnsiTheme="minorHAnsi" w:cstheme="minorHAnsi"/>
          <w:sz w:val="22"/>
          <w:szCs w:val="22"/>
        </w:rPr>
      </w:pPr>
      <w:r w:rsidRPr="00B34351">
        <w:rPr>
          <w:rFonts w:asciiTheme="minorHAnsi" w:hAnsiTheme="minorHAnsi" w:cstheme="minorHAnsi"/>
          <w:sz w:val="22"/>
          <w:szCs w:val="22"/>
        </w:rPr>
        <w:t>This notification shall come into force with effect from the 24th day of October, 2023.</w:t>
      </w:r>
    </w:p>
    <w:p w14:paraId="11DBAAC9" w14:textId="127F56C6" w:rsidR="003B4B10" w:rsidRDefault="006937B6" w:rsidP="00A7666E">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 xml:space="preserve">[For further details please refer the </w:t>
      </w:r>
      <w:r w:rsidR="00A74F8D">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7E000A31" w14:textId="3A387E86" w:rsidR="00637C2C" w:rsidRPr="003D1CF6" w:rsidRDefault="009E65FA" w:rsidP="00A7666E">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D15D305" w14:textId="659CA832" w:rsidR="00B34351" w:rsidRPr="003D1CF6" w:rsidRDefault="00B34351" w:rsidP="00A7666E">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B34351">
        <w:rPr>
          <w:rFonts w:cstheme="minorHAnsi"/>
          <w:b/>
          <w:bCs/>
          <w:caps/>
          <w:color w:val="000000" w:themeColor="text1"/>
        </w:rPr>
        <w:t>Levy A</w:t>
      </w:r>
      <w:r>
        <w:rPr>
          <w:rFonts w:cstheme="minorHAnsi"/>
          <w:b/>
          <w:bCs/>
          <w:caps/>
          <w:color w:val="000000" w:themeColor="text1"/>
        </w:rPr>
        <w:t>NTI DUMPING DUTY (ADD)</w:t>
      </w:r>
      <w:r w:rsidRPr="00B34351">
        <w:rPr>
          <w:rFonts w:cstheme="minorHAnsi"/>
          <w:b/>
          <w:bCs/>
          <w:caps/>
          <w:color w:val="000000" w:themeColor="text1"/>
        </w:rPr>
        <w:t xml:space="preserve"> on Jute Products originating in or exported from Nepal and Bangladesh (SSR) - sunset review investigation concerning imports of Jute Products</w:t>
      </w:r>
    </w:p>
    <w:p w14:paraId="7673D2B1" w14:textId="77777777" w:rsidR="00B34351" w:rsidRPr="00B34351" w:rsidRDefault="00637C2C" w:rsidP="00A7666E">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0D1B7D">
        <w:rPr>
          <w:rFonts w:asciiTheme="minorHAnsi" w:hAnsiTheme="minorHAnsi" w:cstheme="minorHAnsi"/>
          <w:sz w:val="22"/>
          <w:szCs w:val="22"/>
        </w:rPr>
        <w:t>notification</w:t>
      </w:r>
      <w:r>
        <w:rPr>
          <w:rFonts w:asciiTheme="minorHAnsi" w:hAnsiTheme="minorHAnsi" w:cstheme="minorHAnsi"/>
          <w:sz w:val="22"/>
          <w:szCs w:val="22"/>
        </w:rPr>
        <w:t xml:space="preserve"> no </w:t>
      </w:r>
      <w:r w:rsidR="00B34351" w:rsidRPr="00B34351">
        <w:rPr>
          <w:rFonts w:asciiTheme="minorHAnsi" w:hAnsiTheme="minorHAnsi" w:cstheme="minorHAnsi"/>
          <w:sz w:val="22"/>
          <w:szCs w:val="22"/>
        </w:rPr>
        <w:t>G.S.R. 796(E)</w:t>
      </w:r>
      <w:r>
        <w:rPr>
          <w:rFonts w:asciiTheme="minorHAnsi" w:hAnsiTheme="minorHAnsi" w:cstheme="minorHAnsi"/>
          <w:sz w:val="22"/>
          <w:szCs w:val="22"/>
        </w:rPr>
        <w:t>-Customs</w:t>
      </w:r>
      <w:r w:rsidR="000D1B7D">
        <w:rPr>
          <w:rFonts w:asciiTheme="minorHAnsi" w:hAnsiTheme="minorHAnsi" w:cstheme="minorHAnsi"/>
          <w:sz w:val="22"/>
          <w:szCs w:val="22"/>
        </w:rPr>
        <w:t>(</w:t>
      </w:r>
      <w:r w:rsidR="00B34351">
        <w:rPr>
          <w:rFonts w:asciiTheme="minorHAnsi" w:hAnsiTheme="minorHAnsi" w:cstheme="minorHAnsi"/>
          <w:sz w:val="22"/>
          <w:szCs w:val="22"/>
        </w:rPr>
        <w:t>A.D.D</w:t>
      </w:r>
      <w:r w:rsidR="000D1B7D">
        <w:rPr>
          <w:rFonts w:asciiTheme="minorHAnsi" w:hAnsiTheme="minorHAnsi" w:cstheme="minorHAnsi"/>
          <w:sz w:val="22"/>
          <w:szCs w:val="22"/>
        </w:rPr>
        <w:t>)</w:t>
      </w:r>
      <w:r>
        <w:rPr>
          <w:rFonts w:asciiTheme="minorHAnsi" w:hAnsiTheme="minorHAnsi" w:cstheme="minorHAnsi"/>
          <w:sz w:val="22"/>
          <w:szCs w:val="22"/>
        </w:rPr>
        <w:t xml:space="preserve"> dated </w:t>
      </w:r>
      <w:r w:rsidR="00B34351">
        <w:rPr>
          <w:rFonts w:asciiTheme="minorHAnsi" w:hAnsiTheme="minorHAnsi" w:cstheme="minorHAnsi"/>
          <w:sz w:val="22"/>
          <w:szCs w:val="22"/>
        </w:rPr>
        <w:t>26</w:t>
      </w:r>
      <w:r>
        <w:rPr>
          <w:rFonts w:asciiTheme="minorHAnsi" w:hAnsiTheme="minorHAnsi" w:cstheme="minorHAnsi"/>
          <w:sz w:val="22"/>
          <w:szCs w:val="22"/>
        </w:rPr>
        <w:t>.</w:t>
      </w:r>
      <w:r w:rsidR="002F215A">
        <w:rPr>
          <w:rFonts w:asciiTheme="minorHAnsi" w:hAnsiTheme="minorHAnsi" w:cstheme="minorHAnsi"/>
          <w:sz w:val="22"/>
          <w:szCs w:val="22"/>
        </w:rPr>
        <w:t>10</w:t>
      </w:r>
      <w:r>
        <w:rPr>
          <w:rFonts w:asciiTheme="minorHAnsi" w:hAnsiTheme="minorHAnsi" w:cstheme="minorHAnsi"/>
          <w:sz w:val="22"/>
          <w:szCs w:val="22"/>
        </w:rPr>
        <w:t>.202</w:t>
      </w:r>
      <w:r w:rsidR="008F5611">
        <w:rPr>
          <w:rFonts w:asciiTheme="minorHAnsi" w:hAnsiTheme="minorHAnsi" w:cstheme="minorHAnsi"/>
          <w:sz w:val="22"/>
          <w:szCs w:val="22"/>
        </w:rPr>
        <w:t>3</w:t>
      </w:r>
      <w:r>
        <w:rPr>
          <w:rFonts w:asciiTheme="minorHAnsi" w:hAnsiTheme="minorHAnsi" w:cstheme="minorHAnsi"/>
          <w:sz w:val="22"/>
          <w:szCs w:val="22"/>
        </w:rPr>
        <w:t xml:space="preserve"> </w:t>
      </w:r>
      <w:r w:rsidR="000D1B7D" w:rsidRPr="000D1B7D">
        <w:rPr>
          <w:rFonts w:asciiTheme="minorHAnsi" w:hAnsiTheme="minorHAnsi" w:cstheme="minorHAnsi"/>
          <w:sz w:val="22"/>
          <w:szCs w:val="22"/>
        </w:rPr>
        <w:t xml:space="preserve">notified </w:t>
      </w:r>
      <w:r w:rsidR="00E63D75" w:rsidRPr="00E63D75">
        <w:rPr>
          <w:rFonts w:asciiTheme="minorHAnsi" w:hAnsiTheme="minorHAnsi" w:cstheme="minorHAnsi"/>
          <w:sz w:val="22"/>
          <w:szCs w:val="22"/>
        </w:rPr>
        <w:t> </w:t>
      </w:r>
      <w:r w:rsidR="00B34351" w:rsidRPr="00B34351">
        <w:rPr>
          <w:rFonts w:asciiTheme="minorHAnsi" w:hAnsiTheme="minorHAnsi" w:cstheme="minorHAnsi"/>
          <w:sz w:val="22"/>
          <w:szCs w:val="22"/>
        </w:rPr>
        <w:t>Having regard to the </w:t>
      </w:r>
      <w:hyperlink r:id="rId187" w:history="1">
        <w:r w:rsidR="00B34351" w:rsidRPr="00B34351">
          <w:rPr>
            <w:rFonts w:asciiTheme="minorHAnsi" w:hAnsiTheme="minorHAnsi" w:cstheme="minorHAnsi"/>
            <w:sz w:val="22"/>
            <w:szCs w:val="22"/>
          </w:rPr>
          <w:t>Customs Tariff Act, 1975 (51 of 1975),</w:t>
        </w:r>
      </w:hyperlink>
      <w:r w:rsidR="00B34351" w:rsidRPr="00B34351">
        <w:rPr>
          <w:rFonts w:asciiTheme="minorHAnsi" w:hAnsiTheme="minorHAnsi" w:cstheme="minorHAnsi"/>
          <w:sz w:val="22"/>
          <w:szCs w:val="22"/>
        </w:rPr>
        <w:t> as amended from time to time and the </w:t>
      </w:r>
      <w:hyperlink r:id="rId188" w:history="1">
        <w:r w:rsidR="00B34351" w:rsidRPr="00B34351">
          <w:rPr>
            <w:rFonts w:asciiTheme="minorHAnsi" w:hAnsiTheme="minorHAnsi" w:cstheme="minorHAnsi"/>
            <w:sz w:val="22"/>
            <w:szCs w:val="22"/>
          </w:rPr>
          <w:t>Customs Tariff (Identification, Assessment and Collection of Anti-Dumping Duty on Dumped Articles and for Determination of Injury) Rules, 1995</w:t>
        </w:r>
      </w:hyperlink>
      <w:r w:rsidR="00B34351" w:rsidRPr="00B34351">
        <w:rPr>
          <w:rFonts w:asciiTheme="minorHAnsi" w:hAnsiTheme="minorHAnsi" w:cstheme="minorHAnsi"/>
          <w:sz w:val="22"/>
          <w:szCs w:val="22"/>
        </w:rPr>
        <w:t xml:space="preserve">, as amended from time </w:t>
      </w:r>
      <w:r w:rsidR="00B34351" w:rsidRPr="00B34351">
        <w:rPr>
          <w:rFonts w:asciiTheme="minorHAnsi" w:hAnsiTheme="minorHAnsi" w:cstheme="minorHAnsi"/>
          <w:sz w:val="22"/>
          <w:szCs w:val="22"/>
        </w:rPr>
        <w:t>to time, thereof, the Central Government has issued the </w:t>
      </w:r>
      <w:hyperlink r:id="rId189" w:history="1">
        <w:r w:rsidR="00B34351" w:rsidRPr="00B34351">
          <w:rPr>
            <w:rFonts w:asciiTheme="minorHAnsi" w:hAnsiTheme="minorHAnsi" w:cstheme="minorHAnsi"/>
            <w:sz w:val="22"/>
            <w:szCs w:val="22"/>
          </w:rPr>
          <w:t>notification of the Government of India in the Ministry of Finance (Department of Revenue), No. 33/2022-Customs (ADD), dated the 30th December, 2022, published in the Gazette of India, Extraordinary, Part II, Section 3, Sub-section (</w:t>
        </w:r>
        <w:proofErr w:type="spellStart"/>
        <w:r w:rsidR="00B34351" w:rsidRPr="00B34351">
          <w:rPr>
            <w:rFonts w:asciiTheme="minorHAnsi" w:hAnsiTheme="minorHAnsi" w:cstheme="minorHAnsi"/>
            <w:sz w:val="22"/>
            <w:szCs w:val="22"/>
          </w:rPr>
          <w:t>i</w:t>
        </w:r>
        <w:proofErr w:type="spellEnd"/>
        <w:r w:rsidR="00B34351" w:rsidRPr="00B34351">
          <w:rPr>
            <w:rFonts w:asciiTheme="minorHAnsi" w:hAnsiTheme="minorHAnsi" w:cstheme="minorHAnsi"/>
            <w:sz w:val="22"/>
            <w:szCs w:val="22"/>
          </w:rPr>
          <w:t>), vide number G.S.R. 914(E), dated the 30th December, 2022</w:t>
        </w:r>
      </w:hyperlink>
      <w:r w:rsidR="00B34351" w:rsidRPr="00B34351">
        <w:rPr>
          <w:rFonts w:asciiTheme="minorHAnsi" w:hAnsiTheme="minorHAnsi" w:cstheme="minorHAnsi"/>
          <w:sz w:val="22"/>
          <w:szCs w:val="22"/>
        </w:rPr>
        <w:t>, in respect of the sunset review investigation concerning imports of “Jute Products comprising of Jute Yarn/Twine (multiple folded/cabled and single),Hessian fabric, Jute sacking bags and Jute sacking cloth” originating in or exported from Bangladesh and Nepal.</w:t>
      </w:r>
    </w:p>
    <w:p w14:paraId="5466C513" w14:textId="77777777" w:rsidR="00B34351" w:rsidRPr="00B34351" w:rsidRDefault="00B34351" w:rsidP="00A7666E">
      <w:pPr>
        <w:pStyle w:val="NormalWeb"/>
        <w:shd w:val="clear" w:color="auto" w:fill="FFFFFF"/>
        <w:spacing w:line="276" w:lineRule="auto"/>
        <w:jc w:val="both"/>
        <w:rPr>
          <w:rFonts w:asciiTheme="minorHAnsi" w:hAnsiTheme="minorHAnsi" w:cstheme="minorHAnsi"/>
          <w:sz w:val="22"/>
          <w:szCs w:val="22"/>
        </w:rPr>
      </w:pPr>
      <w:r w:rsidRPr="00B34351">
        <w:rPr>
          <w:rFonts w:asciiTheme="minorHAnsi" w:hAnsiTheme="minorHAnsi" w:cstheme="minorHAnsi"/>
          <w:sz w:val="22"/>
          <w:szCs w:val="22"/>
        </w:rPr>
        <w:t>Few typographical errors had occurred in the previously issued Corrigendum Notification dated 12.09.2023. Thus, in supersession of the previously issued Corrigendum dated 12.09.2023, in the </w:t>
      </w:r>
      <w:hyperlink r:id="rId190" w:history="1">
        <w:r w:rsidRPr="00B34351">
          <w:rPr>
            <w:rFonts w:asciiTheme="minorHAnsi" w:hAnsiTheme="minorHAnsi" w:cstheme="minorHAnsi"/>
            <w:sz w:val="22"/>
            <w:szCs w:val="22"/>
          </w:rPr>
          <w:t>notification of the Government of India in the Ministry of Finance (Department of Revenue), No. 33/2022-Customs (ADD), dated the 30th December, 2022, published in the Gazette of India, Extraordinary, Part II, Section 3, Sub-section (</w:t>
        </w:r>
        <w:proofErr w:type="spellStart"/>
        <w:r w:rsidRPr="00B34351">
          <w:rPr>
            <w:rFonts w:asciiTheme="minorHAnsi" w:hAnsiTheme="minorHAnsi" w:cstheme="minorHAnsi"/>
            <w:sz w:val="22"/>
            <w:szCs w:val="22"/>
          </w:rPr>
          <w:t>i</w:t>
        </w:r>
        <w:proofErr w:type="spellEnd"/>
        <w:r w:rsidRPr="00B34351">
          <w:rPr>
            <w:rFonts w:asciiTheme="minorHAnsi" w:hAnsiTheme="minorHAnsi" w:cstheme="minorHAnsi"/>
            <w:sz w:val="22"/>
            <w:szCs w:val="22"/>
          </w:rPr>
          <w:t>), vide number G.S.R. 914(E), dated the 30th December, 2022</w:t>
        </w:r>
      </w:hyperlink>
      <w:r w:rsidRPr="00B34351">
        <w:rPr>
          <w:rFonts w:asciiTheme="minorHAnsi" w:hAnsiTheme="minorHAnsi" w:cstheme="minorHAnsi"/>
          <w:sz w:val="22"/>
          <w:szCs w:val="22"/>
        </w:rPr>
        <w:t>, namely, -</w:t>
      </w:r>
    </w:p>
    <w:p w14:paraId="05A35A60" w14:textId="77777777" w:rsidR="00B34351" w:rsidRPr="00B34351" w:rsidRDefault="00B34351" w:rsidP="00A7666E">
      <w:pPr>
        <w:pStyle w:val="NormalWeb"/>
        <w:shd w:val="clear" w:color="auto" w:fill="FFFFFF"/>
        <w:spacing w:line="276" w:lineRule="auto"/>
        <w:jc w:val="both"/>
        <w:rPr>
          <w:rFonts w:asciiTheme="minorHAnsi" w:hAnsiTheme="minorHAnsi" w:cstheme="minorHAnsi"/>
          <w:sz w:val="22"/>
          <w:szCs w:val="22"/>
        </w:rPr>
      </w:pPr>
      <w:r w:rsidRPr="00B34351">
        <w:rPr>
          <w:rFonts w:asciiTheme="minorHAnsi" w:hAnsiTheme="minorHAnsi" w:cstheme="minorHAnsi"/>
          <w:sz w:val="22"/>
          <w:szCs w:val="22"/>
        </w:rPr>
        <w:t>(</w:t>
      </w:r>
      <w:proofErr w:type="spellStart"/>
      <w:r w:rsidRPr="00B34351">
        <w:rPr>
          <w:rFonts w:asciiTheme="minorHAnsi" w:hAnsiTheme="minorHAnsi" w:cstheme="minorHAnsi"/>
          <w:sz w:val="22"/>
          <w:szCs w:val="22"/>
        </w:rPr>
        <w:t>i</w:t>
      </w:r>
      <w:proofErr w:type="spellEnd"/>
      <w:r w:rsidRPr="00B34351">
        <w:rPr>
          <w:rFonts w:asciiTheme="minorHAnsi" w:hAnsiTheme="minorHAnsi" w:cstheme="minorHAnsi"/>
          <w:sz w:val="22"/>
          <w:szCs w:val="22"/>
        </w:rPr>
        <w:t>) in page 13, in line 3, for “the producers as specified in the corresponding entries in column (7)”, read “the producers as specified in the corresponding entries in column (7), exported by the exporters as specified in the corresponding entry in column (8), and imported into India”;</w:t>
      </w:r>
    </w:p>
    <w:p w14:paraId="66CEBAA3" w14:textId="77777777" w:rsidR="00B34351" w:rsidRPr="00B34351" w:rsidRDefault="00B34351" w:rsidP="00A7666E">
      <w:pPr>
        <w:pStyle w:val="NormalWeb"/>
        <w:shd w:val="clear" w:color="auto" w:fill="FFFFFF"/>
        <w:spacing w:line="276" w:lineRule="auto"/>
        <w:jc w:val="both"/>
        <w:rPr>
          <w:rFonts w:asciiTheme="minorHAnsi" w:hAnsiTheme="minorHAnsi" w:cstheme="minorHAnsi"/>
          <w:sz w:val="22"/>
          <w:szCs w:val="22"/>
        </w:rPr>
      </w:pPr>
      <w:r w:rsidRPr="00B34351">
        <w:rPr>
          <w:rFonts w:asciiTheme="minorHAnsi" w:hAnsiTheme="minorHAnsi" w:cstheme="minorHAnsi"/>
          <w:sz w:val="22"/>
          <w:szCs w:val="22"/>
        </w:rPr>
        <w:t>(ii) in page 13, in line 4, for “(8)”, read “9”;</w:t>
      </w:r>
    </w:p>
    <w:p w14:paraId="23DAEE09" w14:textId="77777777" w:rsidR="00B34351" w:rsidRPr="00B34351" w:rsidRDefault="00B34351" w:rsidP="00A7666E">
      <w:pPr>
        <w:pStyle w:val="NormalWeb"/>
        <w:shd w:val="clear" w:color="auto" w:fill="FFFFFF"/>
        <w:spacing w:line="276" w:lineRule="auto"/>
        <w:jc w:val="both"/>
        <w:rPr>
          <w:rFonts w:asciiTheme="minorHAnsi" w:hAnsiTheme="minorHAnsi" w:cstheme="minorHAnsi"/>
          <w:sz w:val="22"/>
          <w:szCs w:val="22"/>
        </w:rPr>
      </w:pPr>
      <w:r w:rsidRPr="00B34351">
        <w:rPr>
          <w:rFonts w:asciiTheme="minorHAnsi" w:hAnsiTheme="minorHAnsi" w:cstheme="minorHAnsi"/>
          <w:sz w:val="22"/>
          <w:szCs w:val="22"/>
        </w:rPr>
        <w:t>(iii) in page 13, in line 5, for “(9)”, read “(10)”;</w:t>
      </w:r>
    </w:p>
    <w:p w14:paraId="20EA9B8C" w14:textId="1AC54C15" w:rsidR="00B34351" w:rsidRPr="00B34351" w:rsidRDefault="00B34351" w:rsidP="00A7666E">
      <w:pPr>
        <w:pStyle w:val="NormalWeb"/>
        <w:shd w:val="clear" w:color="auto" w:fill="FFFFFF"/>
        <w:spacing w:line="276" w:lineRule="auto"/>
        <w:jc w:val="both"/>
        <w:rPr>
          <w:rFonts w:asciiTheme="minorHAnsi" w:hAnsiTheme="minorHAnsi" w:cstheme="minorHAnsi"/>
          <w:sz w:val="22"/>
          <w:szCs w:val="22"/>
        </w:rPr>
      </w:pPr>
      <w:r w:rsidRPr="00B34351">
        <w:rPr>
          <w:rFonts w:asciiTheme="minorHAnsi" w:hAnsiTheme="minorHAnsi" w:cstheme="minorHAnsi"/>
          <w:sz w:val="22"/>
          <w:szCs w:val="22"/>
        </w:rPr>
        <w:t>(iv) in page 13, in line 6 to line 58, in pages 14, 15, 16, 17 and 18, in all lines, and in page 19, in line 1 to line 36, for “TABLE</w:t>
      </w:r>
      <w:proofErr w:type="gramStart"/>
      <w:r w:rsidRPr="00B34351">
        <w:rPr>
          <w:rFonts w:asciiTheme="minorHAnsi" w:hAnsiTheme="minorHAnsi" w:cstheme="minorHAnsi"/>
          <w:sz w:val="22"/>
          <w:szCs w:val="22"/>
        </w:rPr>
        <w:t>…..</w:t>
      </w:r>
      <w:proofErr w:type="gramEnd"/>
      <w:r w:rsidRPr="00B34351">
        <w:rPr>
          <w:rFonts w:asciiTheme="minorHAnsi" w:hAnsiTheme="minorHAnsi" w:cstheme="minorHAnsi"/>
          <w:sz w:val="22"/>
          <w:szCs w:val="22"/>
        </w:rPr>
        <w:t>US$/MT”, </w:t>
      </w:r>
      <w:r>
        <w:rPr>
          <w:rFonts w:asciiTheme="minorHAnsi" w:hAnsiTheme="minorHAnsi" w:cstheme="minorHAnsi"/>
          <w:sz w:val="22"/>
          <w:szCs w:val="22"/>
        </w:rPr>
        <w:t>please refer the table as mentioned in the notification.</w:t>
      </w:r>
    </w:p>
    <w:p w14:paraId="2CD3E0F3" w14:textId="635E2040" w:rsidR="00D962A1" w:rsidRDefault="00225106" w:rsidP="00A7666E">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637C2C">
        <w:rPr>
          <w:rFonts w:asciiTheme="minorHAnsi" w:hAnsiTheme="minorHAnsi" w:cstheme="minorHAnsi"/>
          <w:b/>
          <w:bCs/>
          <w:sz w:val="22"/>
          <w:szCs w:val="22"/>
        </w:rPr>
        <w:t xml:space="preserve">[For further details please refer the </w:t>
      </w:r>
      <w:r w:rsidR="000D1B7D">
        <w:rPr>
          <w:rFonts w:asciiTheme="minorHAnsi" w:hAnsiTheme="minorHAnsi" w:cstheme="minorHAnsi"/>
          <w:b/>
          <w:bCs/>
          <w:sz w:val="22"/>
          <w:szCs w:val="22"/>
        </w:rPr>
        <w:t>notification</w:t>
      </w:r>
      <w:r w:rsidR="00637C2C">
        <w:rPr>
          <w:rFonts w:asciiTheme="minorHAnsi" w:hAnsiTheme="minorHAnsi" w:cstheme="minorHAnsi"/>
          <w:b/>
          <w:bCs/>
          <w:sz w:val="22"/>
          <w:szCs w:val="22"/>
        </w:rPr>
        <w:t>]</w:t>
      </w:r>
    </w:p>
    <w:p w14:paraId="1C23815A" w14:textId="77777777" w:rsidR="00225106" w:rsidRDefault="00225106" w:rsidP="00225106">
      <w:pPr>
        <w:pStyle w:val="NormalWeb"/>
        <w:shd w:val="clear" w:color="auto" w:fill="FFFFFF"/>
        <w:spacing w:before="0" w:beforeAutospacing="0" w:after="0" w:afterAutospacing="0"/>
        <w:jc w:val="both"/>
        <w:rPr>
          <w:rFonts w:asciiTheme="minorHAnsi" w:hAnsiTheme="minorHAnsi" w:cstheme="minorHAnsi"/>
          <w:b/>
          <w:bCs/>
          <w:sz w:val="22"/>
          <w:szCs w:val="22"/>
        </w:rPr>
      </w:pPr>
    </w:p>
    <w:p w14:paraId="308171CB" w14:textId="703B3B01" w:rsidR="00A329F8" w:rsidRPr="00FB1CA8" w:rsidRDefault="00A329F8" w:rsidP="00225106">
      <w:pPr>
        <w:pStyle w:val="NormalWeb"/>
        <w:shd w:val="clear" w:color="auto" w:fill="FFFFFF"/>
        <w:spacing w:before="0" w:beforeAutospacing="0"/>
        <w:jc w:val="both"/>
        <w:rPr>
          <w:rFonts w:asciiTheme="minorHAnsi" w:hAnsiTheme="minorHAnsi" w:cstheme="minorHAnsi"/>
          <w:b/>
          <w:bCs/>
          <w:sz w:val="22"/>
          <w:szCs w:val="22"/>
        </w:rPr>
      </w:pPr>
    </w:p>
    <w:p w14:paraId="3358953E" w14:textId="3206A29A" w:rsidR="00637C2C" w:rsidRDefault="00637C2C" w:rsidP="00D34BFF">
      <w:pPr>
        <w:pStyle w:val="NormalWeb"/>
        <w:shd w:val="clear" w:color="auto" w:fill="FFFFFF"/>
        <w:jc w:val="both"/>
        <w:rPr>
          <w:rFonts w:asciiTheme="minorHAnsi" w:hAnsiTheme="minorHAnsi" w:cstheme="minorHAnsi"/>
          <w:b/>
          <w:bCs/>
          <w:sz w:val="22"/>
          <w:szCs w:val="22"/>
        </w:rPr>
        <w:sectPr w:rsidR="00637C2C" w:rsidSect="009E65FA">
          <w:headerReference w:type="default" r:id="rId191"/>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0617D68D" w:rsidR="008D3AF9" w:rsidRPr="00924962" w:rsidRDefault="00A82D33" w:rsidP="002601A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2DC5CAD1" w14:textId="48BF4A4C" w:rsidR="00E630E0" w:rsidRPr="00F57EA5" w:rsidRDefault="00E630E0" w:rsidP="002601AB">
      <w:pPr>
        <w:shd w:val="clear" w:color="auto" w:fill="8DC182"/>
        <w:tabs>
          <w:tab w:val="left" w:pos="4820"/>
        </w:tabs>
        <w:autoSpaceDE w:val="0"/>
        <w:autoSpaceDN w:val="0"/>
        <w:adjustRightInd w:val="0"/>
        <w:spacing w:line="276" w:lineRule="auto"/>
        <w:ind w:right="11"/>
        <w:jc w:val="both"/>
        <w:rPr>
          <w:rFonts w:cstheme="minorHAnsi"/>
          <w:b/>
          <w:bCs/>
          <w:caps/>
        </w:rPr>
      </w:pPr>
      <w:r>
        <w:rPr>
          <w:rFonts w:cstheme="minorHAnsi"/>
          <w:b/>
          <w:bCs/>
          <w:caps/>
        </w:rPr>
        <w:t>S</w:t>
      </w:r>
      <w:r w:rsidRPr="00E630E0">
        <w:rPr>
          <w:rFonts w:cstheme="minorHAnsi"/>
          <w:b/>
          <w:bCs/>
          <w:caps/>
        </w:rPr>
        <w:t>treamlining of Halal Certification Process for Meat and Meat Products</w:t>
      </w:r>
    </w:p>
    <w:p w14:paraId="3141D370" w14:textId="77777777" w:rsidR="00E630E0" w:rsidRPr="00E630E0" w:rsidRDefault="008D3AF9" w:rsidP="002601AB">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notification</w:t>
      </w:r>
      <w:r w:rsidRPr="00924962">
        <w:rPr>
          <w:rFonts w:asciiTheme="minorHAnsi" w:hAnsiTheme="minorHAnsi" w:cstheme="minorHAnsi"/>
          <w:sz w:val="22"/>
          <w:szCs w:val="22"/>
        </w:rPr>
        <w:t xml:space="preserve"> no. </w:t>
      </w:r>
      <w:r w:rsidR="00E630E0">
        <w:rPr>
          <w:rFonts w:asciiTheme="minorHAnsi" w:hAnsiTheme="minorHAnsi" w:cstheme="minorHAnsi"/>
          <w:sz w:val="22"/>
          <w:szCs w:val="22"/>
        </w:rPr>
        <w:t>41</w:t>
      </w:r>
      <w:r w:rsidRPr="00924962">
        <w:rPr>
          <w:rFonts w:asciiTheme="minorHAnsi" w:hAnsiTheme="minorHAnsi" w:cstheme="minorHAnsi"/>
          <w:sz w:val="22"/>
          <w:szCs w:val="22"/>
        </w:rPr>
        <w:t xml:space="preserve">/2023 dated </w:t>
      </w:r>
      <w:r w:rsidR="00E630E0">
        <w:rPr>
          <w:rFonts w:asciiTheme="minorHAnsi" w:hAnsiTheme="minorHAnsi" w:cstheme="minorHAnsi"/>
          <w:sz w:val="22"/>
          <w:szCs w:val="22"/>
        </w:rPr>
        <w:t>27</w:t>
      </w:r>
      <w:r w:rsidRPr="00924962">
        <w:rPr>
          <w:rFonts w:asciiTheme="minorHAnsi" w:hAnsiTheme="minorHAnsi" w:cstheme="minorHAnsi"/>
          <w:sz w:val="22"/>
          <w:szCs w:val="22"/>
        </w:rPr>
        <w:t>.</w:t>
      </w:r>
      <w:r w:rsidR="00841B4C">
        <w:rPr>
          <w:rFonts w:asciiTheme="minorHAnsi" w:hAnsiTheme="minorHAnsi" w:cstheme="minorHAnsi"/>
          <w:sz w:val="22"/>
          <w:szCs w:val="22"/>
        </w:rPr>
        <w:t>10</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E630E0" w:rsidRPr="00E630E0">
        <w:rPr>
          <w:rFonts w:asciiTheme="minorHAnsi" w:hAnsiTheme="minorHAnsi" w:cstheme="minorHAnsi"/>
          <w:sz w:val="22"/>
          <w:szCs w:val="22"/>
        </w:rPr>
        <w:t>The Central Government, in exercise of powers conferred by </w:t>
      </w:r>
      <w:hyperlink r:id="rId192" w:history="1">
        <w:r w:rsidR="00E630E0" w:rsidRPr="00E630E0">
          <w:rPr>
            <w:rFonts w:asciiTheme="minorHAnsi" w:hAnsiTheme="minorHAnsi" w:cstheme="minorHAnsi"/>
            <w:sz w:val="22"/>
            <w:szCs w:val="22"/>
          </w:rPr>
          <w:t>Section 3</w:t>
        </w:r>
      </w:hyperlink>
      <w:r w:rsidR="00E630E0" w:rsidRPr="00E630E0">
        <w:rPr>
          <w:rFonts w:asciiTheme="minorHAnsi" w:hAnsiTheme="minorHAnsi" w:cstheme="minorHAnsi"/>
          <w:sz w:val="22"/>
          <w:szCs w:val="22"/>
        </w:rPr>
        <w:t> read with </w:t>
      </w:r>
      <w:hyperlink r:id="rId193" w:history="1">
        <w:r w:rsidR="00E630E0" w:rsidRPr="00E630E0">
          <w:rPr>
            <w:rFonts w:asciiTheme="minorHAnsi" w:hAnsiTheme="minorHAnsi" w:cstheme="minorHAnsi"/>
            <w:sz w:val="22"/>
            <w:szCs w:val="22"/>
          </w:rPr>
          <w:t>Section 5</w:t>
        </w:r>
      </w:hyperlink>
      <w:r w:rsidR="00E630E0" w:rsidRPr="00E630E0">
        <w:rPr>
          <w:rFonts w:asciiTheme="minorHAnsi" w:hAnsiTheme="minorHAnsi" w:cstheme="minorHAnsi"/>
          <w:sz w:val="22"/>
          <w:szCs w:val="22"/>
        </w:rPr>
        <w:t> of the </w:t>
      </w:r>
      <w:hyperlink r:id="rId194" w:history="1">
        <w:r w:rsidR="00E630E0" w:rsidRPr="00E630E0">
          <w:rPr>
            <w:rFonts w:asciiTheme="minorHAnsi" w:hAnsiTheme="minorHAnsi" w:cstheme="minorHAnsi"/>
            <w:sz w:val="22"/>
            <w:szCs w:val="22"/>
          </w:rPr>
          <w:t>Foreign Trade (Development &amp; Regulation) Act, 1992 (No. 22 of 1992)</w:t>
        </w:r>
      </w:hyperlink>
      <w:r w:rsidR="00E630E0" w:rsidRPr="00E630E0">
        <w:rPr>
          <w:rFonts w:asciiTheme="minorHAnsi" w:hAnsiTheme="minorHAnsi" w:cstheme="minorHAnsi"/>
          <w:sz w:val="22"/>
          <w:szCs w:val="22"/>
        </w:rPr>
        <w:t>, as amended, read with </w:t>
      </w:r>
      <w:hyperlink r:id="rId195" w:history="1">
        <w:r w:rsidR="00E630E0" w:rsidRPr="00E630E0">
          <w:rPr>
            <w:rFonts w:asciiTheme="minorHAnsi" w:hAnsiTheme="minorHAnsi" w:cstheme="minorHAnsi"/>
            <w:sz w:val="22"/>
            <w:szCs w:val="22"/>
          </w:rPr>
          <w:t>Para 1.02</w:t>
        </w:r>
      </w:hyperlink>
      <w:r w:rsidR="00E630E0" w:rsidRPr="00E630E0">
        <w:rPr>
          <w:rFonts w:asciiTheme="minorHAnsi" w:hAnsiTheme="minorHAnsi" w:cstheme="minorHAnsi"/>
          <w:sz w:val="22"/>
          <w:szCs w:val="22"/>
        </w:rPr>
        <w:t> and</w:t>
      </w:r>
      <w:hyperlink r:id="rId196" w:history="1">
        <w:r w:rsidR="00E630E0" w:rsidRPr="00E630E0">
          <w:rPr>
            <w:rFonts w:asciiTheme="minorHAnsi" w:hAnsiTheme="minorHAnsi" w:cstheme="minorHAnsi"/>
            <w:sz w:val="22"/>
            <w:szCs w:val="22"/>
          </w:rPr>
          <w:t> 2.01</w:t>
        </w:r>
      </w:hyperlink>
      <w:r w:rsidR="00E630E0" w:rsidRPr="00E630E0">
        <w:rPr>
          <w:rFonts w:asciiTheme="minorHAnsi" w:hAnsiTheme="minorHAnsi" w:cstheme="minorHAnsi"/>
          <w:sz w:val="22"/>
          <w:szCs w:val="22"/>
        </w:rPr>
        <w:t> of the </w:t>
      </w:r>
      <w:hyperlink r:id="rId197" w:history="1">
        <w:r w:rsidR="00E630E0" w:rsidRPr="00E630E0">
          <w:rPr>
            <w:rFonts w:asciiTheme="minorHAnsi" w:hAnsiTheme="minorHAnsi" w:cstheme="minorHAnsi"/>
            <w:sz w:val="22"/>
            <w:szCs w:val="22"/>
          </w:rPr>
          <w:t>Foreign Trade Policy, 2023</w:t>
        </w:r>
      </w:hyperlink>
      <w:r w:rsidR="00E630E0" w:rsidRPr="00E630E0">
        <w:rPr>
          <w:rFonts w:asciiTheme="minorHAnsi" w:hAnsiTheme="minorHAnsi" w:cstheme="minorHAnsi"/>
          <w:sz w:val="22"/>
          <w:szCs w:val="22"/>
        </w:rPr>
        <w:t>, in partial modification of </w:t>
      </w:r>
      <w:hyperlink r:id="rId198" w:history="1">
        <w:r w:rsidR="00E630E0" w:rsidRPr="00E630E0">
          <w:rPr>
            <w:rFonts w:asciiTheme="minorHAnsi" w:hAnsiTheme="minorHAnsi" w:cstheme="minorHAnsi"/>
            <w:sz w:val="22"/>
            <w:szCs w:val="22"/>
          </w:rPr>
          <w:t>Notification No. 03/2023 dated 6th April, 2023</w:t>
        </w:r>
      </w:hyperlink>
      <w:r w:rsidR="00E630E0" w:rsidRPr="00E630E0">
        <w:rPr>
          <w:rFonts w:asciiTheme="minorHAnsi" w:hAnsiTheme="minorHAnsi" w:cstheme="minorHAnsi"/>
          <w:sz w:val="22"/>
          <w:szCs w:val="22"/>
        </w:rPr>
        <w:t>, hereby extends the time period, for both accreditation of Halal Certification Bodies as well as for registration of export units, for a further period of six months i.e., up to 5th April 2024.</w:t>
      </w:r>
    </w:p>
    <w:p w14:paraId="45593658" w14:textId="77777777" w:rsidR="00E630E0" w:rsidRPr="00E630E0" w:rsidRDefault="00E630E0" w:rsidP="002601AB">
      <w:pPr>
        <w:pStyle w:val="NormalWeb"/>
        <w:shd w:val="clear" w:color="auto" w:fill="FFFFFF"/>
        <w:spacing w:line="276" w:lineRule="auto"/>
        <w:jc w:val="both"/>
        <w:rPr>
          <w:rFonts w:asciiTheme="minorHAnsi" w:hAnsiTheme="minorHAnsi" w:cstheme="minorHAnsi"/>
          <w:sz w:val="22"/>
          <w:szCs w:val="22"/>
        </w:rPr>
      </w:pPr>
      <w:r w:rsidRPr="00E630E0">
        <w:rPr>
          <w:rFonts w:asciiTheme="minorHAnsi" w:hAnsiTheme="minorHAnsi" w:cstheme="minorHAnsi"/>
          <w:sz w:val="22"/>
          <w:szCs w:val="22"/>
        </w:rPr>
        <w:t>2.  </w:t>
      </w:r>
      <w:r w:rsidRPr="00E630E0">
        <w:rPr>
          <w:rFonts w:asciiTheme="minorHAnsi" w:hAnsiTheme="minorHAnsi" w:cstheme="minorHAnsi"/>
          <w:b/>
          <w:bCs/>
          <w:sz w:val="22"/>
          <w:szCs w:val="22"/>
        </w:rPr>
        <w:t>Effect of this Notification:</w:t>
      </w:r>
    </w:p>
    <w:p w14:paraId="0A86B2D3" w14:textId="77777777" w:rsidR="00E630E0" w:rsidRPr="00E630E0" w:rsidRDefault="00E630E0" w:rsidP="002601AB">
      <w:pPr>
        <w:pStyle w:val="NormalWeb"/>
        <w:shd w:val="clear" w:color="auto" w:fill="FFFFFF"/>
        <w:spacing w:line="276" w:lineRule="auto"/>
        <w:jc w:val="both"/>
        <w:rPr>
          <w:rFonts w:asciiTheme="minorHAnsi" w:hAnsiTheme="minorHAnsi" w:cstheme="minorHAnsi"/>
          <w:sz w:val="22"/>
          <w:szCs w:val="22"/>
        </w:rPr>
      </w:pPr>
      <w:r w:rsidRPr="00E630E0">
        <w:rPr>
          <w:rFonts w:asciiTheme="minorHAnsi" w:hAnsiTheme="minorHAnsi" w:cstheme="minorHAnsi"/>
          <w:sz w:val="22"/>
          <w:szCs w:val="22"/>
        </w:rPr>
        <w:t>Time period for accreditation of Halal Certification Bodies and registration of Export Units have been extended by a period of six months i.e., up to 5th April 2024.</w:t>
      </w:r>
    </w:p>
    <w:p w14:paraId="280A6FB2" w14:textId="6C870EDC" w:rsidR="00AC272B" w:rsidRDefault="008D3AF9" w:rsidP="002601AB">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4A08D0">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663CE5EB" w14:textId="6BD8A068" w:rsidR="001A4A48" w:rsidRPr="00924962" w:rsidRDefault="00DC3180" w:rsidP="002601A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564B7BF" w14:textId="2B1B7BDA" w:rsidR="00E630E0" w:rsidRPr="00F57EA5" w:rsidRDefault="00E630E0" w:rsidP="002601AB">
      <w:pPr>
        <w:shd w:val="clear" w:color="auto" w:fill="8DC182"/>
        <w:tabs>
          <w:tab w:val="left" w:pos="4820"/>
        </w:tabs>
        <w:autoSpaceDE w:val="0"/>
        <w:autoSpaceDN w:val="0"/>
        <w:adjustRightInd w:val="0"/>
        <w:spacing w:line="276" w:lineRule="auto"/>
        <w:ind w:right="11"/>
        <w:jc w:val="both"/>
        <w:rPr>
          <w:rFonts w:cstheme="minorHAnsi"/>
          <w:b/>
          <w:bCs/>
          <w:caps/>
        </w:rPr>
      </w:pPr>
      <w:r w:rsidRPr="00E630E0">
        <w:rPr>
          <w:rFonts w:cstheme="minorHAnsi"/>
          <w:b/>
          <w:bCs/>
          <w:caps/>
        </w:rPr>
        <w:t>Amendment in Policy Condition 1 of Chapter 15 of ITC (HS), 2022, Schedule — I (Import Policy)</w:t>
      </w:r>
    </w:p>
    <w:p w14:paraId="43C98863" w14:textId="77777777" w:rsidR="00E630E0" w:rsidRPr="00E630E0" w:rsidRDefault="001A4A48" w:rsidP="002601AB">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DC3180">
        <w:rPr>
          <w:rFonts w:asciiTheme="minorHAnsi" w:hAnsiTheme="minorHAnsi" w:cstheme="minorHAnsi"/>
          <w:sz w:val="22"/>
          <w:szCs w:val="22"/>
        </w:rPr>
        <w:t>notification</w:t>
      </w:r>
      <w:r w:rsidRPr="00924962">
        <w:rPr>
          <w:rFonts w:asciiTheme="minorHAnsi" w:hAnsiTheme="minorHAnsi" w:cstheme="minorHAnsi"/>
          <w:sz w:val="22"/>
          <w:szCs w:val="22"/>
        </w:rPr>
        <w:t xml:space="preserve"> no. </w:t>
      </w:r>
      <w:r w:rsidR="00E630E0">
        <w:rPr>
          <w:rFonts w:asciiTheme="minorHAnsi" w:hAnsiTheme="minorHAnsi" w:cstheme="minorHAnsi"/>
          <w:sz w:val="22"/>
          <w:szCs w:val="22"/>
        </w:rPr>
        <w:t>40</w:t>
      </w:r>
      <w:r w:rsidRPr="00924962">
        <w:rPr>
          <w:rFonts w:asciiTheme="minorHAnsi" w:hAnsiTheme="minorHAnsi" w:cstheme="minorHAnsi"/>
          <w:sz w:val="22"/>
          <w:szCs w:val="22"/>
        </w:rPr>
        <w:t xml:space="preserve">/2023 dated </w:t>
      </w:r>
      <w:r w:rsidR="00E630E0">
        <w:rPr>
          <w:rFonts w:asciiTheme="minorHAnsi" w:hAnsiTheme="minorHAnsi" w:cstheme="minorHAnsi"/>
          <w:sz w:val="22"/>
          <w:szCs w:val="22"/>
        </w:rPr>
        <w:t>26</w:t>
      </w:r>
      <w:r w:rsidRPr="00924962">
        <w:rPr>
          <w:rFonts w:asciiTheme="minorHAnsi" w:hAnsiTheme="minorHAnsi" w:cstheme="minorHAnsi"/>
          <w:sz w:val="22"/>
          <w:szCs w:val="22"/>
        </w:rPr>
        <w:t>.</w:t>
      </w:r>
      <w:r>
        <w:rPr>
          <w:rFonts w:asciiTheme="minorHAnsi" w:hAnsiTheme="minorHAnsi" w:cstheme="minorHAnsi"/>
          <w:sz w:val="22"/>
          <w:szCs w:val="22"/>
        </w:rPr>
        <w:t>10</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00E630E0" w:rsidRPr="00E630E0">
        <w:rPr>
          <w:rFonts w:asciiTheme="minorHAnsi" w:hAnsiTheme="minorHAnsi" w:cstheme="minorHAnsi"/>
          <w:sz w:val="22"/>
          <w:szCs w:val="22"/>
        </w:rPr>
        <w:t>In exercise of powers conferred by </w:t>
      </w:r>
      <w:hyperlink r:id="rId199" w:history="1">
        <w:r w:rsidR="00E630E0" w:rsidRPr="00E630E0">
          <w:rPr>
            <w:rFonts w:asciiTheme="minorHAnsi" w:hAnsiTheme="minorHAnsi" w:cstheme="minorHAnsi"/>
            <w:sz w:val="22"/>
            <w:szCs w:val="22"/>
          </w:rPr>
          <w:t>Section 3</w:t>
        </w:r>
      </w:hyperlink>
      <w:r w:rsidR="00E630E0" w:rsidRPr="00E630E0">
        <w:rPr>
          <w:rFonts w:asciiTheme="minorHAnsi" w:hAnsiTheme="minorHAnsi" w:cstheme="minorHAnsi"/>
          <w:sz w:val="22"/>
          <w:szCs w:val="22"/>
        </w:rPr>
        <w:t> read with </w:t>
      </w:r>
      <w:hyperlink r:id="rId200" w:history="1">
        <w:r w:rsidR="00E630E0" w:rsidRPr="00E630E0">
          <w:rPr>
            <w:rFonts w:asciiTheme="minorHAnsi" w:hAnsiTheme="minorHAnsi" w:cstheme="minorHAnsi"/>
            <w:sz w:val="22"/>
            <w:szCs w:val="22"/>
          </w:rPr>
          <w:t>Section 5</w:t>
        </w:r>
      </w:hyperlink>
      <w:r w:rsidR="00E630E0" w:rsidRPr="00E630E0">
        <w:rPr>
          <w:rFonts w:asciiTheme="minorHAnsi" w:hAnsiTheme="minorHAnsi" w:cstheme="minorHAnsi"/>
          <w:sz w:val="22"/>
          <w:szCs w:val="22"/>
        </w:rPr>
        <w:t> of </w:t>
      </w:r>
      <w:hyperlink r:id="rId201" w:history="1">
        <w:r w:rsidR="00E630E0" w:rsidRPr="00E630E0">
          <w:rPr>
            <w:rFonts w:asciiTheme="minorHAnsi" w:hAnsiTheme="minorHAnsi" w:cstheme="minorHAnsi"/>
            <w:sz w:val="22"/>
            <w:szCs w:val="22"/>
          </w:rPr>
          <w:t>Foreign Trade (Development &amp; Regulation) Act, 1992 (22 of 1992)</w:t>
        </w:r>
      </w:hyperlink>
      <w:r w:rsidR="00E630E0" w:rsidRPr="00E630E0">
        <w:rPr>
          <w:rFonts w:asciiTheme="minorHAnsi" w:hAnsiTheme="minorHAnsi" w:cstheme="minorHAnsi"/>
          <w:sz w:val="22"/>
          <w:szCs w:val="22"/>
        </w:rPr>
        <w:t>, and read with </w:t>
      </w:r>
      <w:hyperlink r:id="rId202" w:history="1">
        <w:r w:rsidR="00E630E0" w:rsidRPr="00E630E0">
          <w:rPr>
            <w:rFonts w:asciiTheme="minorHAnsi" w:hAnsiTheme="minorHAnsi" w:cstheme="minorHAnsi"/>
            <w:sz w:val="22"/>
            <w:szCs w:val="22"/>
          </w:rPr>
          <w:t>paragraph 1.02</w:t>
        </w:r>
      </w:hyperlink>
      <w:r w:rsidR="00E630E0" w:rsidRPr="00E630E0">
        <w:rPr>
          <w:rFonts w:asciiTheme="minorHAnsi" w:hAnsiTheme="minorHAnsi" w:cstheme="minorHAnsi"/>
          <w:sz w:val="22"/>
          <w:szCs w:val="22"/>
        </w:rPr>
        <w:t> and </w:t>
      </w:r>
      <w:hyperlink r:id="rId203" w:history="1">
        <w:r w:rsidR="00E630E0" w:rsidRPr="00E630E0">
          <w:rPr>
            <w:rFonts w:asciiTheme="minorHAnsi" w:hAnsiTheme="minorHAnsi" w:cstheme="minorHAnsi"/>
            <w:sz w:val="22"/>
            <w:szCs w:val="22"/>
          </w:rPr>
          <w:t>2.01</w:t>
        </w:r>
      </w:hyperlink>
      <w:r w:rsidR="00E630E0" w:rsidRPr="00E630E0">
        <w:rPr>
          <w:rFonts w:asciiTheme="minorHAnsi" w:hAnsiTheme="minorHAnsi" w:cstheme="minorHAnsi"/>
          <w:sz w:val="22"/>
          <w:szCs w:val="22"/>
        </w:rPr>
        <w:t> of the </w:t>
      </w:r>
      <w:hyperlink r:id="rId204" w:history="1">
        <w:r w:rsidR="00E630E0" w:rsidRPr="00E630E0">
          <w:rPr>
            <w:rFonts w:asciiTheme="minorHAnsi" w:hAnsiTheme="minorHAnsi" w:cstheme="minorHAnsi"/>
            <w:sz w:val="22"/>
            <w:szCs w:val="22"/>
          </w:rPr>
          <w:t>Foreign Trade Policy, 2023</w:t>
        </w:r>
      </w:hyperlink>
      <w:r w:rsidR="00E630E0" w:rsidRPr="00E630E0">
        <w:rPr>
          <w:rFonts w:asciiTheme="minorHAnsi" w:hAnsiTheme="minorHAnsi" w:cstheme="minorHAnsi"/>
          <w:sz w:val="22"/>
          <w:szCs w:val="22"/>
        </w:rPr>
        <w:t>, as amended from time to time, the Central Government hereby amends the </w:t>
      </w:r>
      <w:hyperlink r:id="rId205" w:history="1">
        <w:r w:rsidR="00E630E0" w:rsidRPr="00E630E0">
          <w:rPr>
            <w:rFonts w:asciiTheme="minorHAnsi" w:hAnsiTheme="minorHAnsi" w:cstheme="minorHAnsi"/>
            <w:sz w:val="22"/>
            <w:szCs w:val="22"/>
          </w:rPr>
          <w:t>Policy Condition 1 of Chapter 15 of ITC (HS), 2022, Schedule — I (Import Policy)</w:t>
        </w:r>
      </w:hyperlink>
      <w:r w:rsidR="00E630E0" w:rsidRPr="00E630E0">
        <w:rPr>
          <w:rFonts w:asciiTheme="minorHAnsi" w:hAnsiTheme="minorHAnsi" w:cstheme="minorHAnsi"/>
          <w:sz w:val="22"/>
          <w:szCs w:val="22"/>
        </w:rPr>
        <w:t> as under:</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317"/>
        <w:gridCol w:w="1148"/>
      </w:tblGrid>
      <w:tr w:rsidR="00E630E0" w:rsidRPr="00E630E0" w14:paraId="0F71A2BF" w14:textId="77777777" w:rsidTr="00E630E0">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821868" w14:textId="77777777" w:rsidR="00E630E0" w:rsidRPr="00E630E0" w:rsidRDefault="00E630E0" w:rsidP="002601AB">
            <w:pPr>
              <w:pStyle w:val="NormalWeb"/>
              <w:shd w:val="clear" w:color="auto" w:fill="FFFFFF"/>
              <w:spacing w:line="276" w:lineRule="auto"/>
              <w:jc w:val="both"/>
              <w:rPr>
                <w:rFonts w:asciiTheme="minorHAnsi" w:hAnsiTheme="minorHAnsi" w:cstheme="minorHAnsi"/>
                <w:sz w:val="22"/>
                <w:szCs w:val="22"/>
              </w:rPr>
            </w:pPr>
            <w:r w:rsidRPr="00E630E0">
              <w:rPr>
                <w:rFonts w:asciiTheme="minorHAnsi" w:hAnsiTheme="minorHAnsi" w:cstheme="minorHAnsi"/>
                <w:b/>
                <w:bCs/>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EF0A7A" w14:textId="77777777" w:rsidR="00E630E0" w:rsidRPr="00E630E0" w:rsidRDefault="00E630E0" w:rsidP="002601AB">
            <w:pPr>
              <w:pStyle w:val="NormalWeb"/>
              <w:shd w:val="clear" w:color="auto" w:fill="FFFFFF"/>
              <w:spacing w:line="276" w:lineRule="auto"/>
              <w:jc w:val="both"/>
              <w:rPr>
                <w:rFonts w:asciiTheme="minorHAnsi" w:hAnsiTheme="minorHAnsi" w:cstheme="minorHAnsi"/>
                <w:sz w:val="22"/>
                <w:szCs w:val="22"/>
              </w:rPr>
            </w:pPr>
            <w:r w:rsidRPr="00E630E0">
              <w:rPr>
                <w:rFonts w:asciiTheme="minorHAnsi" w:hAnsiTheme="minorHAnsi" w:cstheme="minorHAnsi"/>
                <w:b/>
                <w:bCs/>
                <w:sz w:val="22"/>
                <w:szCs w:val="22"/>
              </w:rPr>
              <w:t>Revised Policy Condition</w:t>
            </w:r>
          </w:p>
        </w:tc>
      </w:tr>
      <w:tr w:rsidR="00E630E0" w:rsidRPr="00E630E0" w14:paraId="5F7D5DF7" w14:textId="77777777" w:rsidTr="00E630E0">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7D2440" w14:textId="77777777" w:rsidR="00E630E0" w:rsidRPr="00E630E0" w:rsidRDefault="00E630E0" w:rsidP="002601AB">
            <w:pPr>
              <w:pStyle w:val="NormalWeb"/>
              <w:shd w:val="clear" w:color="auto" w:fill="FFFFFF"/>
              <w:spacing w:line="276" w:lineRule="auto"/>
              <w:jc w:val="both"/>
              <w:rPr>
                <w:rFonts w:asciiTheme="minorHAnsi" w:hAnsiTheme="minorHAnsi" w:cstheme="minorHAnsi"/>
                <w:sz w:val="22"/>
                <w:szCs w:val="22"/>
              </w:rPr>
            </w:pPr>
            <w:r w:rsidRPr="00E630E0">
              <w:rPr>
                <w:rFonts w:asciiTheme="minorHAnsi" w:hAnsiTheme="minorHAnsi" w:cstheme="minorHAnsi"/>
                <w:sz w:val="22"/>
                <w:szCs w:val="22"/>
              </w:rPr>
              <w:t>All Oils which are included in the Food Safety &amp; Standards Act, 2006 as also all solvent extracted Oils conforming to the standards specified in the </w:t>
            </w:r>
            <w:r w:rsidRPr="00E630E0">
              <w:rPr>
                <w:rFonts w:asciiTheme="minorHAnsi" w:hAnsiTheme="minorHAnsi" w:cstheme="minorHAnsi"/>
                <w:b/>
                <w:bCs/>
                <w:sz w:val="22"/>
                <w:szCs w:val="22"/>
              </w:rPr>
              <w:t xml:space="preserve">Third Schedule of Solvent Extracted Oil, </w:t>
            </w:r>
            <w:proofErr w:type="spellStart"/>
            <w:r w:rsidRPr="00E630E0">
              <w:rPr>
                <w:rFonts w:asciiTheme="minorHAnsi" w:hAnsiTheme="minorHAnsi" w:cstheme="minorHAnsi"/>
                <w:b/>
                <w:bCs/>
                <w:sz w:val="22"/>
                <w:szCs w:val="22"/>
              </w:rPr>
              <w:t>Deoiled</w:t>
            </w:r>
            <w:proofErr w:type="spellEnd"/>
            <w:r w:rsidRPr="00E630E0">
              <w:rPr>
                <w:rFonts w:asciiTheme="minorHAnsi" w:hAnsiTheme="minorHAnsi" w:cstheme="minorHAnsi"/>
                <w:b/>
                <w:bCs/>
                <w:sz w:val="22"/>
                <w:szCs w:val="22"/>
              </w:rPr>
              <w:t xml:space="preserve"> Meal and Edible Flour </w:t>
            </w:r>
            <w:r w:rsidRPr="00E630E0">
              <w:rPr>
                <w:rFonts w:asciiTheme="minorHAnsi" w:hAnsiTheme="minorHAnsi" w:cstheme="minorHAnsi"/>
                <w:b/>
                <w:bCs/>
                <w:sz w:val="22"/>
                <w:szCs w:val="22"/>
              </w:rPr>
              <w:t>Control Order, 1967</w:t>
            </w:r>
            <w:r w:rsidRPr="00E630E0">
              <w:rPr>
                <w:rFonts w:asciiTheme="minorHAnsi" w:hAnsiTheme="minorHAnsi" w:cstheme="minorHAnsi"/>
                <w:sz w:val="22"/>
                <w:szCs w:val="22"/>
              </w:rPr>
              <w:t xml:space="preserve"> (details can be accessed from </w:t>
            </w:r>
            <w:proofErr w:type="spellStart"/>
            <w:proofErr w:type="gramStart"/>
            <w:r w:rsidRPr="00E630E0">
              <w:rPr>
                <w:rFonts w:asciiTheme="minorHAnsi" w:hAnsiTheme="minorHAnsi" w:cstheme="minorHAnsi"/>
                <w:sz w:val="22"/>
                <w:szCs w:val="22"/>
              </w:rPr>
              <w:t>website:http</w:t>
            </w:r>
            <w:proofErr w:type="spellEnd"/>
            <w:r w:rsidRPr="00E630E0">
              <w:rPr>
                <w:rFonts w:asciiTheme="minorHAnsi" w:hAnsiTheme="minorHAnsi" w:cstheme="minorHAnsi"/>
                <w:sz w:val="22"/>
                <w:szCs w:val="22"/>
              </w:rPr>
              <w:t>://fssai.gov.in/Portals/0/Pdf/</w:t>
            </w:r>
            <w:proofErr w:type="spellStart"/>
            <w:r w:rsidRPr="00E630E0">
              <w:rPr>
                <w:rFonts w:asciiTheme="minorHAnsi" w:hAnsiTheme="minorHAnsi" w:cstheme="minorHAnsi"/>
                <w:sz w:val="22"/>
                <w:szCs w:val="22"/>
              </w:rPr>
              <w:t>solvent_Extrac</w:t>
            </w:r>
            <w:proofErr w:type="spellEnd"/>
            <w:proofErr w:type="gramEnd"/>
            <w:r w:rsidRPr="00E630E0">
              <w:rPr>
                <w:rFonts w:asciiTheme="minorHAnsi" w:hAnsiTheme="minorHAnsi" w:cstheme="minorHAnsi"/>
                <w:sz w:val="22"/>
                <w:szCs w:val="22"/>
              </w:rPr>
              <w:t xml:space="preserve"> ted.pdf) except coconut oil, RBD palm oil, RBD palm stearin and palm kernel oil are freely importable. Import of coconut/copra oil is permitted through State Trading Enterprises.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E45AD3" w14:textId="77777777" w:rsidR="00E630E0" w:rsidRPr="00E630E0" w:rsidRDefault="00E630E0" w:rsidP="002601AB">
            <w:pPr>
              <w:pStyle w:val="NormalWeb"/>
              <w:shd w:val="clear" w:color="auto" w:fill="FFFFFF"/>
              <w:spacing w:line="276" w:lineRule="auto"/>
              <w:jc w:val="both"/>
              <w:rPr>
                <w:rFonts w:asciiTheme="minorHAnsi" w:hAnsiTheme="minorHAnsi" w:cstheme="minorHAnsi"/>
                <w:sz w:val="22"/>
                <w:szCs w:val="22"/>
              </w:rPr>
            </w:pPr>
            <w:r w:rsidRPr="00E630E0">
              <w:rPr>
                <w:rFonts w:asciiTheme="minorHAnsi" w:hAnsiTheme="minorHAnsi" w:cstheme="minorHAnsi"/>
                <w:sz w:val="22"/>
                <w:szCs w:val="22"/>
              </w:rPr>
              <w:t>All Vegetable Oils/ Refined Vegetable Oils/ Solvent extracted Oils specified in Food Safety and Standards (</w:t>
            </w:r>
            <w:r w:rsidRPr="00E630E0">
              <w:rPr>
                <w:rFonts w:asciiTheme="minorHAnsi" w:hAnsiTheme="minorHAnsi" w:cstheme="minorHAnsi"/>
                <w:b/>
                <w:bCs/>
                <w:sz w:val="22"/>
                <w:szCs w:val="22"/>
              </w:rPr>
              <w:t>Food Products Standards and Food Additives) Regulation, 2011 (made under the Food Safety &amp; Standards Act, 2006</w:t>
            </w:r>
            <w:r w:rsidRPr="00E630E0">
              <w:rPr>
                <w:rFonts w:asciiTheme="minorHAnsi" w:hAnsiTheme="minorHAnsi" w:cstheme="minorHAnsi"/>
                <w:sz w:val="22"/>
                <w:szCs w:val="22"/>
              </w:rPr>
              <w:t>) and conforming to standards specified in these regulations are freely importable except where otherwise stated. Import of coconut/copra oil is permitted through State Trading Enterprises.</w:t>
            </w:r>
          </w:p>
        </w:tc>
      </w:tr>
    </w:tbl>
    <w:p w14:paraId="678ABCBF" w14:textId="77777777" w:rsidR="00E630E0" w:rsidRPr="00E630E0" w:rsidRDefault="00E630E0" w:rsidP="002601AB">
      <w:pPr>
        <w:pStyle w:val="NormalWeb"/>
        <w:shd w:val="clear" w:color="auto" w:fill="FFFFFF"/>
        <w:spacing w:line="276" w:lineRule="auto"/>
        <w:jc w:val="both"/>
        <w:rPr>
          <w:rFonts w:asciiTheme="minorHAnsi" w:hAnsiTheme="minorHAnsi" w:cstheme="minorHAnsi"/>
          <w:sz w:val="22"/>
          <w:szCs w:val="22"/>
        </w:rPr>
      </w:pPr>
      <w:r w:rsidRPr="00E630E0">
        <w:rPr>
          <w:rFonts w:asciiTheme="minorHAnsi" w:hAnsiTheme="minorHAnsi" w:cstheme="minorHAnsi"/>
          <w:b/>
          <w:bCs/>
          <w:sz w:val="22"/>
          <w:szCs w:val="22"/>
        </w:rPr>
        <w:t>2. Effect of the Notification:</w:t>
      </w:r>
      <w:r w:rsidRPr="00E630E0">
        <w:rPr>
          <w:rFonts w:asciiTheme="minorHAnsi" w:hAnsiTheme="minorHAnsi" w:cstheme="minorHAnsi"/>
          <w:sz w:val="22"/>
          <w:szCs w:val="22"/>
        </w:rPr>
        <w:t> </w:t>
      </w:r>
      <w:hyperlink r:id="rId206" w:history="1">
        <w:r w:rsidRPr="00E630E0">
          <w:rPr>
            <w:rFonts w:asciiTheme="minorHAnsi" w:hAnsiTheme="minorHAnsi" w:cstheme="minorHAnsi"/>
            <w:sz w:val="22"/>
            <w:szCs w:val="22"/>
          </w:rPr>
          <w:t>Policy Condition 1 of Chapter 15 of ITC (HS), 2022</w:t>
        </w:r>
      </w:hyperlink>
      <w:r w:rsidRPr="00E630E0">
        <w:rPr>
          <w:rFonts w:asciiTheme="minorHAnsi" w:hAnsiTheme="minorHAnsi" w:cstheme="minorHAnsi"/>
          <w:sz w:val="22"/>
          <w:szCs w:val="22"/>
        </w:rPr>
        <w:t> is updated in reference to FSSAI Regulations.</w:t>
      </w:r>
    </w:p>
    <w:p w14:paraId="5077DA6E" w14:textId="77777777" w:rsidR="00E630E0" w:rsidRPr="00E630E0" w:rsidRDefault="00E630E0" w:rsidP="002601AB">
      <w:pPr>
        <w:pStyle w:val="NormalWeb"/>
        <w:shd w:val="clear" w:color="auto" w:fill="FFFFFF"/>
        <w:spacing w:line="276" w:lineRule="auto"/>
        <w:jc w:val="both"/>
        <w:rPr>
          <w:rFonts w:asciiTheme="minorHAnsi" w:hAnsiTheme="minorHAnsi" w:cstheme="minorHAnsi"/>
          <w:sz w:val="22"/>
          <w:szCs w:val="22"/>
        </w:rPr>
      </w:pPr>
      <w:r w:rsidRPr="00E630E0">
        <w:rPr>
          <w:rFonts w:asciiTheme="minorHAnsi" w:hAnsiTheme="minorHAnsi" w:cstheme="minorHAnsi"/>
          <w:sz w:val="22"/>
          <w:szCs w:val="22"/>
        </w:rPr>
        <w:lastRenderedPageBreak/>
        <w:t>This issues with the approval of Minister of Commerce &amp; Industry.</w:t>
      </w:r>
    </w:p>
    <w:p w14:paraId="5166480C" w14:textId="21038F25" w:rsidR="00DC3180" w:rsidRDefault="00DC3180" w:rsidP="002601AB">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0C12BE62" w14:textId="135A00C2" w:rsidR="00B93363" w:rsidRPr="00924962" w:rsidRDefault="00DC3180" w:rsidP="002601A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14017AA" w14:textId="210990EE" w:rsidR="002100D1" w:rsidRPr="00F57EA5" w:rsidRDefault="002100D1" w:rsidP="002601AB">
      <w:pPr>
        <w:shd w:val="clear" w:color="auto" w:fill="8DC182"/>
        <w:tabs>
          <w:tab w:val="left" w:pos="4820"/>
        </w:tabs>
        <w:autoSpaceDE w:val="0"/>
        <w:autoSpaceDN w:val="0"/>
        <w:adjustRightInd w:val="0"/>
        <w:spacing w:line="276" w:lineRule="auto"/>
        <w:ind w:right="11"/>
        <w:jc w:val="both"/>
        <w:rPr>
          <w:rFonts w:cstheme="minorHAnsi"/>
          <w:b/>
          <w:bCs/>
          <w:caps/>
        </w:rPr>
      </w:pPr>
      <w:r w:rsidRPr="002100D1">
        <w:rPr>
          <w:rFonts w:cstheme="minorHAnsi"/>
          <w:b/>
          <w:bCs/>
          <w:caps/>
        </w:rPr>
        <w:t>Amendment of Import Policy conditions for item under ITC(HS) Code 0511 99 99 of Chapter 05 of ITC(HS), 2022, Schedule -I (Import Policy)</w:t>
      </w:r>
    </w:p>
    <w:p w14:paraId="5C8910F3" w14:textId="77777777" w:rsidR="002100D1" w:rsidRPr="002100D1" w:rsidRDefault="00B93363" w:rsidP="002601AB">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DC3180">
        <w:rPr>
          <w:rFonts w:asciiTheme="minorHAnsi" w:hAnsiTheme="minorHAnsi" w:cstheme="minorHAnsi"/>
          <w:sz w:val="22"/>
          <w:szCs w:val="22"/>
        </w:rPr>
        <w:t>notification</w:t>
      </w:r>
      <w:r w:rsidRPr="00924962">
        <w:rPr>
          <w:rFonts w:asciiTheme="minorHAnsi" w:hAnsiTheme="minorHAnsi" w:cstheme="minorHAnsi"/>
          <w:sz w:val="22"/>
          <w:szCs w:val="22"/>
        </w:rPr>
        <w:t xml:space="preserve"> no. </w:t>
      </w:r>
      <w:r>
        <w:rPr>
          <w:rFonts w:asciiTheme="minorHAnsi" w:hAnsiTheme="minorHAnsi" w:cstheme="minorHAnsi"/>
          <w:sz w:val="22"/>
          <w:szCs w:val="22"/>
        </w:rPr>
        <w:t>3</w:t>
      </w:r>
      <w:r w:rsidR="002100D1">
        <w:rPr>
          <w:rFonts w:asciiTheme="minorHAnsi" w:hAnsiTheme="minorHAnsi" w:cstheme="minorHAnsi"/>
          <w:sz w:val="22"/>
          <w:szCs w:val="22"/>
        </w:rPr>
        <w:t>9</w:t>
      </w:r>
      <w:r w:rsidRPr="00924962">
        <w:rPr>
          <w:rFonts w:asciiTheme="minorHAnsi" w:hAnsiTheme="minorHAnsi" w:cstheme="minorHAnsi"/>
          <w:sz w:val="22"/>
          <w:szCs w:val="22"/>
        </w:rPr>
        <w:t xml:space="preserve">/2023 dated </w:t>
      </w:r>
      <w:r w:rsidR="002100D1">
        <w:rPr>
          <w:rFonts w:asciiTheme="minorHAnsi" w:hAnsiTheme="minorHAnsi" w:cstheme="minorHAnsi"/>
          <w:sz w:val="22"/>
          <w:szCs w:val="22"/>
        </w:rPr>
        <w:t>23</w:t>
      </w:r>
      <w:r w:rsidRPr="00924962">
        <w:rPr>
          <w:rFonts w:asciiTheme="minorHAnsi" w:hAnsiTheme="minorHAnsi" w:cstheme="minorHAnsi"/>
          <w:sz w:val="22"/>
          <w:szCs w:val="22"/>
        </w:rPr>
        <w:t>.</w:t>
      </w:r>
      <w:r>
        <w:rPr>
          <w:rFonts w:asciiTheme="minorHAnsi" w:hAnsiTheme="minorHAnsi" w:cstheme="minorHAnsi"/>
          <w:sz w:val="22"/>
          <w:szCs w:val="22"/>
        </w:rPr>
        <w:t>10</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002100D1" w:rsidRPr="002100D1">
        <w:rPr>
          <w:rFonts w:asciiTheme="minorHAnsi" w:hAnsiTheme="minorHAnsi" w:cstheme="minorHAnsi"/>
          <w:sz w:val="22"/>
          <w:szCs w:val="22"/>
        </w:rPr>
        <w:t>In exercise of powers conferred by </w:t>
      </w:r>
      <w:hyperlink r:id="rId207" w:history="1">
        <w:r w:rsidR="002100D1" w:rsidRPr="002100D1">
          <w:rPr>
            <w:rFonts w:asciiTheme="minorHAnsi" w:hAnsiTheme="minorHAnsi" w:cstheme="minorHAnsi"/>
            <w:sz w:val="22"/>
            <w:szCs w:val="22"/>
          </w:rPr>
          <w:t>Section 3</w:t>
        </w:r>
      </w:hyperlink>
      <w:r w:rsidR="002100D1" w:rsidRPr="002100D1">
        <w:rPr>
          <w:rFonts w:asciiTheme="minorHAnsi" w:hAnsiTheme="minorHAnsi" w:cstheme="minorHAnsi"/>
          <w:sz w:val="22"/>
          <w:szCs w:val="22"/>
        </w:rPr>
        <w:t> and </w:t>
      </w:r>
      <w:hyperlink r:id="rId208" w:history="1">
        <w:r w:rsidR="002100D1" w:rsidRPr="002100D1">
          <w:rPr>
            <w:rFonts w:asciiTheme="minorHAnsi" w:hAnsiTheme="minorHAnsi" w:cstheme="minorHAnsi"/>
            <w:sz w:val="22"/>
            <w:szCs w:val="22"/>
          </w:rPr>
          <w:t>Section 5</w:t>
        </w:r>
      </w:hyperlink>
      <w:r w:rsidR="002100D1" w:rsidRPr="002100D1">
        <w:rPr>
          <w:rFonts w:asciiTheme="minorHAnsi" w:hAnsiTheme="minorHAnsi" w:cstheme="minorHAnsi"/>
          <w:sz w:val="22"/>
          <w:szCs w:val="22"/>
        </w:rPr>
        <w:t> of </w:t>
      </w:r>
      <w:hyperlink r:id="rId209" w:history="1">
        <w:r w:rsidR="002100D1" w:rsidRPr="002100D1">
          <w:rPr>
            <w:rFonts w:asciiTheme="minorHAnsi" w:hAnsiTheme="minorHAnsi" w:cstheme="minorHAnsi"/>
            <w:sz w:val="22"/>
            <w:szCs w:val="22"/>
          </w:rPr>
          <w:t>Foreign Trade (Development &amp; Regulation) Act, 1992</w:t>
        </w:r>
      </w:hyperlink>
      <w:r w:rsidR="002100D1" w:rsidRPr="002100D1">
        <w:rPr>
          <w:rFonts w:asciiTheme="minorHAnsi" w:hAnsiTheme="minorHAnsi" w:cstheme="minorHAnsi"/>
          <w:sz w:val="22"/>
          <w:szCs w:val="22"/>
        </w:rPr>
        <w:t>, read with </w:t>
      </w:r>
      <w:hyperlink r:id="rId210" w:history="1">
        <w:r w:rsidR="002100D1" w:rsidRPr="002100D1">
          <w:rPr>
            <w:rFonts w:asciiTheme="minorHAnsi" w:hAnsiTheme="minorHAnsi" w:cstheme="minorHAnsi"/>
            <w:sz w:val="22"/>
            <w:szCs w:val="22"/>
          </w:rPr>
          <w:t>paragraph 1.02</w:t>
        </w:r>
      </w:hyperlink>
      <w:r w:rsidR="002100D1" w:rsidRPr="002100D1">
        <w:rPr>
          <w:rFonts w:asciiTheme="minorHAnsi" w:hAnsiTheme="minorHAnsi" w:cstheme="minorHAnsi"/>
          <w:sz w:val="22"/>
          <w:szCs w:val="22"/>
        </w:rPr>
        <w:t> and </w:t>
      </w:r>
      <w:hyperlink r:id="rId211" w:history="1">
        <w:r w:rsidR="002100D1" w:rsidRPr="002100D1">
          <w:rPr>
            <w:rFonts w:asciiTheme="minorHAnsi" w:hAnsiTheme="minorHAnsi" w:cstheme="minorHAnsi"/>
            <w:sz w:val="22"/>
            <w:szCs w:val="22"/>
          </w:rPr>
          <w:t>2.01</w:t>
        </w:r>
      </w:hyperlink>
      <w:r w:rsidR="002100D1" w:rsidRPr="002100D1">
        <w:rPr>
          <w:rFonts w:asciiTheme="minorHAnsi" w:hAnsiTheme="minorHAnsi" w:cstheme="minorHAnsi"/>
          <w:sz w:val="22"/>
          <w:szCs w:val="22"/>
        </w:rPr>
        <w:t> of the </w:t>
      </w:r>
      <w:hyperlink r:id="rId212" w:history="1">
        <w:r w:rsidR="002100D1" w:rsidRPr="002100D1">
          <w:rPr>
            <w:rFonts w:asciiTheme="minorHAnsi" w:hAnsiTheme="minorHAnsi" w:cstheme="minorHAnsi"/>
            <w:sz w:val="22"/>
            <w:szCs w:val="22"/>
          </w:rPr>
          <w:t>Foreign Trade Policy 2023</w:t>
        </w:r>
      </w:hyperlink>
      <w:r w:rsidR="002100D1" w:rsidRPr="002100D1">
        <w:rPr>
          <w:rFonts w:asciiTheme="minorHAnsi" w:hAnsiTheme="minorHAnsi" w:cstheme="minorHAnsi"/>
          <w:sz w:val="22"/>
          <w:szCs w:val="22"/>
        </w:rPr>
        <w:t>, as amended from time to time, the Central Government hereby amends the policy conditions of item under </w:t>
      </w:r>
      <w:hyperlink r:id="rId213" w:history="1">
        <w:r w:rsidR="002100D1" w:rsidRPr="002100D1">
          <w:rPr>
            <w:rFonts w:asciiTheme="minorHAnsi" w:hAnsiTheme="minorHAnsi" w:cstheme="minorHAnsi"/>
            <w:sz w:val="22"/>
            <w:szCs w:val="22"/>
          </w:rPr>
          <w:t>Chapter 05</w:t>
        </w:r>
      </w:hyperlink>
      <w:r w:rsidR="002100D1" w:rsidRPr="002100D1">
        <w:rPr>
          <w:rFonts w:asciiTheme="minorHAnsi" w:hAnsiTheme="minorHAnsi" w:cstheme="minorHAnsi"/>
          <w:sz w:val="22"/>
          <w:szCs w:val="22"/>
        </w:rPr>
        <w:t> of </w:t>
      </w:r>
      <w:hyperlink r:id="rId214" w:history="1">
        <w:r w:rsidR="002100D1" w:rsidRPr="002100D1">
          <w:rPr>
            <w:rFonts w:asciiTheme="minorHAnsi" w:hAnsiTheme="minorHAnsi" w:cstheme="minorHAnsi"/>
            <w:sz w:val="22"/>
            <w:szCs w:val="22"/>
          </w:rPr>
          <w:t>ITC (HS), 2022, Schedule -I (Import Policy)</w:t>
        </w:r>
      </w:hyperlink>
      <w:r w:rsidR="002100D1" w:rsidRPr="002100D1">
        <w:rPr>
          <w:rFonts w:asciiTheme="minorHAnsi" w:hAnsiTheme="minorHAnsi" w:cstheme="minorHAnsi"/>
          <w:sz w:val="22"/>
          <w:szCs w:val="22"/>
        </w:rPr>
        <w:t> as follows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07"/>
        <w:gridCol w:w="1096"/>
        <w:gridCol w:w="683"/>
        <w:gridCol w:w="1546"/>
        <w:gridCol w:w="1633"/>
      </w:tblGrid>
      <w:tr w:rsidR="002100D1" w:rsidRPr="002100D1" w14:paraId="2446C7F8" w14:textId="77777777" w:rsidTr="002100D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5C20C8"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b/>
                <w:bCs/>
                <w:sz w:val="22"/>
                <w:szCs w:val="22"/>
              </w:rPr>
              <w:t>ITC (HS)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625EB8"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b/>
                <w:bCs/>
                <w:sz w:val="22"/>
                <w:szCs w:val="22"/>
              </w:rPr>
              <w:t>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D865F3"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b/>
                <w:bCs/>
                <w:sz w:val="22"/>
                <w:szCs w:val="22"/>
              </w:rPr>
              <w:t>Import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CC0274"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b/>
                <w:bCs/>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86FA8E"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b/>
                <w:bCs/>
                <w:sz w:val="22"/>
                <w:szCs w:val="22"/>
              </w:rPr>
              <w:t>Revised Policy Condition</w:t>
            </w:r>
          </w:p>
        </w:tc>
      </w:tr>
      <w:tr w:rsidR="002100D1" w:rsidRPr="002100D1" w14:paraId="5527044E" w14:textId="77777777" w:rsidTr="002100D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723947"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sz w:val="22"/>
                <w:szCs w:val="22"/>
              </w:rPr>
              <w:t>0511 99 99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0C3DE0"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sz w:val="22"/>
                <w:szCs w:val="22"/>
              </w:rPr>
              <w:t>Other ....</w:t>
            </w:r>
            <w:r w:rsidRPr="002100D1">
              <w:rPr>
                <w:rFonts w:asciiTheme="minorHAnsi" w:hAnsiTheme="minorHAnsi" w:cstheme="minorHAnsi"/>
                <w:sz w:val="22"/>
                <w:szCs w:val="22"/>
              </w:rPr>
              <w:br/>
              <w:t>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AE6F20"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E9F3AC"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sz w:val="22"/>
                <w:szCs w:val="22"/>
              </w:rPr>
              <w:t>Import of Human Embryo is Prohibited in accordance to the ART (Regulation) Act, 2021 and The Surrogacy (Regulation) Act, 2021.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35C72E"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sz w:val="22"/>
                <w:szCs w:val="22"/>
              </w:rPr>
              <w:t>Import of Human Embryo </w:t>
            </w:r>
            <w:r w:rsidRPr="002100D1">
              <w:rPr>
                <w:rFonts w:asciiTheme="minorHAnsi" w:hAnsiTheme="minorHAnsi" w:cstheme="minorHAnsi"/>
                <w:b/>
                <w:bCs/>
                <w:sz w:val="22"/>
                <w:szCs w:val="22"/>
              </w:rPr>
              <w:t>and Human Gametes</w:t>
            </w:r>
            <w:r w:rsidRPr="002100D1">
              <w:rPr>
                <w:rFonts w:asciiTheme="minorHAnsi" w:hAnsiTheme="minorHAnsi" w:cstheme="minorHAnsi"/>
                <w:sz w:val="22"/>
                <w:szCs w:val="22"/>
              </w:rPr>
              <w:t> is Prohibited in accordance with the ART (Regulation) Act, 2021 and The Surrogacy (Regulation) Act, 2021.</w:t>
            </w:r>
          </w:p>
        </w:tc>
      </w:tr>
    </w:tbl>
    <w:p w14:paraId="54DD00F2"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b/>
          <w:bCs/>
          <w:sz w:val="22"/>
          <w:szCs w:val="22"/>
        </w:rPr>
        <w:t>Effect of the Notification</w:t>
      </w:r>
      <w:r w:rsidRPr="002100D1">
        <w:rPr>
          <w:rFonts w:asciiTheme="minorHAnsi" w:hAnsiTheme="minorHAnsi" w:cstheme="minorHAnsi"/>
          <w:sz w:val="22"/>
          <w:szCs w:val="22"/>
        </w:rPr>
        <w:t>: Import of Human Embryo and Human Gametes under </w:t>
      </w:r>
      <w:hyperlink r:id="rId215" w:history="1">
        <w:r w:rsidRPr="002100D1">
          <w:rPr>
            <w:rFonts w:asciiTheme="minorHAnsi" w:hAnsiTheme="minorHAnsi" w:cstheme="minorHAnsi"/>
            <w:sz w:val="22"/>
            <w:szCs w:val="22"/>
          </w:rPr>
          <w:t>ITC(HS) 0511 99 99</w:t>
        </w:r>
      </w:hyperlink>
      <w:r w:rsidRPr="002100D1">
        <w:rPr>
          <w:rFonts w:asciiTheme="minorHAnsi" w:hAnsiTheme="minorHAnsi" w:cstheme="minorHAnsi"/>
          <w:sz w:val="22"/>
          <w:szCs w:val="22"/>
        </w:rPr>
        <w:t> is 'Prohibited' in accordance with the ART (Regulation) Act, 2021 and The Surrogacy (Regulation) Act, 2021.</w:t>
      </w:r>
    </w:p>
    <w:p w14:paraId="3D7A313C" w14:textId="77777777" w:rsidR="002100D1" w:rsidRPr="002100D1" w:rsidRDefault="002100D1" w:rsidP="002601AB">
      <w:pPr>
        <w:pStyle w:val="NormalWeb"/>
        <w:shd w:val="clear" w:color="auto" w:fill="FFFFFF"/>
        <w:spacing w:line="276" w:lineRule="auto"/>
        <w:jc w:val="both"/>
        <w:rPr>
          <w:rFonts w:asciiTheme="minorHAnsi" w:hAnsiTheme="minorHAnsi" w:cstheme="minorHAnsi"/>
          <w:sz w:val="22"/>
          <w:szCs w:val="22"/>
        </w:rPr>
      </w:pPr>
      <w:r w:rsidRPr="002100D1">
        <w:rPr>
          <w:rFonts w:asciiTheme="minorHAnsi" w:hAnsiTheme="minorHAnsi" w:cstheme="minorHAnsi"/>
          <w:sz w:val="22"/>
          <w:szCs w:val="22"/>
        </w:rPr>
        <w:t>This issues with the approval of the Minister of Commerce &amp; Industry.</w:t>
      </w:r>
    </w:p>
    <w:p w14:paraId="4DDE8256" w14:textId="5ECF5AF8" w:rsidR="0060281F" w:rsidRDefault="00DC265D" w:rsidP="002601AB">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DC3180">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7B789E1A" w14:textId="08637646" w:rsidR="00B93363" w:rsidRPr="00865506" w:rsidRDefault="00B93363" w:rsidP="00B93363">
      <w:pPr>
        <w:pStyle w:val="NormalWeb"/>
        <w:shd w:val="clear" w:color="auto" w:fill="FFFFFF"/>
        <w:spacing w:line="276" w:lineRule="auto"/>
        <w:jc w:val="both"/>
        <w:sectPr w:rsidR="00B93363" w:rsidRPr="00865506" w:rsidSect="00E84D5A">
          <w:headerReference w:type="default" r:id="rId216"/>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217"/>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[FCA, LL.M (Constitutional Law), </w:t>
      </w:r>
      <w:proofErr w:type="gramStart"/>
      <w:r w:rsidRPr="009F5CB6">
        <w:rPr>
          <w:rFonts w:ascii="Verdana" w:hAnsi="Verdana" w:cstheme="minorHAnsi"/>
          <w:b/>
          <w:bCs/>
          <w:i/>
          <w:iCs/>
          <w:color w:val="222222"/>
          <w:sz w:val="16"/>
          <w:szCs w:val="16"/>
          <w:bdr w:val="none" w:sz="0" w:space="0" w:color="auto" w:frame="1"/>
        </w:rPr>
        <w:t>LL.B</w:t>
      </w:r>
      <w:proofErr w:type="gramEnd"/>
      <w:r w:rsidRPr="009F5CB6">
        <w:rPr>
          <w:rFonts w:ascii="Verdana" w:hAnsi="Verdana" w:cstheme="minorHAnsi"/>
          <w:b/>
          <w:bCs/>
          <w:i/>
          <w:iCs/>
          <w:color w:val="222222"/>
          <w:sz w:val="16"/>
          <w:szCs w:val="16"/>
          <w:bdr w:val="none" w:sz="0" w:space="0" w:color="auto" w:frame="1"/>
        </w:rPr>
        <w:t>,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 xml:space="preserve">[IRS-Retd.; Ex-Member CBIC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3BC7EBBF" w14:textId="77777777" w:rsidR="00BA6138" w:rsidRPr="00114077" w:rsidRDefault="00BA6138" w:rsidP="00BA613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451348C"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219"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220"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221"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2DDF103" w14:textId="77777777"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4CC79AA3" w14:textId="2C01C53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22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22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22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[M.A.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12488C25" w14:textId="1E6D5F31" w:rsidR="00FC54F5" w:rsidRPr="00114077" w:rsidRDefault="00FC54F5" w:rsidP="00FC54F5">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43511A1" w14:textId="0D60FFDD" w:rsidR="00FC54F5" w:rsidRPr="00114077" w:rsidRDefault="00FC54F5" w:rsidP="00FC54F5">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02F20B15" w14:textId="6C837C86" w:rsidR="00FC54F5" w:rsidRDefault="00FC54F5" w:rsidP="00FC54F5">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1A9FE3F2" w14:textId="1D747063" w:rsidR="00FC54F5" w:rsidRDefault="00FC54F5" w:rsidP="00FC54F5">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02F8810E" w14:textId="6AAE7D72" w:rsidR="00FC54F5" w:rsidRDefault="00FC54F5" w:rsidP="00FC54F5">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227"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27B9ACE" w14:textId="4A0AF7C2" w:rsidR="00FC54F5" w:rsidRDefault="00FC54F5" w:rsidP="00FC54F5">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228"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229"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AEE8477" w14:textId="77777777" w:rsidR="00FC54F5" w:rsidRPr="00E96E60" w:rsidRDefault="00FC54F5" w:rsidP="00FC54F5">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hyperlink r:id="rId23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sz w:val="22"/>
        </w:rPr>
      </w:r>
      <w:r>
        <w:rPr>
          <w:noProof/>
          <w:sz w:val="22"/>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sz w:val="22"/>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231"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232"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roofErr w:type="gramEnd"/>
                  </w:p>
                </w:txbxContent>
              </v:textbox>
            </v:shape>
            <w10:wrap type="topAndBottom" anchorx="page"/>
          </v:group>
        </w:pict>
      </w:r>
      <w:r>
        <w:rPr>
          <w:noProof/>
          <w:sz w:val="22"/>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233"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proofErr w:type="spellStart"/>
                    <w:proofErr w:type="gramStart"/>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roofErr w:type="spellEnd"/>
                    <w:proofErr w:type="gramEnd"/>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sz w:val="22"/>
        </w:rPr>
        <w:pict w14:anchorId="13D295FE">
          <v:group id="Group 15" o:spid="_x0000_s2084" style="position:absolute;margin-left:39836.25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234"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235"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roofErr w:type="gramEnd"/>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sz w:val="22"/>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236"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237"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style="mso-next-textbox:#Text Box 37"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roofErr w:type="gramEnd"/>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sz w:val="22"/>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238"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239"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style="mso-next-textbox:#Text Box 30"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roofErr w:type="spellEnd"/>
                    <w:proofErr w:type="gramEnd"/>
                  </w:p>
                </w:txbxContent>
              </v:textbox>
            </v:shape>
            <w10:wrap type="topAndBottom" anchorx="page"/>
          </v:group>
        </w:pict>
      </w:r>
      <w:r>
        <w:rPr>
          <w:noProof/>
          <w:sz w:val="22"/>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238"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239"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roofErr w:type="gramEnd"/>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240"/>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C5BAD" w14:textId="77777777" w:rsidR="009D7BC0" w:rsidRDefault="009D7BC0" w:rsidP="008A20D1">
      <w:pPr>
        <w:spacing w:after="0" w:line="240" w:lineRule="auto"/>
      </w:pPr>
      <w:r>
        <w:separator/>
      </w:r>
    </w:p>
  </w:endnote>
  <w:endnote w:type="continuationSeparator" w:id="0">
    <w:p w14:paraId="72F5BA09" w14:textId="77777777" w:rsidR="009D7BC0" w:rsidRDefault="009D7BC0"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C0F58">
    <w:pPr>
      <w:pStyle w:val="Footer"/>
      <w:pBdr>
        <w:top w:val="thinThickSmallGap" w:sz="24" w:space="31" w:color="4B4B4B"/>
      </w:pBdr>
    </w:pPr>
    <w:r>
      <w:rPr>
        <w:noProof/>
      </w:rPr>
      <w:pict w14:anchorId="4FC7D97E">
        <v:rect id="Rectangle 457" o:spid="_x0000_s1075" style="position:absolute;margin-left:.35pt;margin-top:10.65pt;width:595.6pt;height:32.5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452D353E"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1032DD">
                  <w:rPr>
                    <w:rFonts w:ascii="Bookman Old Style" w:hAnsi="Bookman Old Style"/>
                    <w:color w:val="14415C"/>
                    <w:sz w:val="18"/>
                    <w:szCs w:val="18"/>
                  </w:rPr>
                  <w:t>6</w:t>
                </w:r>
                <w:r w:rsidR="00A8357F">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48A5578B" w:rsidR="003D63ED" w:rsidRDefault="00E43E32" w:rsidP="003D63ED">
                <w:pPr>
                  <w:spacing w:after="0"/>
                  <w:rPr>
                    <w:rFonts w:ascii="Bookman Old Style" w:hAnsi="Bookman Old Style"/>
                    <w:color w:val="14415C"/>
                    <w:sz w:val="18"/>
                    <w:szCs w:val="18"/>
                  </w:rPr>
                </w:pPr>
                <w:r>
                  <w:rPr>
                    <w:rFonts w:ascii="Bookman Old Style" w:hAnsi="Bookman Old Style"/>
                    <w:color w:val="14415C"/>
                    <w:sz w:val="18"/>
                    <w:szCs w:val="18"/>
                  </w:rPr>
                  <w:t>2</w:t>
                </w:r>
                <w:r w:rsidR="001032DD">
                  <w:rPr>
                    <w:rFonts w:ascii="Bookman Old Style" w:hAnsi="Bookman Old Style"/>
                    <w:color w:val="14415C"/>
                    <w:sz w:val="18"/>
                    <w:szCs w:val="18"/>
                  </w:rPr>
                  <w:t>9</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DC0F3E">
                  <w:rPr>
                    <w:rFonts w:ascii="Bookman Old Style" w:hAnsi="Bookman Old Style"/>
                    <w:color w:val="14415C"/>
                    <w:sz w:val="18"/>
                    <w:szCs w:val="18"/>
                  </w:rPr>
                  <w:t>October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sidR="001032DD">
                  <w:rPr>
                    <w:rFonts w:ascii="Bookman Old Style" w:hAnsi="Bookman Old Style"/>
                    <w:color w:val="14415C"/>
                    <w:sz w:val="18"/>
                    <w:szCs w:val="18"/>
                  </w:rPr>
                  <w:t>04</w:t>
                </w:r>
                <w:r>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1032DD">
                  <w:rPr>
                    <w:rFonts w:ascii="Bookman Old Style" w:hAnsi="Bookman Old Style"/>
                    <w:color w:val="14415C"/>
                    <w:sz w:val="18"/>
                    <w:szCs w:val="18"/>
                  </w:rPr>
                  <w:t>November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12.95pt;margin-top:9.75pt;width:573.6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75B4A930"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1032DD">
                  <w:rPr>
                    <w:rFonts w:ascii="Bookman Old Style" w:hAnsi="Bookman Old Style"/>
                    <w:color w:val="14415C"/>
                    <w:sz w:val="18"/>
                    <w:szCs w:val="18"/>
                  </w:rPr>
                  <w:t>6</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192A87B5" w:rsidR="00C67BAC" w:rsidRDefault="00E43E32" w:rsidP="00EE3189">
                <w:pPr>
                  <w:spacing w:after="0"/>
                  <w:rPr>
                    <w:rFonts w:ascii="Bookman Old Style" w:hAnsi="Bookman Old Style"/>
                    <w:color w:val="14415C"/>
                    <w:sz w:val="18"/>
                    <w:szCs w:val="18"/>
                  </w:rPr>
                </w:pPr>
                <w:r>
                  <w:rPr>
                    <w:rFonts w:ascii="Bookman Old Style" w:hAnsi="Bookman Old Style"/>
                    <w:color w:val="14415C"/>
                    <w:sz w:val="18"/>
                    <w:szCs w:val="18"/>
                  </w:rPr>
                  <w:t>2</w:t>
                </w:r>
                <w:r w:rsidR="001032DD">
                  <w:rPr>
                    <w:rFonts w:ascii="Bookman Old Style" w:hAnsi="Bookman Old Style"/>
                    <w:color w:val="14415C"/>
                    <w:sz w:val="18"/>
                    <w:szCs w:val="18"/>
                  </w:rPr>
                  <w:t>9</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B328D5">
                  <w:rPr>
                    <w:rFonts w:ascii="Bookman Old Style" w:hAnsi="Bookman Old Style"/>
                    <w:color w:val="14415C"/>
                    <w:sz w:val="18"/>
                    <w:szCs w:val="18"/>
                  </w:rPr>
                  <w:t>October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1032DD">
                  <w:rPr>
                    <w:rFonts w:ascii="Bookman Old Style" w:hAnsi="Bookman Old Style"/>
                    <w:color w:val="14415C"/>
                    <w:sz w:val="18"/>
                    <w:szCs w:val="18"/>
                  </w:rPr>
                  <w:t>04</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1032DD">
                  <w:rPr>
                    <w:rFonts w:ascii="Bookman Old Style" w:hAnsi="Bookman Old Style"/>
                    <w:color w:val="14415C"/>
                    <w:sz w:val="18"/>
                    <w:szCs w:val="18"/>
                  </w:rPr>
                  <w:t>November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10.6pt;margin-top:7pt;width:577.5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4E19C1FD" w14:textId="792DC5CF"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1032DD">
                  <w:rPr>
                    <w:rFonts w:ascii="Bookman Old Style" w:hAnsi="Bookman Old Style"/>
                    <w:color w:val="14415C"/>
                    <w:sz w:val="18"/>
                    <w:szCs w:val="18"/>
                  </w:rPr>
                  <w:t>6</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41CC283E" w:rsidR="00A45ABD" w:rsidRDefault="00E43E32" w:rsidP="00A45ABD">
                <w:pPr>
                  <w:spacing w:after="0"/>
                  <w:rPr>
                    <w:rFonts w:ascii="Bookman Old Style" w:hAnsi="Bookman Old Style"/>
                    <w:color w:val="14415C"/>
                    <w:sz w:val="18"/>
                    <w:szCs w:val="18"/>
                  </w:rPr>
                </w:pPr>
                <w:r>
                  <w:rPr>
                    <w:rFonts w:ascii="Bookman Old Style" w:hAnsi="Bookman Old Style"/>
                    <w:color w:val="14415C"/>
                    <w:sz w:val="18"/>
                    <w:szCs w:val="18"/>
                  </w:rPr>
                  <w:t>2</w:t>
                </w:r>
                <w:r w:rsidR="001032DD">
                  <w:rPr>
                    <w:rFonts w:ascii="Bookman Old Style" w:hAnsi="Bookman Old Style"/>
                    <w:color w:val="14415C"/>
                    <w:sz w:val="18"/>
                    <w:szCs w:val="18"/>
                  </w:rPr>
                  <w:t>9</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372932">
                  <w:rPr>
                    <w:rFonts w:ascii="Bookman Old Style" w:hAnsi="Bookman Old Style"/>
                    <w:color w:val="14415C"/>
                    <w:sz w:val="18"/>
                    <w:szCs w:val="18"/>
                  </w:rPr>
                  <w:t>October</w:t>
                </w:r>
                <w:r w:rsidR="00A45ABD">
                  <w:rPr>
                    <w:rFonts w:ascii="Bookman Old Style" w:hAnsi="Bookman Old Style"/>
                    <w:color w:val="14415C"/>
                    <w:sz w:val="18"/>
                    <w:szCs w:val="18"/>
                  </w:rPr>
                  <w:t xml:space="preserve"> 2023- </w:t>
                </w:r>
                <w:r w:rsidR="001032DD">
                  <w:rPr>
                    <w:rFonts w:ascii="Bookman Old Style" w:hAnsi="Bookman Old Style"/>
                    <w:color w:val="14415C"/>
                    <w:sz w:val="18"/>
                    <w:szCs w:val="18"/>
                  </w:rPr>
                  <w:t>04</w:t>
                </w:r>
                <w:r>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1032DD">
                  <w:rPr>
                    <w:rFonts w:ascii="Bookman Old Style" w:hAnsi="Bookman Old Style"/>
                    <w:color w:val="14415C"/>
                    <w:sz w:val="18"/>
                    <w:szCs w:val="18"/>
                  </w:rPr>
                  <w:t>November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A68E5" w14:textId="77777777" w:rsidR="009D7BC0" w:rsidRDefault="009D7BC0" w:rsidP="008A20D1">
      <w:pPr>
        <w:spacing w:after="0" w:line="240" w:lineRule="auto"/>
      </w:pPr>
      <w:r>
        <w:separator/>
      </w:r>
    </w:p>
  </w:footnote>
  <w:footnote w:type="continuationSeparator" w:id="0">
    <w:p w14:paraId="59515F3C" w14:textId="77777777" w:rsidR="009D7BC0" w:rsidRDefault="009D7BC0"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1581391377" name="Picture 158139137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039423878" name="Picture 103942387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rPr>
      <w:drawing>
        <wp:anchor distT="0" distB="0" distL="114300" distR="114300" simplePos="0" relativeHeight="251659776" behindDoc="0" locked="0" layoutInCell="1" allowOverlap="1" wp14:anchorId="1A19E78B" wp14:editId="67C71FD9">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431756993" name="Picture 43175699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rPr>
      <w:drawing>
        <wp:anchor distT="0" distB="0" distL="114300" distR="114300" simplePos="0" relativeHeight="251656704" behindDoc="0" locked="0" layoutInCell="1" allowOverlap="1" wp14:anchorId="5FADA574" wp14:editId="24A58454">
          <wp:simplePos x="0" y="0"/>
          <wp:positionH relativeFrom="column">
            <wp:posOffset>6537325</wp:posOffset>
          </wp:positionH>
          <wp:positionV relativeFrom="paragraph">
            <wp:posOffset>24765</wp:posOffset>
          </wp:positionV>
          <wp:extent cx="695325" cy="266700"/>
          <wp:effectExtent l="0" t="0" r="0" b="0"/>
          <wp:wrapSquare wrapText="bothSides"/>
          <wp:docPr id="1097759224" name="Picture 109775922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847851065" name="Picture 8478510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264220855" name="Picture 26422085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522474187" name="Picture 52247418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1686497456" name="Picture 168649745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75182220" name="Picture 17751822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473109781" name="Picture 47310978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4"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2"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num w:numId="1" w16cid:durableId="1435594757">
    <w:abstractNumId w:val="0"/>
  </w:num>
  <w:num w:numId="2" w16cid:durableId="707879248">
    <w:abstractNumId w:val="18"/>
  </w:num>
  <w:num w:numId="3" w16cid:durableId="1068499830">
    <w:abstractNumId w:val="14"/>
  </w:num>
  <w:num w:numId="4" w16cid:durableId="1974284279">
    <w:abstractNumId w:val="9"/>
  </w:num>
  <w:num w:numId="5" w16cid:durableId="1540321480">
    <w:abstractNumId w:val="30"/>
  </w:num>
  <w:num w:numId="6" w16cid:durableId="1261795867">
    <w:abstractNumId w:val="15"/>
  </w:num>
  <w:num w:numId="7" w16cid:durableId="106971665">
    <w:abstractNumId w:val="8"/>
  </w:num>
  <w:num w:numId="8" w16cid:durableId="282656931">
    <w:abstractNumId w:val="12"/>
  </w:num>
  <w:num w:numId="9" w16cid:durableId="1251739651">
    <w:abstractNumId w:val="20"/>
  </w:num>
  <w:num w:numId="10" w16cid:durableId="1142962299">
    <w:abstractNumId w:val="4"/>
  </w:num>
  <w:num w:numId="11" w16cid:durableId="555438909">
    <w:abstractNumId w:val="26"/>
  </w:num>
  <w:num w:numId="12" w16cid:durableId="631599891">
    <w:abstractNumId w:val="19"/>
  </w:num>
  <w:num w:numId="13" w16cid:durableId="1266574866">
    <w:abstractNumId w:val="16"/>
  </w:num>
  <w:num w:numId="14" w16cid:durableId="1514799164">
    <w:abstractNumId w:val="1"/>
  </w:num>
  <w:num w:numId="15" w16cid:durableId="84424312">
    <w:abstractNumId w:val="22"/>
  </w:num>
  <w:num w:numId="16" w16cid:durableId="1184629551">
    <w:abstractNumId w:val="7"/>
  </w:num>
  <w:num w:numId="17" w16cid:durableId="1260260253">
    <w:abstractNumId w:val="24"/>
  </w:num>
  <w:num w:numId="18" w16cid:durableId="759838175">
    <w:abstractNumId w:val="29"/>
  </w:num>
  <w:num w:numId="19" w16cid:durableId="1543982654">
    <w:abstractNumId w:val="11"/>
  </w:num>
  <w:num w:numId="20" w16cid:durableId="1140920983">
    <w:abstractNumId w:val="23"/>
  </w:num>
  <w:num w:numId="21" w16cid:durableId="837843324">
    <w:abstractNumId w:val="2"/>
  </w:num>
  <w:num w:numId="22" w16cid:durableId="2048867652">
    <w:abstractNumId w:val="13"/>
  </w:num>
  <w:num w:numId="23" w16cid:durableId="1423799532">
    <w:abstractNumId w:val="21"/>
  </w:num>
  <w:num w:numId="24" w16cid:durableId="1999385579">
    <w:abstractNumId w:val="17"/>
  </w:num>
  <w:num w:numId="25" w16cid:durableId="1451825434">
    <w:abstractNumId w:val="6"/>
  </w:num>
  <w:num w:numId="26" w16cid:durableId="1746150747">
    <w:abstractNumId w:val="28"/>
  </w:num>
  <w:num w:numId="27" w16cid:durableId="599142064">
    <w:abstractNumId w:val="10"/>
  </w:num>
  <w:num w:numId="28" w16cid:durableId="928082903">
    <w:abstractNumId w:val="3"/>
  </w:num>
  <w:num w:numId="29" w16cid:durableId="1559972441">
    <w:abstractNumId w:val="31"/>
  </w:num>
  <w:num w:numId="30" w16cid:durableId="274363985">
    <w:abstractNumId w:val="25"/>
  </w:num>
  <w:num w:numId="31" w16cid:durableId="1080255588">
    <w:abstractNumId w:val="27"/>
  </w:num>
  <w:num w:numId="32" w16cid:durableId="168540043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3FA"/>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4E1"/>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34"/>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06"/>
    <w:rsid w:val="00225189"/>
    <w:rsid w:val="002258E7"/>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42"/>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CBB"/>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237"/>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4EC7"/>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73F"/>
    <w:rsid w:val="004007F0"/>
    <w:rsid w:val="00400A06"/>
    <w:rsid w:val="00401078"/>
    <w:rsid w:val="004012B7"/>
    <w:rsid w:val="004013C0"/>
    <w:rsid w:val="004013DA"/>
    <w:rsid w:val="00401A17"/>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E12"/>
    <w:rsid w:val="00461F76"/>
    <w:rsid w:val="00462060"/>
    <w:rsid w:val="0046206E"/>
    <w:rsid w:val="0046209D"/>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D47"/>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1C3"/>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B3"/>
    <w:rsid w:val="00736F38"/>
    <w:rsid w:val="0073704B"/>
    <w:rsid w:val="007370E0"/>
    <w:rsid w:val="007372DC"/>
    <w:rsid w:val="0073764A"/>
    <w:rsid w:val="007377FD"/>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F67"/>
    <w:rsid w:val="008F322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744"/>
    <w:rsid w:val="00985757"/>
    <w:rsid w:val="00985AD4"/>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896"/>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B6"/>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6E3"/>
    <w:rsid w:val="00C2773B"/>
    <w:rsid w:val="00C2793C"/>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A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9EB"/>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00"/>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C60"/>
    <w:rsid w:val="00D31DA6"/>
    <w:rsid w:val="00D32138"/>
    <w:rsid w:val="00D321BD"/>
    <w:rsid w:val="00D323E3"/>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219"/>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4E6"/>
    <w:rsid w:val="00E01518"/>
    <w:rsid w:val="00E01AAB"/>
    <w:rsid w:val="00E02018"/>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21AA"/>
    <w:rsid w:val="00EB21EF"/>
    <w:rsid w:val="00EB25A9"/>
    <w:rsid w:val="00EB26CB"/>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968"/>
    <w:rsid w:val="00F57AFB"/>
    <w:rsid w:val="00F57B39"/>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2FFA"/>
    <w:rsid w:val="00F7315D"/>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77"/>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axmanagementindia.com/visitor/acts_rules_provisions.asp?ID=737" TargetMode="External"/><Relationship Id="rId21" Type="http://schemas.openxmlformats.org/officeDocument/2006/relationships/header" Target="header3.xml"/><Relationship Id="rId42" Type="http://schemas.openxmlformats.org/officeDocument/2006/relationships/hyperlink" Target="https://www.taxmanagementindia.com/visitor/detail_act.asp?ID=3588" TargetMode="External"/><Relationship Id="rId63" Type="http://schemas.openxmlformats.org/officeDocument/2006/relationships/hyperlink" Target="https://www.taxmanagementindia.com/visitor/detail_forms.asp?ID=1824" TargetMode="External"/><Relationship Id="rId84" Type="http://schemas.openxmlformats.org/officeDocument/2006/relationships/hyperlink" Target="https://www.taxmanagementindia.com/visitor/detail_act.asp?ID=23941" TargetMode="External"/><Relationship Id="rId138" Type="http://schemas.openxmlformats.org/officeDocument/2006/relationships/hyperlink" Target="https://www.taxmanagementindia.com/visitor/acts_rules_provisions.asp?ID=737" TargetMode="External"/><Relationship Id="rId159" Type="http://schemas.openxmlformats.org/officeDocument/2006/relationships/hyperlink" Target="https://www.taxmanagementindia.com/visitor/detail_act.asp?ID=28348" TargetMode="External"/><Relationship Id="rId170" Type="http://schemas.openxmlformats.org/officeDocument/2006/relationships/hyperlink" Target="https://www.taxmanagementindia.com/visitor/detail_act.asp?ID=28348" TargetMode="External"/><Relationship Id="rId191" Type="http://schemas.openxmlformats.org/officeDocument/2006/relationships/header" Target="header11.xml"/><Relationship Id="rId205" Type="http://schemas.openxmlformats.org/officeDocument/2006/relationships/hyperlink" Target="https://www.taxmanagementindia.com/visitor/details_tariff_duty_ITC_HSN.asp?Tariff_Index_ID=415" TargetMode="External"/><Relationship Id="rId226" Type="http://schemas.openxmlformats.org/officeDocument/2006/relationships/image" Target="media/image13.jpeg"/><Relationship Id="rId107" Type="http://schemas.openxmlformats.org/officeDocument/2006/relationships/hyperlink" Target="https://www.taxmanagementindia.com/visitor/acts_rules_provisions.asp?ID=737"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3285" TargetMode="External"/><Relationship Id="rId53" Type="http://schemas.openxmlformats.org/officeDocument/2006/relationships/hyperlink" Target="https://www.taxmanagementindia.com/visitor/detail_forms.asp?ID=1824" TargetMode="External"/><Relationship Id="rId74" Type="http://schemas.openxmlformats.org/officeDocument/2006/relationships/hyperlink" Target="https://www.taxmanagementindia.com/visitor/acts_rules_provisions.asp?ID=790" TargetMode="External"/><Relationship Id="rId128" Type="http://schemas.openxmlformats.org/officeDocument/2006/relationships/hyperlink" Target="https://www.taxmanagementindia.com/visitor/detail_act.asp?ID=24134" TargetMode="External"/><Relationship Id="rId149" Type="http://schemas.openxmlformats.org/officeDocument/2006/relationships/hyperlink" Target="https://www.taxmanagementindia.com/visitor/detail_act.asp?ID=24049" TargetMode="External"/><Relationship Id="rId5" Type="http://schemas.openxmlformats.org/officeDocument/2006/relationships/webSettings" Target="webSettings.xml"/><Relationship Id="rId95" Type="http://schemas.openxmlformats.org/officeDocument/2006/relationships/hyperlink" Target="https://www.taxmanagementindia.com/visitor/detail_act.asp?ID=24123" TargetMode="External"/><Relationship Id="rId160" Type="http://schemas.openxmlformats.org/officeDocument/2006/relationships/hyperlink" Target="https://www.taxmanagementindia.com/visitor/acts_rules_provisions.asp?ID=790" TargetMode="External"/><Relationship Id="rId181" Type="http://schemas.openxmlformats.org/officeDocument/2006/relationships/header" Target="header10.xml"/><Relationship Id="rId216" Type="http://schemas.openxmlformats.org/officeDocument/2006/relationships/header" Target="header12.xml"/><Relationship Id="rId237" Type="http://schemas.openxmlformats.org/officeDocument/2006/relationships/image" Target="media/image20.png"/><Relationship Id="rId22" Type="http://schemas.openxmlformats.org/officeDocument/2006/relationships/image" Target="media/image10.emf"/><Relationship Id="rId43" Type="http://schemas.openxmlformats.org/officeDocument/2006/relationships/hyperlink" Target="https://www.taxmanagementindia.com/visitor/detail_act.asp?ID=3983" TargetMode="External"/><Relationship Id="rId64" Type="http://schemas.openxmlformats.org/officeDocument/2006/relationships/header" Target="header7.xml"/><Relationship Id="rId118" Type="http://schemas.openxmlformats.org/officeDocument/2006/relationships/hyperlink" Target="https://www.taxmanagementindia.com/visitor/detail_act.asp?ID=24134" TargetMode="External"/><Relationship Id="rId139" Type="http://schemas.openxmlformats.org/officeDocument/2006/relationships/hyperlink" Target="https://www.taxmanagementindia.com/visitor/detail_act.asp?ID=24133" TargetMode="External"/><Relationship Id="rId85" Type="http://schemas.openxmlformats.org/officeDocument/2006/relationships/hyperlink" Target="https://www.taxmanagementindia.com/visitor/detail_act.asp?ID=24041" TargetMode="External"/><Relationship Id="rId150" Type="http://schemas.openxmlformats.org/officeDocument/2006/relationships/hyperlink" Target="https://www.taxmanagementindia.com/visitor/acts_rules_provisions.asp?ID=736" TargetMode="External"/><Relationship Id="rId171" Type="http://schemas.openxmlformats.org/officeDocument/2006/relationships/hyperlink" Target="https://www.taxmanagementindia.com/visitor/acts_rules_provisions.asp?ID=790" TargetMode="External"/><Relationship Id="rId192" Type="http://schemas.openxmlformats.org/officeDocument/2006/relationships/hyperlink" Target="https://www.taxmanagementindia.com/visitor/detail_act.asp?ID=2447" TargetMode="External"/><Relationship Id="rId206" Type="http://schemas.openxmlformats.org/officeDocument/2006/relationships/hyperlink" Target="https://www.taxmanagementindia.com/visitor/details_tariff_duty_ITC_HSN.asp?Tariff_Index_ID=415" TargetMode="External"/><Relationship Id="rId227" Type="http://schemas.openxmlformats.org/officeDocument/2006/relationships/hyperlink" Target="mailto:info@taxconnect.co.in" TargetMode="External"/><Relationship Id="rId12" Type="http://schemas.openxmlformats.org/officeDocument/2006/relationships/image" Target="media/image5.png"/><Relationship Id="rId33" Type="http://schemas.openxmlformats.org/officeDocument/2006/relationships/hyperlink" Target="https://www.taxmanagementindia.com/visitor/acts_rules_provisions.asp?ID=222" TargetMode="External"/><Relationship Id="rId108" Type="http://schemas.openxmlformats.org/officeDocument/2006/relationships/hyperlink" Target="https://www.taxmanagementindia.com/visitor/detail_act.asp?ID=24049" TargetMode="External"/><Relationship Id="rId129" Type="http://schemas.openxmlformats.org/officeDocument/2006/relationships/hyperlink" Target="https://www.taxmanagementindia.com/visitor/detail_act.asp?ID=24134" TargetMode="External"/><Relationship Id="rId54" Type="http://schemas.openxmlformats.org/officeDocument/2006/relationships/hyperlink" Target="https://www.taxmanagementindia.com/visitor/detail_forms.asp?ID=1824" TargetMode="External"/><Relationship Id="rId75" Type="http://schemas.openxmlformats.org/officeDocument/2006/relationships/hyperlink" Target="https://www.taxmanagementindia.com/visitor/detail_forms.asp?ID=1163" TargetMode="External"/><Relationship Id="rId96" Type="http://schemas.openxmlformats.org/officeDocument/2006/relationships/hyperlink" Target="https://www.taxmanagementindia.com/visitor/acts_rules_provisions.asp?ID=737" TargetMode="External"/><Relationship Id="rId140" Type="http://schemas.openxmlformats.org/officeDocument/2006/relationships/hyperlink" Target="https://www.taxmanagementindia.com/visitor/acts_rules_provisions.asp?ID=737" TargetMode="External"/><Relationship Id="rId161" Type="http://schemas.openxmlformats.org/officeDocument/2006/relationships/hyperlink" Target="https://www.taxmanagementindia.com/visitor/detail_act.asp?ID=24066" TargetMode="External"/><Relationship Id="rId182" Type="http://schemas.openxmlformats.org/officeDocument/2006/relationships/hyperlink" Target="https://www.taxmanagementindia.com/visitor/detail_act.asp?ID=971" TargetMode="External"/><Relationship Id="rId217" Type="http://schemas.openxmlformats.org/officeDocument/2006/relationships/header" Target="header13.xml"/><Relationship Id="rId6" Type="http://schemas.openxmlformats.org/officeDocument/2006/relationships/footnotes" Target="footnotes.xml"/><Relationship Id="rId238" Type="http://schemas.openxmlformats.org/officeDocument/2006/relationships/image" Target="media/image21.png"/><Relationship Id="rId23" Type="http://schemas.openxmlformats.org/officeDocument/2006/relationships/header" Target="header4.xml"/><Relationship Id="rId119" Type="http://schemas.openxmlformats.org/officeDocument/2006/relationships/hyperlink" Target="https://www.taxmanagementindia.com/visitor/acts_rules_provisions.asp?ID=737" TargetMode="External"/><Relationship Id="rId44" Type="http://schemas.openxmlformats.org/officeDocument/2006/relationships/hyperlink" Target="https://www.taxmanagementindia.com/visitor/acts_rules_provisions.asp?ID=222" TargetMode="External"/><Relationship Id="rId65" Type="http://schemas.openxmlformats.org/officeDocument/2006/relationships/hyperlink" Target="https://www.taxmanagementindia.com/visitor/detail_act.asp?ID=24041" TargetMode="External"/><Relationship Id="rId86" Type="http://schemas.openxmlformats.org/officeDocument/2006/relationships/hyperlink" Target="https://www.taxmanagementindia.com/visitor/acts_rules_provisions.asp?ID=736" TargetMode="External"/><Relationship Id="rId130" Type="http://schemas.openxmlformats.org/officeDocument/2006/relationships/hyperlink" Target="https://www.taxmanagementindia.com/visitor/acts_rules_provisions.asp?ID=737" TargetMode="External"/><Relationship Id="rId151" Type="http://schemas.openxmlformats.org/officeDocument/2006/relationships/hyperlink" Target="https://www.taxmanagementindia.com/visitor/detail_act.asp?ID=23912" TargetMode="External"/><Relationship Id="rId172" Type="http://schemas.openxmlformats.org/officeDocument/2006/relationships/hyperlink" Target="https://www.taxmanagementindia.com/visitor/detail_act.asp?ID=28348" TargetMode="External"/><Relationship Id="rId193" Type="http://schemas.openxmlformats.org/officeDocument/2006/relationships/hyperlink" Target="https://www.taxmanagementindia.com/visitor/detail_act.asp?ID=2449" TargetMode="External"/><Relationship Id="rId207" Type="http://schemas.openxmlformats.org/officeDocument/2006/relationships/hyperlink" Target="https://www.taxmanagementindia.com/visitor/detail_act.asp?ID=2447" TargetMode="External"/><Relationship Id="rId228" Type="http://schemas.openxmlformats.org/officeDocument/2006/relationships/hyperlink" Target="mailto:bookcorporation@gmail.com" TargetMode="External"/><Relationship Id="rId13" Type="http://schemas.openxmlformats.org/officeDocument/2006/relationships/image" Target="media/image6.emf"/><Relationship Id="rId109" Type="http://schemas.openxmlformats.org/officeDocument/2006/relationships/hyperlink" Target="https://www.taxmanagementindia.com/visitor/acts_rules_provisions.asp?ID=736" TargetMode="External"/><Relationship Id="rId34" Type="http://schemas.openxmlformats.org/officeDocument/2006/relationships/hyperlink" Target="https://www.taxmanagementindia.com/visitor/detail_act.asp?ID=3158" TargetMode="External"/><Relationship Id="rId55" Type="http://schemas.openxmlformats.org/officeDocument/2006/relationships/hyperlink" Target="https://www.taxmanagementindia.com/visitor/detail_act.asp?ID=37870" TargetMode="External"/><Relationship Id="rId76" Type="http://schemas.openxmlformats.org/officeDocument/2006/relationships/hyperlink" Target="https://www.taxmanagementindia.com/visitor/acts_rules_provisions.asp?ID=790" TargetMode="External"/><Relationship Id="rId97" Type="http://schemas.openxmlformats.org/officeDocument/2006/relationships/hyperlink" Target="https://www.taxmanagementindia.com/visitor/detail_circular.asp?ID=65732" TargetMode="External"/><Relationship Id="rId120" Type="http://schemas.openxmlformats.org/officeDocument/2006/relationships/hyperlink" Target="https://www.taxmanagementindia.com/visitor/detail_act.asp?ID=24134" TargetMode="External"/><Relationship Id="rId141" Type="http://schemas.openxmlformats.org/officeDocument/2006/relationships/hyperlink" Target="https://www.taxmanagementindia.com/visitor/detail_act.asp?ID=24133" TargetMode="External"/><Relationship Id="rId7" Type="http://schemas.openxmlformats.org/officeDocument/2006/relationships/endnotes" Target="endnotes.xml"/><Relationship Id="rId162" Type="http://schemas.openxmlformats.org/officeDocument/2006/relationships/hyperlink" Target="https://www.taxmanagementindia.com/visitor/acts_rules_provisions.asp?ID=736" TargetMode="External"/><Relationship Id="rId183" Type="http://schemas.openxmlformats.org/officeDocument/2006/relationships/hyperlink" Target="https://www.taxmanagementindia.com/visitor/acts_rules_provisions.asp?ID=34" TargetMode="External"/><Relationship Id="rId218" Type="http://schemas.openxmlformats.org/officeDocument/2006/relationships/image" Target="media/image11.jpeg"/><Relationship Id="rId239" Type="http://schemas.openxmlformats.org/officeDocument/2006/relationships/image" Target="media/image22.png"/><Relationship Id="rId24" Type="http://schemas.openxmlformats.org/officeDocument/2006/relationships/header" Target="header5.xml"/><Relationship Id="rId45" Type="http://schemas.openxmlformats.org/officeDocument/2006/relationships/hyperlink" Target="https://www.taxmanagementindia.com/visitor/acts_rules_provisions.asp?ID=222" TargetMode="External"/><Relationship Id="rId66" Type="http://schemas.openxmlformats.org/officeDocument/2006/relationships/hyperlink" Target="https://www.taxmanagementindia.com/visitor/acts_rules_provisions.asp?ID=736" TargetMode="External"/><Relationship Id="rId87" Type="http://schemas.openxmlformats.org/officeDocument/2006/relationships/hyperlink" Target="https://www.taxmanagementindia.com/visitor/detail_act.asp?ID=24123" TargetMode="External"/><Relationship Id="rId110" Type="http://schemas.openxmlformats.org/officeDocument/2006/relationships/hyperlink" Target="https://www.taxmanagementindia.com/visitor/detail_act.asp?ID=24134" TargetMode="External"/><Relationship Id="rId131" Type="http://schemas.openxmlformats.org/officeDocument/2006/relationships/hyperlink" Target="https://www.taxmanagementindia.com/visitor/detail_act.asp?ID=24133" TargetMode="External"/><Relationship Id="rId152" Type="http://schemas.openxmlformats.org/officeDocument/2006/relationships/hyperlink" Target="https://www.taxmanagementindia.com/visitor/acts_rules_provisions.asp?ID=736" TargetMode="External"/><Relationship Id="rId173" Type="http://schemas.openxmlformats.org/officeDocument/2006/relationships/hyperlink" Target="https://www.taxmanagementindia.com/visitor/acts_rules_provisions.asp?ID=790" TargetMode="External"/><Relationship Id="rId194" Type="http://schemas.openxmlformats.org/officeDocument/2006/relationships/hyperlink" Target="https://www.taxmanagementindia.com/visitor/acts_rules_provisions.asp?ID=122" TargetMode="External"/><Relationship Id="rId208" Type="http://schemas.openxmlformats.org/officeDocument/2006/relationships/hyperlink" Target="https://www.taxmanagementindia.com/visitor/detail_act.asp?ID=2449" TargetMode="External"/><Relationship Id="rId229" Type="http://schemas.openxmlformats.org/officeDocument/2006/relationships/hyperlink" Target="http://www.taxconnect.co.in/" TargetMode="External"/><Relationship Id="rId240" Type="http://schemas.openxmlformats.org/officeDocument/2006/relationships/header" Target="header14.xml"/><Relationship Id="rId14" Type="http://schemas.openxmlformats.org/officeDocument/2006/relationships/image" Target="media/image7.png"/><Relationship Id="rId35" Type="http://schemas.openxmlformats.org/officeDocument/2006/relationships/hyperlink" Target="https://www.taxmanagementindia.com/visitor/detail_act.asp?ID=3157" TargetMode="External"/><Relationship Id="rId56" Type="http://schemas.openxmlformats.org/officeDocument/2006/relationships/hyperlink" Target="https://www.taxmanagementindia.com/visitor/detail_act.asp?ID=37870" TargetMode="External"/><Relationship Id="rId77" Type="http://schemas.openxmlformats.org/officeDocument/2006/relationships/hyperlink" Target="https://www.taxmanagementindia.com/visitor/detail_forms.asp?ID=1170" TargetMode="External"/><Relationship Id="rId100" Type="http://schemas.openxmlformats.org/officeDocument/2006/relationships/hyperlink" Target="https://www.taxmanagementindia.com/visitor/detail_act.asp?ID=24123" TargetMode="External"/><Relationship Id="rId8" Type="http://schemas.openxmlformats.org/officeDocument/2006/relationships/image" Target="media/image1.jpeg"/><Relationship Id="rId98" Type="http://schemas.openxmlformats.org/officeDocument/2006/relationships/hyperlink" Target="https://www.taxmanagementindia.com/visitor/detail_act.asp?ID=41556" TargetMode="External"/><Relationship Id="rId121" Type="http://schemas.openxmlformats.org/officeDocument/2006/relationships/hyperlink" Target="https://www.taxmanagementindia.com/visitor/acts_rules_provisions.asp?ID=737" TargetMode="External"/><Relationship Id="rId142" Type="http://schemas.openxmlformats.org/officeDocument/2006/relationships/hyperlink" Target="https://www.taxmanagementindia.com/visitor/acts_rules_provisions.asp?ID=737" TargetMode="External"/><Relationship Id="rId163" Type="http://schemas.openxmlformats.org/officeDocument/2006/relationships/hyperlink" Target="https://www.taxmanagementindia.com/visitor/detail_act.asp?ID=24066" TargetMode="External"/><Relationship Id="rId184" Type="http://schemas.openxmlformats.org/officeDocument/2006/relationships/hyperlink" Target="https://www.taxmanagementindia.com/visitor/detail_notification.asp?ID=1823" TargetMode="External"/><Relationship Id="rId219" Type="http://schemas.openxmlformats.org/officeDocument/2006/relationships/hyperlink" Target="mailto:info@taxconnect.co.in" TargetMode="External"/><Relationship Id="rId230" Type="http://schemas.openxmlformats.org/officeDocument/2006/relationships/hyperlink" Target="http://www.bookcorporation.com/" TargetMode="External"/><Relationship Id="rId25" Type="http://schemas.openxmlformats.org/officeDocument/2006/relationships/header" Target="header6.xml"/><Relationship Id="rId46" Type="http://schemas.openxmlformats.org/officeDocument/2006/relationships/hyperlink" Target="https://www.taxmanagementindia.com/visitor/detail_circular.asp?ID=65452" TargetMode="External"/><Relationship Id="rId67" Type="http://schemas.openxmlformats.org/officeDocument/2006/relationships/hyperlink" Target="https://www.taxmanagementindia.com/visitor/acts_rules_provisions.asp?ID=790" TargetMode="External"/><Relationship Id="rId88" Type="http://schemas.openxmlformats.org/officeDocument/2006/relationships/hyperlink" Target="https://www.taxmanagementindia.com/visitor/acts_rules_provisions.asp?ID=737" TargetMode="External"/><Relationship Id="rId111" Type="http://schemas.openxmlformats.org/officeDocument/2006/relationships/hyperlink" Target="https://www.taxmanagementindia.com/visitor/acts_rules_provisions.asp?ID=737" TargetMode="External"/><Relationship Id="rId132" Type="http://schemas.openxmlformats.org/officeDocument/2006/relationships/hyperlink" Target="https://www.taxmanagementindia.com/visitor/acts_rules_provisions.asp?ID=737" TargetMode="External"/><Relationship Id="rId153" Type="http://schemas.openxmlformats.org/officeDocument/2006/relationships/hyperlink" Target="https://www.taxmanagementindia.com/visitor/detail_act.asp?ID=23904" TargetMode="External"/><Relationship Id="rId174" Type="http://schemas.openxmlformats.org/officeDocument/2006/relationships/hyperlink" Target="https://www.taxmanagementindia.com/visitor/detail_act.asp?ID=28348" TargetMode="External"/><Relationship Id="rId195" Type="http://schemas.openxmlformats.org/officeDocument/2006/relationships/hyperlink" Target="https://www.taxmanagementindia.com/visitor/detail_act.asp?ID=41555" TargetMode="External"/><Relationship Id="rId209" Type="http://schemas.openxmlformats.org/officeDocument/2006/relationships/hyperlink" Target="https://www.taxmanagementindia.com/visitor/acts_rules_provisions.asp?ID=122" TargetMode="External"/><Relationship Id="rId220" Type="http://schemas.openxmlformats.org/officeDocument/2006/relationships/hyperlink" Target="mailto:bookcorporation@gmail.com" TargetMode="External"/><Relationship Id="rId241" Type="http://schemas.openxmlformats.org/officeDocument/2006/relationships/fontTable" Target="fontTable.xml"/><Relationship Id="rId15" Type="http://schemas.openxmlformats.org/officeDocument/2006/relationships/header" Target="header1.xml"/><Relationship Id="rId36" Type="http://schemas.openxmlformats.org/officeDocument/2006/relationships/hyperlink" Target="https://www.taxmanagementindia.com/visitor/acts_rules_provisions.asp?ID=222" TargetMode="External"/><Relationship Id="rId57" Type="http://schemas.openxmlformats.org/officeDocument/2006/relationships/hyperlink" Target="https://www.taxmanagementindia.com/visitor/detail_act.asp?ID=3983" TargetMode="External"/><Relationship Id="rId106" Type="http://schemas.openxmlformats.org/officeDocument/2006/relationships/hyperlink" Target="https://www.taxmanagementindia.com/visitor/detail_act.asp?ID=24123" TargetMode="External"/><Relationship Id="rId127" Type="http://schemas.openxmlformats.org/officeDocument/2006/relationships/hyperlink" Target="https://www.taxmanagementindia.com/visitor/acts_rules_provisions.asp?ID=737" TargetMode="External"/><Relationship Id="rId10" Type="http://schemas.openxmlformats.org/officeDocument/2006/relationships/image" Target="media/image3.jpeg"/><Relationship Id="rId31" Type="http://schemas.openxmlformats.org/officeDocument/2006/relationships/hyperlink" Target="https://www.taxmanagementindia.com/visitor/acts_rules_provisions.asp?ID=222" TargetMode="External"/><Relationship Id="rId52" Type="http://schemas.openxmlformats.org/officeDocument/2006/relationships/hyperlink" Target="https://www.taxmanagementindia.com/visitor/detail_forms.asp?ID=1824" TargetMode="External"/><Relationship Id="rId73" Type="http://schemas.openxmlformats.org/officeDocument/2006/relationships/hyperlink" Target="https://www.taxmanagementindia.com/visitor/detail_act.asp?ID=29812" TargetMode="External"/><Relationship Id="rId78" Type="http://schemas.openxmlformats.org/officeDocument/2006/relationships/hyperlink" Target="https://www.taxmanagementindia.com/visitor/acts_rules_provisions.asp?ID=790" TargetMode="External"/><Relationship Id="rId94" Type="http://schemas.openxmlformats.org/officeDocument/2006/relationships/hyperlink" Target="https://www.taxmanagementindia.com/visitor/acts_rules_provisions.asp?ID=737" TargetMode="External"/><Relationship Id="rId99" Type="http://schemas.openxmlformats.org/officeDocument/2006/relationships/hyperlink" Target="https://www.taxmanagementindia.com/visitor/acts_rules_provisions.asp?ID=1110" TargetMode="External"/><Relationship Id="rId101" Type="http://schemas.openxmlformats.org/officeDocument/2006/relationships/hyperlink" Target="https://www.taxmanagementindia.com/visitor/acts_rules_provisions.asp?ID=737" TargetMode="External"/><Relationship Id="rId122" Type="http://schemas.openxmlformats.org/officeDocument/2006/relationships/hyperlink" Target="https://www.taxmanagementindia.com/visitor/detail_act.asp?ID=41534" TargetMode="External"/><Relationship Id="rId143" Type="http://schemas.openxmlformats.org/officeDocument/2006/relationships/hyperlink" Target="https://www.taxmanagementindia.com/visitor/detail_act.asp?ID=24133" TargetMode="External"/><Relationship Id="rId148" Type="http://schemas.openxmlformats.org/officeDocument/2006/relationships/hyperlink" Target="https://www.taxmanagementindia.com/visitor/acts_rules_provisions.asp?ID=737" TargetMode="External"/><Relationship Id="rId164" Type="http://schemas.openxmlformats.org/officeDocument/2006/relationships/hyperlink" Target="https://www.taxmanagementindia.com/visitor/acts_rules_provisions.asp?ID=736" TargetMode="External"/><Relationship Id="rId169" Type="http://schemas.openxmlformats.org/officeDocument/2006/relationships/hyperlink" Target="https://www.taxmanagementindia.com/visitor/detail_notification.asp?ID=141030" TargetMode="External"/><Relationship Id="rId185" Type="http://schemas.openxmlformats.org/officeDocument/2006/relationships/hyperlink" Target="https://www.taxmanagementindia.com/visitor/detail_notification.asp?ID=120414"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footer" Target="footer3.xml"/><Relationship Id="rId210" Type="http://schemas.openxmlformats.org/officeDocument/2006/relationships/hyperlink" Target="https://www.taxmanagementindia.com/visitor/detail_act.asp?ID=41555" TargetMode="External"/><Relationship Id="rId215" Type="http://schemas.openxmlformats.org/officeDocument/2006/relationships/hyperlink" Target="https://www.taxmanagementindia.com/visitor/details_tariff_duty_ITC_HSN.asp?Tariff_Index_ID=405" TargetMode="External"/><Relationship Id="rId236" Type="http://schemas.openxmlformats.org/officeDocument/2006/relationships/image" Target="media/image19.png"/><Relationship Id="rId26" Type="http://schemas.openxmlformats.org/officeDocument/2006/relationships/hyperlink" Target="https://www.taxmanagementindia.com/visitor/detail_act.asp?ID=8618" TargetMode="External"/><Relationship Id="rId231" Type="http://schemas.openxmlformats.org/officeDocument/2006/relationships/image" Target="media/image14.png"/><Relationship Id="rId47" Type="http://schemas.openxmlformats.org/officeDocument/2006/relationships/hyperlink" Target="https://www.taxmanagementindia.com/visitor/detail_forms.asp?ID=1824" TargetMode="External"/><Relationship Id="rId68" Type="http://schemas.openxmlformats.org/officeDocument/2006/relationships/hyperlink" Target="https://www.taxmanagementindia.com/visitor/acts_rules_provisions.asp?ID=790" TargetMode="External"/><Relationship Id="rId89" Type="http://schemas.openxmlformats.org/officeDocument/2006/relationships/hyperlink" Target="https://www.taxmanagementindia.com/visitor/detail_act.asp?ID=24049" TargetMode="External"/><Relationship Id="rId112" Type="http://schemas.openxmlformats.org/officeDocument/2006/relationships/hyperlink" Target="https://www.taxmanagementindia.com/visitor/detail_act.asp?ID=41534" TargetMode="External"/><Relationship Id="rId133" Type="http://schemas.openxmlformats.org/officeDocument/2006/relationships/hyperlink" Target="https://www.taxmanagementindia.com/visitor/detail_act.asp?ID=24133" TargetMode="External"/><Relationship Id="rId154" Type="http://schemas.openxmlformats.org/officeDocument/2006/relationships/hyperlink" Target="https://www.taxmanagementindia.com/visitor/acts_rules_provisions.asp?ID=736" TargetMode="External"/><Relationship Id="rId175" Type="http://schemas.openxmlformats.org/officeDocument/2006/relationships/header" Target="header8.xml"/><Relationship Id="rId196" Type="http://schemas.openxmlformats.org/officeDocument/2006/relationships/hyperlink" Target="https://www.taxmanagementindia.com/visitor/detail_act.asp?ID=41556" TargetMode="External"/><Relationship Id="rId200" Type="http://schemas.openxmlformats.org/officeDocument/2006/relationships/hyperlink" Target="https://www.taxmanagementindia.com/visitor/detail_act.asp?ID=2449" TargetMode="External"/><Relationship Id="rId16" Type="http://schemas.openxmlformats.org/officeDocument/2006/relationships/footer" Target="footer1.xml"/><Relationship Id="rId221" Type="http://schemas.openxmlformats.org/officeDocument/2006/relationships/hyperlink" Target="http://www.taxconnect.co.in/" TargetMode="External"/><Relationship Id="rId242" Type="http://schemas.openxmlformats.org/officeDocument/2006/relationships/theme" Target="theme/theme1.xml"/><Relationship Id="rId37" Type="http://schemas.openxmlformats.org/officeDocument/2006/relationships/hyperlink" Target="https://www.taxmanagementindia.com/visitor/detail_forms.asp?ID=819" TargetMode="External"/><Relationship Id="rId58" Type="http://schemas.openxmlformats.org/officeDocument/2006/relationships/hyperlink" Target="https://www.taxmanagementindia.com/visitor/detail_forms.asp?ID=1824" TargetMode="External"/><Relationship Id="rId79" Type="http://schemas.openxmlformats.org/officeDocument/2006/relationships/hyperlink" Target="https://www.taxmanagementindia.com/visitor/detail_forms.asp?ID=1213" TargetMode="External"/><Relationship Id="rId102" Type="http://schemas.openxmlformats.org/officeDocument/2006/relationships/hyperlink" Target="https://www.taxmanagementindia.com/visitor/detail_act.asp?ID=20777" TargetMode="External"/><Relationship Id="rId123" Type="http://schemas.openxmlformats.org/officeDocument/2006/relationships/hyperlink" Target="https://www.taxmanagementindia.com/visitor/acts_rules_provisions.asp?ID=1109" TargetMode="External"/><Relationship Id="rId144" Type="http://schemas.openxmlformats.org/officeDocument/2006/relationships/hyperlink" Target="https://www.taxmanagementindia.com/visitor/acts_rules_provisions.asp?ID=737" TargetMode="External"/><Relationship Id="rId90" Type="http://schemas.openxmlformats.org/officeDocument/2006/relationships/hyperlink" Target="https://www.taxmanagementindia.com/visitor/acts_rules_provisions.asp?ID=736" TargetMode="External"/><Relationship Id="rId165" Type="http://schemas.openxmlformats.org/officeDocument/2006/relationships/hyperlink" Target="https://www.taxmanagementindia.com/visitor/detail_act.asp?ID=28348" TargetMode="External"/><Relationship Id="rId186" Type="http://schemas.openxmlformats.org/officeDocument/2006/relationships/hyperlink" Target="https://www.taxmanagementindia.com/visitor/detail_notification.asp?ID=120414" TargetMode="External"/><Relationship Id="rId211" Type="http://schemas.openxmlformats.org/officeDocument/2006/relationships/hyperlink" Target="https://www.taxmanagementindia.com/visitor/detail_act.asp?ID=41556" TargetMode="External"/><Relationship Id="rId232" Type="http://schemas.openxmlformats.org/officeDocument/2006/relationships/image" Target="media/image15.png"/><Relationship Id="rId27" Type="http://schemas.openxmlformats.org/officeDocument/2006/relationships/hyperlink" Target="https://www.taxmanagementindia.com/visitor/acts_rules_provisions.asp?ID=222" TargetMode="External"/><Relationship Id="rId48" Type="http://schemas.openxmlformats.org/officeDocument/2006/relationships/hyperlink" Target="https://www.taxmanagementindia.com/visitor/detail_forms.asp?ID=1824" TargetMode="External"/><Relationship Id="rId69" Type="http://schemas.openxmlformats.org/officeDocument/2006/relationships/hyperlink" Target="https://www.taxmanagementindia.com/visitor/detail_act.asp?ID=28348" TargetMode="External"/><Relationship Id="rId113" Type="http://schemas.openxmlformats.org/officeDocument/2006/relationships/hyperlink" Target="https://www.taxmanagementindia.com/visitor/acts_rules_provisions.asp?ID=1109" TargetMode="External"/><Relationship Id="rId134" Type="http://schemas.openxmlformats.org/officeDocument/2006/relationships/hyperlink" Target="https://www.taxmanagementindia.com/visitor/acts_rules_provisions.asp?ID=737" TargetMode="External"/><Relationship Id="rId80" Type="http://schemas.openxmlformats.org/officeDocument/2006/relationships/hyperlink" Target="https://www.taxmanagementindia.com/visitor/acts_rules_provisions.asp?ID=790" TargetMode="External"/><Relationship Id="rId155" Type="http://schemas.openxmlformats.org/officeDocument/2006/relationships/hyperlink" Target="https://www.taxmanagementindia.com/visitor/detail_act.asp?ID=24066" TargetMode="External"/><Relationship Id="rId176" Type="http://schemas.openxmlformats.org/officeDocument/2006/relationships/hyperlink" Target="https://www.taxmanagementindia.com/visitor/Detail_Case_Laws.asp?ID=435819" TargetMode="External"/><Relationship Id="rId197" Type="http://schemas.openxmlformats.org/officeDocument/2006/relationships/hyperlink" Target="https://www.taxmanagementindia.com/visitor/acts_rules_provisions.asp?ID=1110" TargetMode="External"/><Relationship Id="rId201" Type="http://schemas.openxmlformats.org/officeDocument/2006/relationships/hyperlink" Target="https://www.taxmanagementindia.com/visitor/acts_rules_provisions.asp?ID=122" TargetMode="External"/><Relationship Id="rId222" Type="http://schemas.openxmlformats.org/officeDocument/2006/relationships/image" Target="media/image12.jpeg"/><Relationship Id="rId17" Type="http://schemas.openxmlformats.org/officeDocument/2006/relationships/header" Target="header2.xml"/><Relationship Id="rId38" Type="http://schemas.openxmlformats.org/officeDocument/2006/relationships/hyperlink" Target="https://www.taxmanagementindia.com/visitor/detail_act.asp?ID=3983" TargetMode="External"/><Relationship Id="rId59" Type="http://schemas.openxmlformats.org/officeDocument/2006/relationships/hyperlink" Target="https://www.taxmanagementindia.com/visitor/detail_act.asp?ID=38589" TargetMode="External"/><Relationship Id="rId103" Type="http://schemas.openxmlformats.org/officeDocument/2006/relationships/hyperlink" Target="https://www.taxmanagementindia.com/visitor/acts_rules_provisions.asp?ID=669" TargetMode="External"/><Relationship Id="rId124" Type="http://schemas.openxmlformats.org/officeDocument/2006/relationships/hyperlink" Target="https://www.taxmanagementindia.com/visitor/detail_act.asp?ID=24134" TargetMode="External"/><Relationship Id="rId70" Type="http://schemas.openxmlformats.org/officeDocument/2006/relationships/hyperlink" Target="https://www.taxmanagementindia.com/visitor/acts_rules_provisions.asp?ID=790" TargetMode="External"/><Relationship Id="rId91" Type="http://schemas.openxmlformats.org/officeDocument/2006/relationships/hyperlink" Target="https://www.taxmanagementindia.com/visitor/detail_act.asp?ID=24123" TargetMode="External"/><Relationship Id="rId145" Type="http://schemas.openxmlformats.org/officeDocument/2006/relationships/hyperlink" Target="https://www.taxmanagementindia.com/visitor/detail_act.asp?ID=24133" TargetMode="External"/><Relationship Id="rId166" Type="http://schemas.openxmlformats.org/officeDocument/2006/relationships/hyperlink" Target="https://www.taxmanagementindia.com/visitor/acts_rules_provisions.asp?ID=790" TargetMode="External"/><Relationship Id="rId187" Type="http://schemas.openxmlformats.org/officeDocument/2006/relationships/hyperlink" Target="https://www.taxmanagementindia.com/visitor/acts_rules_provisions.asp?ID=35" TargetMode="External"/><Relationship Id="rId1" Type="http://schemas.openxmlformats.org/officeDocument/2006/relationships/customXml" Target="../customXml/item1.xml"/><Relationship Id="rId212" Type="http://schemas.openxmlformats.org/officeDocument/2006/relationships/hyperlink" Target="https://www.taxmanagementindia.com/visitor/acts_rules_provisions.asp?ID=1110" TargetMode="External"/><Relationship Id="rId233" Type="http://schemas.openxmlformats.org/officeDocument/2006/relationships/image" Target="media/image16.png"/><Relationship Id="rId28" Type="http://schemas.openxmlformats.org/officeDocument/2006/relationships/hyperlink" Target="https://www.taxmanagementindia.com/visitor/detail_act.asp?ID=3285" TargetMode="External"/><Relationship Id="rId49" Type="http://schemas.openxmlformats.org/officeDocument/2006/relationships/hyperlink" Target="https://www.taxmanagementindia.com/visitor/detail_act.asp?ID=38589" TargetMode="External"/><Relationship Id="rId114" Type="http://schemas.openxmlformats.org/officeDocument/2006/relationships/hyperlink" Target="https://www.taxmanagementindia.com/visitor/detail_act.asp?ID=24134" TargetMode="External"/><Relationship Id="rId60" Type="http://schemas.openxmlformats.org/officeDocument/2006/relationships/hyperlink" Target="https://www.taxmanagementindia.com/visitor/detail_act.asp?ID=3285" TargetMode="External"/><Relationship Id="rId81" Type="http://schemas.openxmlformats.org/officeDocument/2006/relationships/hyperlink" Target="https://www.taxmanagementindia.com/visitor/detail_forms.asp?ID=1215" TargetMode="External"/><Relationship Id="rId135" Type="http://schemas.openxmlformats.org/officeDocument/2006/relationships/hyperlink" Target="https://www.taxmanagementindia.com/visitor/detail_act.asp?ID=24133" TargetMode="External"/><Relationship Id="rId156" Type="http://schemas.openxmlformats.org/officeDocument/2006/relationships/hyperlink" Target="https://www.taxmanagementindia.com/visitor/acts_rules_provisions.asp?ID=736" TargetMode="External"/><Relationship Id="rId177" Type="http://schemas.openxmlformats.org/officeDocument/2006/relationships/hyperlink" Target="https://www.taxmanagementindia.com/visitor/Detail_Case_Laws.asp?ID=252455" TargetMode="External"/><Relationship Id="rId198" Type="http://schemas.openxmlformats.org/officeDocument/2006/relationships/hyperlink" Target="https://www.taxmanagementindia.com/visitor/detail_notification.asp?ID=140052" TargetMode="External"/><Relationship Id="rId202" Type="http://schemas.openxmlformats.org/officeDocument/2006/relationships/hyperlink" Target="https://www.taxmanagementindia.com/visitor/detail_act.asp?ID=41555" TargetMode="External"/><Relationship Id="rId223" Type="http://schemas.openxmlformats.org/officeDocument/2006/relationships/hyperlink" Target="mailto:info@taxconnect.co.in" TargetMode="External"/><Relationship Id="rId18" Type="http://schemas.openxmlformats.org/officeDocument/2006/relationships/footer" Target="footer2.xml"/><Relationship Id="rId39" Type="http://schemas.openxmlformats.org/officeDocument/2006/relationships/hyperlink" Target="https://www.taxmanagementindia.com/visitor/acts_rules_provisions.asp?ID=222" TargetMode="External"/><Relationship Id="rId50" Type="http://schemas.openxmlformats.org/officeDocument/2006/relationships/hyperlink" Target="https://www.taxmanagementindia.com/visitor/detail_act.asp?ID=38589" TargetMode="External"/><Relationship Id="rId104" Type="http://schemas.openxmlformats.org/officeDocument/2006/relationships/hyperlink" Target="https://www.taxmanagementindia.com/visitor/detail_circular.asp?ID=65732" TargetMode="External"/><Relationship Id="rId125" Type="http://schemas.openxmlformats.org/officeDocument/2006/relationships/hyperlink" Target="https://www.taxmanagementindia.com/visitor/acts_rules_provisions.asp?ID=737" TargetMode="External"/><Relationship Id="rId146" Type="http://schemas.openxmlformats.org/officeDocument/2006/relationships/hyperlink" Target="https://www.taxmanagementindia.com/visitor/acts_rules_provisions.asp?ID=737" TargetMode="External"/><Relationship Id="rId167" Type="http://schemas.openxmlformats.org/officeDocument/2006/relationships/hyperlink" Target="https://www.taxmanagementindia.com/visitor/detail_act.asp?ID=28348" TargetMode="External"/><Relationship Id="rId188" Type="http://schemas.openxmlformats.org/officeDocument/2006/relationships/hyperlink" Target="https://www.taxmanagementindia.com/visitor/acts_rules_provisions.asp?ID=66" TargetMode="External"/><Relationship Id="rId71" Type="http://schemas.openxmlformats.org/officeDocument/2006/relationships/hyperlink" Target="https://www.taxmanagementindia.com/visitor/detail_act.asp?ID=29795" TargetMode="External"/><Relationship Id="rId92" Type="http://schemas.openxmlformats.org/officeDocument/2006/relationships/hyperlink" Target="https://www.taxmanagementindia.com/visitor/acts_rules_provisions.asp?ID=737" TargetMode="External"/><Relationship Id="rId213" Type="http://schemas.openxmlformats.org/officeDocument/2006/relationships/hyperlink" Target="https://www.taxmanagementindia.com/visitor/details_tariff_duty_ITC_HSN.asp?Tariff_Index_ID=405" TargetMode="External"/><Relationship Id="rId234" Type="http://schemas.openxmlformats.org/officeDocument/2006/relationships/image" Target="media/image17.png"/><Relationship Id="rId2" Type="http://schemas.openxmlformats.org/officeDocument/2006/relationships/numbering" Target="numbering.xml"/><Relationship Id="rId29" Type="http://schemas.openxmlformats.org/officeDocument/2006/relationships/hyperlink" Target="https://www.taxmanagementindia.com/visitor/acts_rules_provisions.asp?ID=222" TargetMode="External"/><Relationship Id="rId40" Type="http://schemas.openxmlformats.org/officeDocument/2006/relationships/hyperlink" Target="https://www.taxmanagementindia.com/visitor/detail_act.asp?ID=3158" TargetMode="External"/><Relationship Id="rId115" Type="http://schemas.openxmlformats.org/officeDocument/2006/relationships/hyperlink" Target="https://www.taxmanagementindia.com/visitor/acts_rules_provisions.asp?ID=737" TargetMode="External"/><Relationship Id="rId136" Type="http://schemas.openxmlformats.org/officeDocument/2006/relationships/hyperlink" Target="https://www.taxmanagementindia.com/visitor/acts_rules_provisions.asp?ID=737" TargetMode="External"/><Relationship Id="rId157" Type="http://schemas.openxmlformats.org/officeDocument/2006/relationships/hyperlink" Target="https://www.taxmanagementindia.com/visitor/detail_act.asp?ID=28348" TargetMode="External"/><Relationship Id="rId178" Type="http://schemas.openxmlformats.org/officeDocument/2006/relationships/hyperlink" Target="https://www.taxmanagementindia.com/visitor/Detail_Case_Laws.asp?ID=358310" TargetMode="External"/><Relationship Id="rId61" Type="http://schemas.openxmlformats.org/officeDocument/2006/relationships/hyperlink" Target="https://www.taxmanagementindia.com/visitor/detail_act.asp?ID=37870" TargetMode="External"/><Relationship Id="rId82" Type="http://schemas.openxmlformats.org/officeDocument/2006/relationships/hyperlink" Target="https://www.taxmanagementindia.com/visitor/acts_rules_provisions.asp?ID=790" TargetMode="External"/><Relationship Id="rId199" Type="http://schemas.openxmlformats.org/officeDocument/2006/relationships/hyperlink" Target="https://www.taxmanagementindia.com/visitor/detail_act.asp?ID=2447" TargetMode="External"/><Relationship Id="rId203" Type="http://schemas.openxmlformats.org/officeDocument/2006/relationships/hyperlink" Target="https://www.taxmanagementindia.com/visitor/detail_act.asp?ID=41556" TargetMode="External"/><Relationship Id="rId19" Type="http://schemas.openxmlformats.org/officeDocument/2006/relationships/hyperlink" Target="http://www.taxconnect.co.in" TargetMode="External"/><Relationship Id="rId224" Type="http://schemas.openxmlformats.org/officeDocument/2006/relationships/hyperlink" Target="mailto:bookcorporation@gmail.com" TargetMode="External"/><Relationship Id="rId30" Type="http://schemas.openxmlformats.org/officeDocument/2006/relationships/hyperlink" Target="https://www.taxmanagementindia.com/visitor/detail_act.asp?ID=8618" TargetMode="External"/><Relationship Id="rId105" Type="http://schemas.openxmlformats.org/officeDocument/2006/relationships/hyperlink" Target="https://www.taxmanagementindia.com/visitor/acts_rules_provisions.asp?ID=1110" TargetMode="External"/><Relationship Id="rId126" Type="http://schemas.openxmlformats.org/officeDocument/2006/relationships/hyperlink" Target="https://www.taxmanagementindia.com/visitor/detail_act.asp?ID=24134" TargetMode="External"/><Relationship Id="rId147" Type="http://schemas.openxmlformats.org/officeDocument/2006/relationships/hyperlink" Target="https://www.taxmanagementindia.com/visitor/detail_act.asp?ID=24133" TargetMode="External"/><Relationship Id="rId168" Type="http://schemas.openxmlformats.org/officeDocument/2006/relationships/hyperlink" Target="https://www.taxmanagementindia.com/visitor/acts_rules_provisions.asp?ID=790" TargetMode="External"/><Relationship Id="rId51" Type="http://schemas.openxmlformats.org/officeDocument/2006/relationships/hyperlink" Target="https://www.taxmanagementindia.com/visitor/acts_rules_provisions.asp?ID=223" TargetMode="External"/><Relationship Id="rId72" Type="http://schemas.openxmlformats.org/officeDocument/2006/relationships/hyperlink" Target="https://www.taxmanagementindia.com/visitor/acts_rules_provisions.asp?ID=790" TargetMode="External"/><Relationship Id="rId93" Type="http://schemas.openxmlformats.org/officeDocument/2006/relationships/hyperlink" Target="https://www.taxmanagementindia.com/visitor/detail_act.asp?ID=24123" TargetMode="External"/><Relationship Id="rId189" Type="http://schemas.openxmlformats.org/officeDocument/2006/relationships/hyperlink" Target="https://www.taxmanagementindia.com/visitor/detail_notification.asp?ID=139621" TargetMode="External"/><Relationship Id="rId3" Type="http://schemas.openxmlformats.org/officeDocument/2006/relationships/styles" Target="styles.xml"/><Relationship Id="rId214" Type="http://schemas.openxmlformats.org/officeDocument/2006/relationships/hyperlink" Target="https://www.taxmanagementindia.com/visitor/tariff_classification_duty_ITC_HSN.asp?ID=33" TargetMode="External"/><Relationship Id="rId235" Type="http://schemas.openxmlformats.org/officeDocument/2006/relationships/image" Target="media/image18.png"/><Relationship Id="rId116" Type="http://schemas.openxmlformats.org/officeDocument/2006/relationships/hyperlink" Target="https://www.taxmanagementindia.com/visitor/detail_act.asp?ID=24134" TargetMode="External"/><Relationship Id="rId137" Type="http://schemas.openxmlformats.org/officeDocument/2006/relationships/hyperlink" Target="https://www.taxmanagementindia.com/visitor/detail_act.asp?ID=24133" TargetMode="External"/><Relationship Id="rId158" Type="http://schemas.openxmlformats.org/officeDocument/2006/relationships/hyperlink" Target="https://www.taxmanagementindia.com/visitor/acts_rules_provisions.asp?ID=790"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3157" TargetMode="External"/><Relationship Id="rId62" Type="http://schemas.openxmlformats.org/officeDocument/2006/relationships/hyperlink" Target="https://www.taxmanagementindia.com/visitor/detail_forms.asp?ID=916" TargetMode="External"/><Relationship Id="rId83" Type="http://schemas.openxmlformats.org/officeDocument/2006/relationships/hyperlink" Target="https://www.taxmanagementindia.com/visitor/detail_forms.asp?ID=1297" TargetMode="External"/><Relationship Id="rId179" Type="http://schemas.openxmlformats.org/officeDocument/2006/relationships/header" Target="header9.xml"/><Relationship Id="rId190" Type="http://schemas.openxmlformats.org/officeDocument/2006/relationships/hyperlink" Target="https://www.taxmanagementindia.com/visitor/detail_notification.asp?ID=139621" TargetMode="External"/><Relationship Id="rId204" Type="http://schemas.openxmlformats.org/officeDocument/2006/relationships/hyperlink" Target="https://www.taxmanagementindia.com/visitor/acts_rules_provisions.asp?ID=1110" TargetMode="External"/><Relationship Id="rId225" Type="http://schemas.openxmlformats.org/officeDocument/2006/relationships/hyperlink" Target="http://www.taxconnect.co.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19294</TotalTime>
  <Pages>25</Pages>
  <Words>12561</Words>
  <Characters>71602</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2255</cp:revision>
  <cp:lastPrinted>2023-07-15T11:12:00Z</cp:lastPrinted>
  <dcterms:created xsi:type="dcterms:W3CDTF">2022-06-24T07:42:00Z</dcterms:created>
  <dcterms:modified xsi:type="dcterms:W3CDTF">2023-10-28T06:48:00Z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