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 w:after="1"/>
        <w:rPr>
          <w:rFonts w:ascii="Times New Roman"/>
          <w:sz w:val="17"/>
        </w:rPr>
      </w:pPr>
      <w:r>
        <w:rPr/>
        <w:pict>
          <v:rect style="position:absolute;margin-left:0pt;margin-top:-.000061pt;width:540pt;height:939.479881pt;mso-position-horizontal-relative:page;mso-position-vertical-relative:page;z-index:-16061440" filled="true" fillcolor="#fdfcf8" stroked="false">
            <v:fill type="solid"/>
            <w10:wrap type="none"/>
          </v:rect>
        </w:pict>
      </w:r>
      <w:r>
        <w:rPr/>
        <w:pict>
          <v:rect style="position:absolute;margin-left:0pt;margin-top:959.879822pt;width:540pt;height:.120119pt;mso-position-horizontal-relative:page;mso-position-vertical-relative:page;z-index:15729664" filled="true" fillcolor="#fdfcf8" stroked="false">
            <v:fill type="solid"/>
            <w10:wrap type="none"/>
          </v:rect>
        </w:pict>
      </w:r>
    </w:p>
    <w:p>
      <w:pPr>
        <w:pStyle w:val="BodyText"/>
        <w:ind w:left="23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311.6pt;height:20.3pt;mso-position-horizontal-relative:char;mso-position-vertical-relative:line" coordorigin="0,0" coordsize="6232,406">
            <v:rect style="position:absolute;left:0;top:0;width:6232;height:406" filled="true" fillcolor="#36394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6232;height:406" type="#_x0000_t202" filled="false" stroked="false">
              <v:textbox inset="0,0,0,0">
                <w:txbxContent>
                  <w:p>
                    <w:pPr>
                      <w:spacing w:before="11"/>
                      <w:ind w:left="18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bookmarkStart w:name="Slide 1: In this Update:" w:id="1"/>
                    <w:bookmarkEnd w:id="1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pacing w:val="18"/>
                        <w:sz w:val="32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55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5"/>
                        <w:sz w:val="32"/>
                      </w:rPr>
                      <w:t>2023</w:t>
                    </w:r>
                    <w:r>
                      <w:rPr>
                        <w:rFonts w:ascii="Arial"/>
                        <w:b/>
                        <w:color w:val="EBCF6A"/>
                        <w:spacing w:val="33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|</w:t>
                    </w:r>
                    <w:r>
                      <w:rPr>
                        <w:rFonts w:ascii="Arial"/>
                        <w:b/>
                        <w:color w:val="EBCF6A"/>
                        <w:spacing w:val="-8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44</w:t>
                    </w:r>
                    <w:r>
                      <w:rPr>
                        <w:rFonts w:ascii="Arial"/>
                        <w:b/>
                        <w:color w:val="EBCF6A"/>
                        <w:position w:val="10"/>
                        <w:sz w:val="21"/>
                      </w:rPr>
                      <w:t>th  </w:t>
                    </w:r>
                    <w:r>
                      <w:rPr>
                        <w:rFonts w:ascii="Arial"/>
                        <w:b/>
                        <w:color w:val="EBCF6A"/>
                        <w:spacing w:val="57"/>
                        <w:position w:val="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32"/>
                      </w:rPr>
                      <w:t>EDITION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before="32"/>
        <w:ind w:left="255" w:right="0" w:firstLine="0"/>
        <w:jc w:val="left"/>
        <w:rPr>
          <w:rFonts w:ascii="Calibri"/>
          <w:b/>
          <w:sz w:val="36"/>
        </w:rPr>
      </w:pPr>
      <w:r>
        <w:rPr/>
        <w:pict>
          <v:group style="position:absolute;margin-left:424.079987pt;margin-top:-32.571327pt;width:89.3pt;height:157pt;mso-position-horizontal-relative:page;mso-position-vertical-relative:paragraph;z-index:15730176" coordorigin="8482,-651" coordsize="1786,3140">
            <v:rect style="position:absolute;left:9129;top:-652;width:860;height:3140" filled="true" fillcolor="#ebcf6a" stroked="false">
              <v:fill type="solid"/>
            </v:rect>
            <v:shape style="position:absolute;left:8481;top:-328;width:1786;height:1798" type="#_x0000_t75" stroked="false">
              <v:imagedata r:id="rId5" o:title=""/>
            </v:shape>
            <w10:wrap type="none"/>
          </v:group>
        </w:pict>
      </w:r>
      <w:r>
        <w:rPr>
          <w:rFonts w:ascii="Calibri"/>
          <w:b/>
          <w:color w:val="394558"/>
          <w:sz w:val="36"/>
        </w:rPr>
        <w:t>In</w:t>
      </w:r>
      <w:r>
        <w:rPr>
          <w:rFonts w:ascii="Calibri"/>
          <w:b/>
          <w:color w:val="394558"/>
          <w:spacing w:val="-1"/>
          <w:sz w:val="36"/>
        </w:rPr>
        <w:t> </w:t>
      </w:r>
      <w:r>
        <w:rPr>
          <w:rFonts w:ascii="Calibri"/>
          <w:b/>
          <w:color w:val="394558"/>
          <w:sz w:val="36"/>
        </w:rPr>
        <w:t>this</w:t>
      </w:r>
      <w:r>
        <w:rPr>
          <w:rFonts w:ascii="Calibri"/>
          <w:b/>
          <w:color w:val="394558"/>
          <w:spacing w:val="-2"/>
          <w:sz w:val="36"/>
        </w:rPr>
        <w:t> </w:t>
      </w:r>
      <w:r>
        <w:rPr>
          <w:rFonts w:ascii="Calibri"/>
          <w:b/>
          <w:color w:val="394558"/>
          <w:sz w:val="36"/>
        </w:rPr>
        <w:t>Update:</w:t>
      </w:r>
    </w:p>
    <w:tbl>
      <w:tblPr>
        <w:tblW w:w="0" w:type="auto"/>
        <w:jc w:val="left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6"/>
        <w:gridCol w:w="2600"/>
      </w:tblGrid>
      <w:tr>
        <w:trPr>
          <w:trHeight w:val="507" w:hRule="atLeast"/>
        </w:trPr>
        <w:tc>
          <w:tcPr>
            <w:tcW w:w="5456" w:type="dxa"/>
            <w:shd w:val="clear" w:color="auto" w:fill="EBCF6A"/>
          </w:tcPr>
          <w:p>
            <w:pPr>
              <w:pStyle w:val="TableParagraph"/>
              <w:spacing w:before="5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2600" w:type="dxa"/>
            <w:shd w:val="clear" w:color="auto" w:fill="EBCF6A"/>
          </w:tcPr>
          <w:p>
            <w:pPr>
              <w:pStyle w:val="TableParagraph"/>
              <w:spacing w:before="58"/>
              <w:ind w:left="145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Company</w:t>
            </w:r>
            <w:r>
              <w:rPr>
                <w:color w:val="EBCF6A"/>
                <w:spacing w:val="-2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Page- 2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Securities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2-3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Insolvency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</w:t>
            </w:r>
            <w:r>
              <w:rPr>
                <w:color w:val="EBCF6A"/>
                <w:spacing w:val="-1"/>
                <w:sz w:val="32"/>
              </w:rPr>
              <w:t> </w:t>
            </w:r>
            <w:r>
              <w:rPr>
                <w:color w:val="EBCF6A"/>
                <w:sz w:val="32"/>
              </w:rPr>
              <w:t>3-4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POSH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Page- 4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Case</w:t>
            </w:r>
            <w:r>
              <w:rPr>
                <w:color w:val="EBCF6A"/>
                <w:spacing w:val="-4"/>
                <w:sz w:val="32"/>
              </w:rPr>
              <w:t> </w:t>
            </w:r>
            <w:r>
              <w:rPr>
                <w:color w:val="EBCF6A"/>
                <w:sz w:val="32"/>
              </w:rPr>
              <w:t>Laws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Page- 5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Other</w:t>
            </w:r>
            <w:r>
              <w:rPr>
                <w:color w:val="EBCF6A"/>
                <w:spacing w:val="2"/>
                <w:sz w:val="32"/>
              </w:rPr>
              <w:t> </w:t>
            </w:r>
            <w:r>
              <w:rPr>
                <w:color w:val="EBCF6A"/>
                <w:sz w:val="32"/>
              </w:rPr>
              <w:t>Updates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Page- 6</w:t>
            </w:r>
          </w:p>
        </w:tc>
      </w:tr>
      <w:tr>
        <w:trPr>
          <w:trHeight w:val="507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Publications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Page-6</w:t>
            </w:r>
          </w:p>
        </w:tc>
      </w:tr>
      <w:tr>
        <w:trPr>
          <w:trHeight w:val="508" w:hRule="atLeast"/>
        </w:trPr>
        <w:tc>
          <w:tcPr>
            <w:tcW w:w="5456" w:type="dxa"/>
            <w:shd w:val="clear" w:color="auto" w:fill="394558"/>
          </w:tcPr>
          <w:p>
            <w:pPr>
              <w:pStyle w:val="TableParagraph"/>
              <w:spacing w:before="58"/>
              <w:rPr>
                <w:sz w:val="32"/>
              </w:rPr>
            </w:pPr>
            <w:r>
              <w:rPr>
                <w:color w:val="EBCF6A"/>
                <w:sz w:val="32"/>
              </w:rPr>
              <w:t>Due</w:t>
            </w:r>
            <w:r>
              <w:rPr>
                <w:color w:val="EBCF6A"/>
                <w:spacing w:val="-5"/>
                <w:sz w:val="32"/>
              </w:rPr>
              <w:t> </w:t>
            </w:r>
            <w:r>
              <w:rPr>
                <w:color w:val="EBCF6A"/>
                <w:sz w:val="32"/>
              </w:rPr>
              <w:t>Dates</w:t>
            </w:r>
          </w:p>
        </w:tc>
        <w:tc>
          <w:tcPr>
            <w:tcW w:w="2600" w:type="dxa"/>
            <w:shd w:val="clear" w:color="auto" w:fill="394558"/>
          </w:tcPr>
          <w:p>
            <w:pPr>
              <w:pStyle w:val="TableParagraph"/>
              <w:spacing w:before="58"/>
              <w:ind w:left="145"/>
              <w:rPr>
                <w:sz w:val="32"/>
              </w:rPr>
            </w:pPr>
            <w:r>
              <w:rPr>
                <w:color w:val="EBCF6A"/>
                <w:sz w:val="32"/>
              </w:rPr>
              <w:t>Page- 7</w:t>
            </w:r>
          </w:p>
        </w:tc>
      </w:tr>
    </w:tbl>
    <w:p>
      <w:pPr>
        <w:spacing w:before="10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Company</w:t>
      </w:r>
      <w:r>
        <w:rPr>
          <w:rFonts w:ascii="Arial"/>
          <w:b/>
          <w:color w:val="4F576A"/>
          <w:spacing w:val="-3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Law:</w:t>
      </w:r>
    </w:p>
    <w:p>
      <w:pPr>
        <w:pStyle w:val="ListParagraph"/>
        <w:numPr>
          <w:ilvl w:val="0"/>
          <w:numId w:val="1"/>
        </w:numPr>
        <w:tabs>
          <w:tab w:pos="758" w:val="left" w:leader="none"/>
          <w:tab w:pos="759" w:val="left" w:leader="none"/>
        </w:tabs>
        <w:spacing w:line="240" w:lineRule="auto" w:before="81" w:after="0"/>
        <w:ind w:left="758" w:right="0" w:hanging="541"/>
        <w:jc w:val="left"/>
        <w:rPr>
          <w:sz w:val="28"/>
        </w:rPr>
      </w:pPr>
      <w:r>
        <w:rPr>
          <w:color w:val="4F576A"/>
          <w:sz w:val="28"/>
        </w:rPr>
        <w:t>MCA</w:t>
      </w:r>
      <w:r>
        <w:rPr>
          <w:color w:val="4F576A"/>
          <w:spacing w:val="2"/>
          <w:sz w:val="28"/>
        </w:rPr>
        <w:t> </w:t>
      </w:r>
      <w:r>
        <w:rPr>
          <w:color w:val="4F576A"/>
          <w:sz w:val="28"/>
        </w:rPr>
        <w:t>notifies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LLP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(Second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Amendment)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Rules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replacing</w:t>
      </w:r>
      <w:r>
        <w:rPr>
          <w:color w:val="4F576A"/>
          <w:spacing w:val="-8"/>
          <w:sz w:val="28"/>
        </w:rPr>
        <w:t> </w:t>
      </w:r>
      <w:r>
        <w:rPr>
          <w:color w:val="4F576A"/>
          <w:sz w:val="28"/>
        </w:rPr>
        <w:t>Form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3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and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Form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4.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300" w:lineRule="auto" w:before="82" w:after="0"/>
        <w:ind w:left="758" w:right="276" w:hanging="540"/>
        <w:jc w:val="both"/>
        <w:rPr>
          <w:sz w:val="28"/>
        </w:rPr>
      </w:pPr>
      <w:r>
        <w:rPr>
          <w:color w:val="4F576A"/>
          <w:sz w:val="28"/>
        </w:rPr>
        <w:t>MCA extends Timeline of Annual General Meeting and EGM through VC or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OAVM</w:t>
      </w:r>
    </w:p>
    <w:p>
      <w:pPr>
        <w:spacing w:before="1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Securities</w:t>
      </w:r>
      <w:r>
        <w:rPr>
          <w:rFonts w:ascii="Arial"/>
          <w:b/>
          <w:color w:val="4F576A"/>
          <w:spacing w:val="-6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Law:</w:t>
      </w:r>
    </w:p>
    <w:p>
      <w:pPr>
        <w:pStyle w:val="ListParagraph"/>
        <w:numPr>
          <w:ilvl w:val="0"/>
          <w:numId w:val="2"/>
        </w:numPr>
        <w:tabs>
          <w:tab w:pos="758" w:val="left" w:leader="none"/>
          <w:tab w:pos="759" w:val="left" w:leader="none"/>
        </w:tabs>
        <w:spacing w:line="240" w:lineRule="auto" w:before="81" w:after="0"/>
        <w:ind w:left="758" w:right="0" w:hanging="541"/>
        <w:jc w:val="left"/>
        <w:rPr>
          <w:sz w:val="28"/>
        </w:rPr>
      </w:pPr>
      <w:r>
        <w:rPr>
          <w:color w:val="4F576A"/>
          <w:sz w:val="28"/>
        </w:rPr>
        <w:t>Sebi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issues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revised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quarterly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reporting</w:t>
      </w:r>
      <w:r>
        <w:rPr>
          <w:color w:val="4F576A"/>
          <w:spacing w:val="-9"/>
          <w:sz w:val="28"/>
        </w:rPr>
        <w:t> </w:t>
      </w:r>
      <w:r>
        <w:rPr>
          <w:color w:val="4F576A"/>
          <w:sz w:val="28"/>
        </w:rPr>
        <w:t>format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AIFs.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300" w:lineRule="auto" w:before="82" w:after="0"/>
        <w:ind w:left="758" w:right="278" w:hanging="540"/>
        <w:jc w:val="both"/>
        <w:rPr>
          <w:sz w:val="28"/>
        </w:rPr>
      </w:pPr>
      <w:r>
        <w:rPr>
          <w:color w:val="4F576A"/>
          <w:sz w:val="28"/>
        </w:rPr>
        <w:t>Investors’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complaint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redressal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platform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SCORES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linked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to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online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dispute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resolution.</w:t>
      </w:r>
    </w:p>
    <w:p>
      <w:pPr>
        <w:spacing w:before="1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Insolvency</w:t>
      </w:r>
      <w:r>
        <w:rPr>
          <w:rFonts w:ascii="Arial"/>
          <w:b/>
          <w:color w:val="4F576A"/>
          <w:spacing w:val="-9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Law: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300" w:lineRule="auto" w:before="81" w:after="0"/>
        <w:ind w:left="758" w:right="279" w:hanging="540"/>
        <w:jc w:val="both"/>
        <w:rPr>
          <w:sz w:val="28"/>
        </w:rPr>
      </w:pPr>
      <w:r>
        <w:rPr>
          <w:color w:val="4F576A"/>
          <w:sz w:val="28"/>
        </w:rPr>
        <w:t>Highlights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IBBI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(Insolvency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Resolution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Process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Corporate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Persons)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(Second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Amendment)</w:t>
      </w:r>
      <w:r>
        <w:rPr>
          <w:color w:val="4F576A"/>
          <w:spacing w:val="-8"/>
          <w:sz w:val="28"/>
        </w:rPr>
        <w:t> </w:t>
      </w:r>
      <w:r>
        <w:rPr>
          <w:color w:val="4F576A"/>
          <w:sz w:val="28"/>
        </w:rPr>
        <w:t>Regulations,</w:t>
      </w:r>
      <w:r>
        <w:rPr>
          <w:color w:val="4F576A"/>
          <w:spacing w:val="-8"/>
          <w:sz w:val="28"/>
        </w:rPr>
        <w:t> </w:t>
      </w:r>
      <w:r>
        <w:rPr>
          <w:color w:val="4F576A"/>
          <w:sz w:val="28"/>
        </w:rPr>
        <w:t>2023.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300" w:lineRule="auto" w:before="2" w:after="0"/>
        <w:ind w:left="758" w:right="275" w:hanging="540"/>
        <w:jc w:val="both"/>
        <w:rPr>
          <w:sz w:val="28"/>
        </w:rPr>
      </w:pPr>
      <w:r>
        <w:rPr>
          <w:color w:val="4F576A"/>
          <w:sz w:val="28"/>
        </w:rPr>
        <w:t>IBBI Notifies Insolvency and Bankruptcy Board of India (Model Bye-Laws and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Governing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Board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of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Insolvency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Professional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Agencies)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(Amendments)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Regulations,</w:t>
      </w:r>
      <w:r>
        <w:rPr>
          <w:color w:val="4F576A"/>
          <w:spacing w:val="-9"/>
          <w:sz w:val="28"/>
        </w:rPr>
        <w:t> </w:t>
      </w:r>
      <w:r>
        <w:rPr>
          <w:color w:val="4F576A"/>
          <w:sz w:val="28"/>
        </w:rPr>
        <w:t>2023.</w:t>
      </w:r>
    </w:p>
    <w:p>
      <w:pPr>
        <w:spacing w:before="2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POSH:</w:t>
      </w:r>
    </w:p>
    <w:p>
      <w:pPr>
        <w:spacing w:line="300" w:lineRule="auto" w:before="82"/>
        <w:ind w:left="758" w:right="277" w:hanging="540"/>
        <w:jc w:val="both"/>
        <w:rPr>
          <w:sz w:val="28"/>
        </w:rPr>
      </w:pPr>
      <w:r>
        <w:rPr>
          <w:color w:val="4F576A"/>
          <w:sz w:val="28"/>
        </w:rPr>
        <w:t>1.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HC Judge suggests amending POSH Act and consider marginalized women's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woes.</w:t>
      </w:r>
    </w:p>
    <w:p>
      <w:pPr>
        <w:spacing w:before="1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Case</w:t>
      </w:r>
      <w:r>
        <w:rPr>
          <w:rFonts w:ascii="Arial"/>
          <w:b/>
          <w:color w:val="4F576A"/>
          <w:spacing w:val="-3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Laws:</w:t>
      </w:r>
    </w:p>
    <w:p>
      <w:pPr>
        <w:spacing w:before="81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</w:rPr>
        <w:t>Insolvency</w:t>
      </w:r>
      <w:r>
        <w:rPr>
          <w:rFonts w:ascii="Arial"/>
          <w:b/>
          <w:color w:val="4F576A"/>
          <w:spacing w:val="-10"/>
          <w:sz w:val="28"/>
        </w:rPr>
        <w:t> </w:t>
      </w:r>
      <w:r>
        <w:rPr>
          <w:rFonts w:ascii="Arial"/>
          <w:b/>
          <w:color w:val="4F576A"/>
          <w:sz w:val="28"/>
        </w:rPr>
        <w:t>law</w:t>
      </w:r>
    </w:p>
    <w:p>
      <w:pPr>
        <w:pStyle w:val="ListParagraph"/>
        <w:numPr>
          <w:ilvl w:val="0"/>
          <w:numId w:val="4"/>
        </w:numPr>
        <w:tabs>
          <w:tab w:pos="758" w:val="left" w:leader="none"/>
          <w:tab w:pos="759" w:val="left" w:leader="none"/>
        </w:tabs>
        <w:spacing w:line="240" w:lineRule="auto" w:before="82" w:after="0"/>
        <w:ind w:left="758" w:right="0" w:hanging="541"/>
        <w:jc w:val="left"/>
        <w:rPr>
          <w:sz w:val="28"/>
        </w:rPr>
      </w:pPr>
      <w:r>
        <w:rPr>
          <w:color w:val="4F576A"/>
          <w:sz w:val="28"/>
        </w:rPr>
        <w:t>NCLT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Kolkata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held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that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Preference</w:t>
      </w:r>
      <w:r>
        <w:rPr>
          <w:color w:val="4F576A"/>
          <w:spacing w:val="-11"/>
          <w:sz w:val="28"/>
        </w:rPr>
        <w:t> </w:t>
      </w:r>
      <w:r>
        <w:rPr>
          <w:color w:val="4F576A"/>
          <w:sz w:val="28"/>
        </w:rPr>
        <w:t>Share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Owners aren’t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Financial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Creditors.</w:t>
      </w:r>
    </w:p>
    <w:p>
      <w:pPr>
        <w:spacing w:before="81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</w:rPr>
        <w:t>Company</w:t>
      </w:r>
      <w:r>
        <w:rPr>
          <w:rFonts w:ascii="Arial"/>
          <w:b/>
          <w:color w:val="4F576A"/>
          <w:spacing w:val="-6"/>
          <w:sz w:val="28"/>
        </w:rPr>
        <w:t> </w:t>
      </w:r>
      <w:r>
        <w:rPr>
          <w:rFonts w:ascii="Arial"/>
          <w:b/>
          <w:color w:val="4F576A"/>
          <w:sz w:val="28"/>
        </w:rPr>
        <w:t>law</w:t>
      </w:r>
    </w:p>
    <w:p>
      <w:pPr>
        <w:pStyle w:val="ListParagraph"/>
        <w:numPr>
          <w:ilvl w:val="0"/>
          <w:numId w:val="4"/>
        </w:numPr>
        <w:tabs>
          <w:tab w:pos="758" w:val="left" w:leader="none"/>
          <w:tab w:pos="759" w:val="left" w:leader="none"/>
        </w:tabs>
        <w:spacing w:line="240" w:lineRule="auto" w:before="81" w:after="0"/>
        <w:ind w:left="758" w:right="0" w:hanging="541"/>
        <w:jc w:val="left"/>
        <w:rPr>
          <w:sz w:val="28"/>
        </w:rPr>
      </w:pPr>
      <w:r>
        <w:rPr>
          <w:color w:val="4F576A"/>
          <w:sz w:val="28"/>
        </w:rPr>
        <w:t>ROC Penalises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SustVest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Raising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Funds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on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Tyke</w:t>
      </w:r>
      <w:r>
        <w:rPr>
          <w:color w:val="4F576A"/>
          <w:spacing w:val="2"/>
          <w:sz w:val="28"/>
        </w:rPr>
        <w:t> </w:t>
      </w:r>
      <w:r>
        <w:rPr>
          <w:color w:val="4F576A"/>
          <w:sz w:val="28"/>
        </w:rPr>
        <w:t>Platform</w:t>
      </w:r>
    </w:p>
    <w:p>
      <w:pPr>
        <w:pStyle w:val="BodyText"/>
        <w:spacing w:before="2"/>
        <w:rPr>
          <w:sz w:val="42"/>
        </w:rPr>
      </w:pPr>
    </w:p>
    <w:p>
      <w:pPr>
        <w:spacing w:before="0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Other</w:t>
      </w:r>
      <w:r>
        <w:rPr>
          <w:rFonts w:ascii="Arial"/>
          <w:b/>
          <w:color w:val="4F576A"/>
          <w:spacing w:val="-4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Updates:</w:t>
      </w:r>
    </w:p>
    <w:p>
      <w:pPr>
        <w:pStyle w:val="ListParagraph"/>
        <w:numPr>
          <w:ilvl w:val="0"/>
          <w:numId w:val="5"/>
        </w:numPr>
        <w:tabs>
          <w:tab w:pos="759" w:val="left" w:leader="none"/>
        </w:tabs>
        <w:spacing w:line="300" w:lineRule="auto" w:before="81" w:after="0"/>
        <w:ind w:left="758" w:right="277" w:hanging="540"/>
        <w:jc w:val="both"/>
        <w:rPr>
          <w:sz w:val="28"/>
        </w:rPr>
      </w:pPr>
      <w:r>
        <w:rPr>
          <w:color w:val="4F576A"/>
          <w:sz w:val="28"/>
        </w:rPr>
        <w:t>CA Guilty of Professional Misconduct For writing “To Whomsoever it may</w:t>
      </w:r>
      <w:r>
        <w:rPr>
          <w:color w:val="4F576A"/>
          <w:spacing w:val="1"/>
          <w:sz w:val="28"/>
        </w:rPr>
        <w:t> </w:t>
      </w:r>
      <w:r>
        <w:rPr>
          <w:color w:val="4F576A"/>
          <w:sz w:val="28"/>
        </w:rPr>
        <w:t>concern”</w:t>
      </w:r>
      <w:r>
        <w:rPr>
          <w:color w:val="4F576A"/>
          <w:spacing w:val="-10"/>
          <w:sz w:val="28"/>
        </w:rPr>
        <w:t> </w:t>
      </w:r>
      <w:r>
        <w:rPr>
          <w:color w:val="4F576A"/>
          <w:sz w:val="28"/>
        </w:rPr>
        <w:t>on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a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Certificate.</w:t>
      </w:r>
    </w:p>
    <w:p>
      <w:pPr>
        <w:pStyle w:val="ListParagraph"/>
        <w:numPr>
          <w:ilvl w:val="0"/>
          <w:numId w:val="5"/>
        </w:numPr>
        <w:tabs>
          <w:tab w:pos="758" w:val="left" w:leader="none"/>
          <w:tab w:pos="759" w:val="left" w:leader="none"/>
        </w:tabs>
        <w:spacing w:line="240" w:lineRule="auto" w:before="2" w:after="0"/>
        <w:ind w:left="758" w:right="0" w:hanging="541"/>
        <w:jc w:val="left"/>
        <w:rPr>
          <w:sz w:val="28"/>
        </w:rPr>
      </w:pPr>
      <w:r>
        <w:rPr>
          <w:color w:val="4F576A"/>
          <w:sz w:val="28"/>
        </w:rPr>
        <w:t>I-T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notifies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'Angel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Tax' rules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valuing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investments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in</w:t>
      </w:r>
      <w:r>
        <w:rPr>
          <w:color w:val="4F576A"/>
          <w:spacing w:val="-2"/>
          <w:sz w:val="28"/>
        </w:rPr>
        <w:t> </w:t>
      </w:r>
      <w:r>
        <w:rPr>
          <w:color w:val="4F576A"/>
          <w:sz w:val="28"/>
        </w:rPr>
        <w:t>startups</w:t>
      </w:r>
    </w:p>
    <w:p>
      <w:pPr>
        <w:pStyle w:val="BodyText"/>
        <w:spacing w:before="1"/>
        <w:rPr>
          <w:sz w:val="42"/>
        </w:rPr>
      </w:pPr>
    </w:p>
    <w:p>
      <w:pPr>
        <w:spacing w:before="0"/>
        <w:ind w:left="218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4F576A"/>
          <w:sz w:val="28"/>
          <w:u w:val="thick" w:color="4F576A"/>
        </w:rPr>
        <w:t>Publications:</w:t>
      </w:r>
    </w:p>
    <w:p>
      <w:pPr>
        <w:pStyle w:val="ListParagraph"/>
        <w:numPr>
          <w:ilvl w:val="0"/>
          <w:numId w:val="6"/>
        </w:numPr>
        <w:tabs>
          <w:tab w:pos="758" w:val="left" w:leader="none"/>
          <w:tab w:pos="759" w:val="left" w:leader="none"/>
        </w:tabs>
        <w:spacing w:line="240" w:lineRule="auto" w:before="81" w:after="0"/>
        <w:ind w:left="758" w:right="0" w:hanging="541"/>
        <w:jc w:val="left"/>
        <w:rPr>
          <w:sz w:val="28"/>
        </w:rPr>
      </w:pPr>
      <w:r>
        <w:rPr>
          <w:color w:val="4F576A"/>
          <w:sz w:val="28"/>
        </w:rPr>
        <w:t>Convertible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Note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-</w:t>
      </w:r>
      <w:r>
        <w:rPr>
          <w:color w:val="4F576A"/>
          <w:spacing w:val="-1"/>
          <w:sz w:val="28"/>
        </w:rPr>
        <w:t> </w:t>
      </w:r>
      <w:r>
        <w:rPr>
          <w:color w:val="4F576A"/>
          <w:sz w:val="28"/>
        </w:rPr>
        <w:t>Additional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and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flexible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funding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option</w:t>
      </w:r>
      <w:r>
        <w:rPr>
          <w:color w:val="4F576A"/>
          <w:spacing w:val="-5"/>
          <w:sz w:val="28"/>
        </w:rPr>
        <w:t> </w:t>
      </w:r>
      <w:r>
        <w:rPr>
          <w:color w:val="4F576A"/>
          <w:sz w:val="28"/>
        </w:rPr>
        <w:t>for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startups.</w:t>
      </w:r>
    </w:p>
    <w:p>
      <w:pPr>
        <w:pStyle w:val="ListParagraph"/>
        <w:numPr>
          <w:ilvl w:val="0"/>
          <w:numId w:val="6"/>
        </w:numPr>
        <w:tabs>
          <w:tab w:pos="758" w:val="left" w:leader="none"/>
          <w:tab w:pos="759" w:val="left" w:leader="none"/>
        </w:tabs>
        <w:spacing w:line="240" w:lineRule="auto" w:before="82" w:after="0"/>
        <w:ind w:left="758" w:right="0" w:hanging="541"/>
        <w:jc w:val="left"/>
        <w:rPr>
          <w:sz w:val="28"/>
        </w:rPr>
      </w:pPr>
      <w:r>
        <w:rPr>
          <w:color w:val="4F576A"/>
          <w:sz w:val="28"/>
        </w:rPr>
        <w:t>Differential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Right</w:t>
      </w:r>
      <w:r>
        <w:rPr>
          <w:color w:val="4F576A"/>
          <w:spacing w:val="-4"/>
          <w:sz w:val="28"/>
        </w:rPr>
        <w:t> </w:t>
      </w:r>
      <w:r>
        <w:rPr>
          <w:color w:val="4F576A"/>
          <w:sz w:val="28"/>
        </w:rPr>
        <w:t>Shares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under</w:t>
      </w:r>
      <w:r>
        <w:rPr>
          <w:color w:val="4F576A"/>
          <w:spacing w:val="-7"/>
          <w:sz w:val="28"/>
        </w:rPr>
        <w:t> </w:t>
      </w:r>
      <w:r>
        <w:rPr>
          <w:color w:val="4F576A"/>
          <w:sz w:val="28"/>
        </w:rPr>
        <w:t>Companies</w:t>
      </w:r>
      <w:r>
        <w:rPr>
          <w:color w:val="4F576A"/>
          <w:spacing w:val="-6"/>
          <w:sz w:val="28"/>
        </w:rPr>
        <w:t> </w:t>
      </w:r>
      <w:r>
        <w:rPr>
          <w:color w:val="4F576A"/>
          <w:sz w:val="28"/>
        </w:rPr>
        <w:t>Act</w:t>
      </w:r>
      <w:r>
        <w:rPr>
          <w:color w:val="4F576A"/>
          <w:spacing w:val="-3"/>
          <w:sz w:val="28"/>
        </w:rPr>
        <w:t> </w:t>
      </w:r>
      <w:r>
        <w:rPr>
          <w:color w:val="4F576A"/>
          <w:sz w:val="28"/>
        </w:rPr>
        <w:t>2013</w:t>
      </w:r>
    </w:p>
    <w:p>
      <w:pPr>
        <w:spacing w:before="81"/>
        <w:ind w:left="218" w:right="0" w:firstLine="0"/>
        <w:jc w:val="left"/>
        <w:rPr>
          <w:rFonts w:ascii="Arial"/>
          <w:b/>
          <w:sz w:val="28"/>
        </w:rPr>
      </w:pPr>
      <w:r>
        <w:rPr/>
        <w:pict>
          <v:group style="position:absolute;margin-left:0pt;margin-top:23.253654pt;width:539.950pt;height:20.4pt;mso-position-horizontal-relative:page;mso-position-vertical-relative:paragraph;z-index:15730688" coordorigin="0,465" coordsize="10799,408">
            <v:rect style="position:absolute;left:0;top:465;width:10799;height:408" filled="true" fillcolor="#36394f" stroked="false">
              <v:fill type="solid"/>
            </v:rect>
            <v:shape style="position:absolute;left:117;top:489;width:2788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4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27;top:489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color w:val="4F576A"/>
          <w:sz w:val="28"/>
          <w:u w:val="thick" w:color="4F576A"/>
        </w:rPr>
        <w:t>Due</w:t>
      </w:r>
      <w:r>
        <w:rPr>
          <w:rFonts w:ascii="Arial"/>
          <w:b/>
          <w:color w:val="4F576A"/>
          <w:spacing w:val="-4"/>
          <w:sz w:val="28"/>
          <w:u w:val="thick" w:color="4F576A"/>
        </w:rPr>
        <w:t> </w:t>
      </w:r>
      <w:r>
        <w:rPr>
          <w:rFonts w:ascii="Arial"/>
          <w:b/>
          <w:color w:val="4F576A"/>
          <w:sz w:val="28"/>
          <w:u w:val="thick" w:color="4F576A"/>
        </w:rPr>
        <w:t>Dates</w:t>
      </w:r>
    </w:p>
    <w:p>
      <w:pPr>
        <w:spacing w:after="0"/>
        <w:jc w:val="left"/>
        <w:rPr>
          <w:rFonts w:ascii="Arial"/>
          <w:sz w:val="28"/>
        </w:rPr>
        <w:sectPr>
          <w:type w:val="continuous"/>
          <w:pgSz w:w="10800" w:h="19200"/>
          <w:pgMar w:top="0" w:bottom="0" w:left="0" w:right="0"/>
        </w:sectPr>
      </w:pPr>
    </w:p>
    <w:p>
      <w:pPr>
        <w:tabs>
          <w:tab w:pos="4917" w:val="left" w:leader="none"/>
        </w:tabs>
        <w:spacing w:line="240" w:lineRule="auto"/>
        <w:ind w:left="463" w:right="0" w:firstLine="0"/>
        <w:rPr>
          <w:rFonts w:ascii="Arial"/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58368" filled="true" fillcolor="#fdfcf8" stroked="false">
            <v:fill type="solid"/>
            <w10:wrap type="none"/>
          </v:rect>
        </w:pict>
      </w:r>
      <w:r>
        <w:rPr>
          <w:rFonts w:ascii="Arial"/>
          <w:position w:val="28"/>
          <w:sz w:val="20"/>
        </w:rPr>
        <w:drawing>
          <wp:inline distT="0" distB="0" distL="0" distR="0">
            <wp:extent cx="2551633" cy="1491233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633" cy="149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8"/>
          <w:sz w:val="20"/>
        </w:rPr>
      </w:r>
      <w:r>
        <w:rPr>
          <w:rFonts w:ascii="Arial"/>
          <w:position w:val="28"/>
          <w:sz w:val="20"/>
        </w:rPr>
        <w:tab/>
      </w:r>
      <w:r>
        <w:rPr>
          <w:rFonts w:ascii="Arial"/>
          <w:sz w:val="20"/>
        </w:rPr>
        <w:pict>
          <v:group style="width:275.2pt;height:158.8pt;mso-position-horizontal-relative:char;mso-position-vertical-relative:line" coordorigin="0,0" coordsize="5504,3176">
            <v:rect style="position:absolute;left:4214;top:0;width:860;height:2669" filled="true" fillcolor="#ebcf6a" stroked="false">
              <v:fill type="solid"/>
            </v:rect>
            <v:shape style="position:absolute;left:3564;top:299;width:1786;height:1798" type="#_x0000_t75" stroked="false">
              <v:imagedata r:id="rId5" o:title=""/>
            </v:shape>
            <v:shape style="position:absolute;left:0;top:2668;width:5504;height:508" type="#_x0000_t202" filled="true" fillcolor="#394558" stroked="false">
              <v:textbox inset="0,0,0,0">
                <w:txbxContent>
                  <w:p>
                    <w:pPr>
                      <w:spacing w:before="14"/>
                      <w:ind w:left="1287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2" w:id="2"/>
                    <w:bookmarkEnd w:id="2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COMPANY</w:t>
                    </w:r>
                    <w:r>
                      <w:rPr>
                        <w:rFonts w:ascii="Arial"/>
                        <w:b/>
                        <w:color w:val="EBCF6A"/>
                        <w:spacing w:val="-2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Heading2"/>
        <w:numPr>
          <w:ilvl w:val="0"/>
          <w:numId w:val="7"/>
        </w:numPr>
        <w:tabs>
          <w:tab w:pos="828" w:val="left" w:leader="none"/>
        </w:tabs>
        <w:spacing w:line="300" w:lineRule="auto" w:before="141" w:after="0"/>
        <w:ind w:left="828" w:right="415" w:hanging="541"/>
        <w:jc w:val="both"/>
      </w:pPr>
      <w:r>
        <w:rPr/>
        <w:pict>
          <v:rect style="position:absolute;margin-left:456.600006pt;margin-top:-2.402214pt;width:42.96pt;height:2.280pt;mso-position-horizontal-relative:page;mso-position-vertical-relative:paragraph;z-index:15732736" filled="true" fillcolor="#ebcf6a" stroked="false">
            <v:fill type="solid"/>
            <w10:wrap type="none"/>
          </v:rect>
        </w:pict>
      </w:r>
      <w:hyperlink r:id="rId7">
        <w:r>
          <w:rPr>
            <w:color w:val="4F576A"/>
          </w:rPr>
          <w:t>MCA notifies LLP (Second Amendment) Rules replacing Form</w:t>
        </w:r>
        <w:r>
          <w:rPr>
            <w:color w:val="4F576A"/>
            <w:spacing w:val="1"/>
          </w:rPr>
          <w:t> </w:t>
        </w:r>
        <w:r>
          <w:rPr>
            <w:color w:val="4F576A"/>
          </w:rPr>
          <w:t>3</w:t>
        </w:r>
        <w:r>
          <w:rPr>
            <w:color w:val="4F576A"/>
            <w:spacing w:val="-1"/>
          </w:rPr>
          <w:t> </w:t>
        </w:r>
        <w:r>
          <w:rPr>
            <w:color w:val="4F576A"/>
          </w:rPr>
          <w:t>and</w:t>
        </w:r>
        <w:r>
          <w:rPr>
            <w:color w:val="4F576A"/>
            <w:spacing w:val="1"/>
          </w:rPr>
          <w:t> </w:t>
        </w:r>
        <w:r>
          <w:rPr>
            <w:color w:val="4F576A"/>
          </w:rPr>
          <w:t>Form</w:t>
        </w:r>
        <w:r>
          <w:rPr>
            <w:color w:val="4F576A"/>
            <w:spacing w:val="5"/>
          </w:rPr>
          <w:t> </w:t>
        </w:r>
        <w:r>
          <w:rPr>
            <w:color w:val="4F576A"/>
          </w:rPr>
          <w:t>4</w:t>
        </w:r>
      </w:hyperlink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300" w:lineRule="auto" w:before="2" w:after="0"/>
        <w:ind w:left="739" w:right="413" w:hanging="452"/>
        <w:jc w:val="both"/>
        <w:rPr>
          <w:color w:val="4F576A"/>
          <w:sz w:val="32"/>
        </w:rPr>
      </w:pPr>
      <w:hyperlink r:id="rId7">
        <w:r>
          <w:rPr>
            <w:color w:val="4F576A"/>
            <w:sz w:val="32"/>
          </w:rPr>
          <w:t>In new Form 3 a new table has been updated by the MCA regarding</w:t>
        </w:r>
        <w:r>
          <w:rPr>
            <w:color w:val="4F576A"/>
            <w:spacing w:val="-86"/>
            <w:sz w:val="32"/>
          </w:rPr>
          <w:t> </w:t>
        </w:r>
        <w:r>
          <w:rPr>
            <w:color w:val="4F576A"/>
            <w:sz w:val="32"/>
          </w:rPr>
          <w:t>the details of each partner to contribute money or property or other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benefit</w:t>
        </w:r>
        <w:r>
          <w:rPr>
            <w:color w:val="4F576A"/>
            <w:spacing w:val="-1"/>
            <w:sz w:val="32"/>
          </w:rPr>
          <w:t> </w:t>
        </w:r>
        <w:r>
          <w:rPr>
            <w:color w:val="4F576A"/>
            <w:sz w:val="32"/>
          </w:rPr>
          <w:t>or</w:t>
        </w:r>
        <w:r>
          <w:rPr>
            <w:color w:val="4F576A"/>
            <w:spacing w:val="3"/>
            <w:sz w:val="32"/>
          </w:rPr>
          <w:t> </w:t>
        </w:r>
        <w:r>
          <w:rPr>
            <w:color w:val="4F576A"/>
            <w:sz w:val="32"/>
          </w:rPr>
          <w:t>to</w:t>
        </w:r>
        <w:r>
          <w:rPr>
            <w:color w:val="4F576A"/>
            <w:spacing w:val="2"/>
            <w:sz w:val="32"/>
          </w:rPr>
          <w:t> </w:t>
        </w:r>
        <w:r>
          <w:rPr>
            <w:color w:val="4F576A"/>
            <w:sz w:val="32"/>
          </w:rPr>
          <w:t>perform</w:t>
        </w:r>
        <w:r>
          <w:rPr>
            <w:color w:val="4F576A"/>
            <w:spacing w:val="5"/>
            <w:sz w:val="32"/>
          </w:rPr>
          <w:t> </w:t>
        </w:r>
        <w:r>
          <w:rPr>
            <w:color w:val="4F576A"/>
            <w:sz w:val="32"/>
          </w:rPr>
          <w:t>services</w:t>
        </w:r>
        <w:r>
          <w:rPr>
            <w:color w:val="4F576A"/>
            <w:spacing w:val="-1"/>
            <w:sz w:val="32"/>
          </w:rPr>
          <w:t> </w:t>
        </w:r>
        <w:r>
          <w:rPr>
            <w:color w:val="4F576A"/>
            <w:sz w:val="32"/>
          </w:rPr>
          <w:t>and</w:t>
        </w:r>
        <w:r>
          <w:rPr>
            <w:color w:val="4F576A"/>
            <w:spacing w:val="-1"/>
            <w:sz w:val="32"/>
          </w:rPr>
          <w:t> </w:t>
        </w:r>
        <w:r>
          <w:rPr>
            <w:color w:val="4F576A"/>
            <w:sz w:val="32"/>
          </w:rPr>
          <w:t>their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profit</w:t>
        </w:r>
        <w:r>
          <w:rPr>
            <w:color w:val="4F576A"/>
            <w:spacing w:val="2"/>
            <w:sz w:val="32"/>
          </w:rPr>
          <w:t> </w:t>
        </w:r>
        <w:r>
          <w:rPr>
            <w:color w:val="4F576A"/>
            <w:sz w:val="32"/>
          </w:rPr>
          <w:t>sharing ratio.</w:t>
        </w:r>
      </w:hyperlink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300" w:lineRule="auto" w:before="3" w:after="0"/>
        <w:ind w:left="739" w:right="416" w:hanging="452"/>
        <w:jc w:val="both"/>
        <w:rPr>
          <w:color w:val="4F576A"/>
          <w:sz w:val="32"/>
        </w:rPr>
      </w:pPr>
      <w:hyperlink r:id="rId7">
        <w:r>
          <w:rPr>
            <w:color w:val="4F576A"/>
            <w:sz w:val="32"/>
          </w:rPr>
          <w:t>It is required to mention the Jurisdiction of Police Station right after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the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address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of</w:t>
        </w:r>
        <w:r>
          <w:rPr>
            <w:color w:val="4F576A"/>
            <w:spacing w:val="2"/>
            <w:sz w:val="32"/>
          </w:rPr>
          <w:t> </w:t>
        </w:r>
        <w:r>
          <w:rPr>
            <w:color w:val="4F576A"/>
            <w:sz w:val="32"/>
          </w:rPr>
          <w:t>partner</w:t>
        </w:r>
        <w:r>
          <w:rPr>
            <w:color w:val="4F576A"/>
            <w:spacing w:val="5"/>
            <w:sz w:val="32"/>
          </w:rPr>
          <w:t> </w:t>
        </w:r>
        <w:r>
          <w:rPr>
            <w:color w:val="4F576A"/>
            <w:sz w:val="32"/>
          </w:rPr>
          <w:t>in</w:t>
        </w:r>
        <w:r>
          <w:rPr>
            <w:color w:val="4F576A"/>
            <w:spacing w:val="-3"/>
            <w:sz w:val="32"/>
          </w:rPr>
          <w:t> </w:t>
        </w:r>
        <w:r>
          <w:rPr>
            <w:color w:val="4F576A"/>
            <w:sz w:val="32"/>
          </w:rPr>
          <w:t>the</w:t>
        </w:r>
        <w:r>
          <w:rPr>
            <w:color w:val="4F576A"/>
            <w:spacing w:val="3"/>
            <w:sz w:val="32"/>
          </w:rPr>
          <w:t> </w:t>
        </w:r>
        <w:r>
          <w:rPr>
            <w:color w:val="4F576A"/>
            <w:sz w:val="32"/>
          </w:rPr>
          <w:t>new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Form</w:t>
        </w:r>
        <w:r>
          <w:rPr>
            <w:color w:val="4F576A"/>
            <w:spacing w:val="5"/>
            <w:sz w:val="32"/>
          </w:rPr>
          <w:t> </w:t>
        </w:r>
        <w:r>
          <w:rPr>
            <w:color w:val="4F576A"/>
            <w:sz w:val="32"/>
          </w:rPr>
          <w:t>4.</w:t>
        </w:r>
      </w:hyperlink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300" w:lineRule="auto" w:before="2" w:after="0"/>
        <w:ind w:left="739" w:right="407" w:hanging="452"/>
        <w:jc w:val="both"/>
        <w:rPr>
          <w:color w:val="4F576A"/>
          <w:sz w:val="32"/>
        </w:rPr>
      </w:pPr>
      <w:hyperlink r:id="rId7">
        <w:r>
          <w:rPr>
            <w:color w:val="4F576A"/>
            <w:sz w:val="32"/>
          </w:rPr>
          <w:t>New requirement to mention Number of amendments made in LLP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agreement till date and SRN of Form 4 or Form 5 of last one year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from</w:t>
        </w:r>
        <w:r>
          <w:rPr>
            <w:color w:val="4F576A"/>
            <w:spacing w:val="3"/>
            <w:sz w:val="32"/>
          </w:rPr>
          <w:t> </w:t>
        </w:r>
        <w:r>
          <w:rPr>
            <w:color w:val="4F576A"/>
            <w:sz w:val="32"/>
          </w:rPr>
          <w:t>the</w:t>
        </w:r>
        <w:r>
          <w:rPr>
            <w:color w:val="4F576A"/>
            <w:spacing w:val="2"/>
            <w:sz w:val="32"/>
          </w:rPr>
          <w:t> </w:t>
        </w:r>
        <w:r>
          <w:rPr>
            <w:color w:val="4F576A"/>
            <w:sz w:val="32"/>
          </w:rPr>
          <w:t>date</w:t>
        </w:r>
        <w:r>
          <w:rPr>
            <w:color w:val="4F576A"/>
            <w:spacing w:val="2"/>
            <w:sz w:val="32"/>
          </w:rPr>
          <w:t> </w:t>
        </w:r>
        <w:r>
          <w:rPr>
            <w:color w:val="4F576A"/>
            <w:sz w:val="32"/>
          </w:rPr>
          <w:t>of</w:t>
        </w:r>
        <w:r>
          <w:rPr>
            <w:color w:val="4F576A"/>
            <w:spacing w:val="2"/>
            <w:sz w:val="32"/>
          </w:rPr>
          <w:t> </w:t>
        </w:r>
        <w:r>
          <w:rPr>
            <w:color w:val="4F576A"/>
            <w:sz w:val="32"/>
          </w:rPr>
          <w:t>filing</w:t>
        </w:r>
        <w:r>
          <w:rPr>
            <w:color w:val="4F576A"/>
            <w:spacing w:val="-5"/>
            <w:sz w:val="32"/>
          </w:rPr>
          <w:t> </w:t>
        </w:r>
        <w:r>
          <w:rPr>
            <w:color w:val="4F576A"/>
            <w:sz w:val="32"/>
          </w:rPr>
          <w:t>this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form</w:t>
        </w:r>
      </w:hyperlink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240" w:lineRule="auto" w:before="2" w:after="0"/>
        <w:ind w:left="739" w:right="0" w:hanging="453"/>
        <w:jc w:val="both"/>
        <w:rPr>
          <w:color w:val="4F576A"/>
          <w:sz w:val="32"/>
        </w:rPr>
      </w:pPr>
      <w:hyperlink r:id="rId8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BodyText"/>
        <w:spacing w:before="2"/>
        <w:rPr>
          <w:sz w:val="48"/>
        </w:rPr>
      </w:pPr>
    </w:p>
    <w:p>
      <w:pPr>
        <w:pStyle w:val="Heading2"/>
        <w:numPr>
          <w:ilvl w:val="0"/>
          <w:numId w:val="7"/>
        </w:numPr>
        <w:tabs>
          <w:tab w:pos="828" w:val="left" w:leader="none"/>
        </w:tabs>
        <w:spacing w:line="300" w:lineRule="auto" w:before="0" w:after="0"/>
        <w:ind w:left="828" w:right="419" w:hanging="541"/>
        <w:jc w:val="both"/>
      </w:pPr>
      <w:hyperlink r:id="rId7">
        <w:r>
          <w:rPr>
            <w:color w:val="4F576A"/>
          </w:rPr>
          <w:t>MCA extends Timeline of Annual General Meeting and EGM</w:t>
        </w:r>
        <w:r>
          <w:rPr>
            <w:color w:val="4F576A"/>
            <w:spacing w:val="1"/>
          </w:rPr>
          <w:t> </w:t>
        </w:r>
        <w:r>
          <w:rPr>
            <w:color w:val="4F576A"/>
          </w:rPr>
          <w:t>through</w:t>
        </w:r>
        <w:r>
          <w:rPr>
            <w:color w:val="4F576A"/>
            <w:spacing w:val="5"/>
          </w:rPr>
          <w:t> </w:t>
        </w:r>
        <w:r>
          <w:rPr>
            <w:color w:val="4F576A"/>
          </w:rPr>
          <w:t>VC</w:t>
        </w:r>
        <w:r>
          <w:rPr>
            <w:color w:val="4F576A"/>
            <w:spacing w:val="-4"/>
          </w:rPr>
          <w:t> </w:t>
        </w:r>
        <w:r>
          <w:rPr>
            <w:color w:val="4F576A"/>
          </w:rPr>
          <w:t>or</w:t>
        </w:r>
        <w:r>
          <w:rPr>
            <w:color w:val="4F576A"/>
            <w:spacing w:val="2"/>
          </w:rPr>
          <w:t> </w:t>
        </w:r>
        <w:r>
          <w:rPr>
            <w:color w:val="4F576A"/>
          </w:rPr>
          <w:t>OAVM</w:t>
        </w:r>
      </w:hyperlink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300" w:lineRule="auto" w:before="2" w:after="0"/>
        <w:ind w:left="739" w:right="414" w:hanging="452"/>
        <w:jc w:val="both"/>
        <w:rPr>
          <w:color w:val="4F576A"/>
          <w:sz w:val="32"/>
        </w:rPr>
      </w:pPr>
      <w:hyperlink r:id="rId7">
        <w:r>
          <w:rPr>
            <w:color w:val="4F576A"/>
            <w:sz w:val="32"/>
          </w:rPr>
          <w:t>The MCA has also allowed companies to hold their extraordinary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general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meetings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and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AGMs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via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video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conference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till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end</w:t>
        </w:r>
        <w:r>
          <w:rPr>
            <w:color w:val="4F576A"/>
            <w:spacing w:val="1"/>
            <w:sz w:val="32"/>
          </w:rPr>
          <w:t> </w:t>
        </w:r>
        <w:r>
          <w:rPr>
            <w:color w:val="4F576A"/>
            <w:sz w:val="32"/>
          </w:rPr>
          <w:t>September</w:t>
        </w:r>
        <w:r>
          <w:rPr>
            <w:color w:val="4F576A"/>
            <w:spacing w:val="4"/>
            <w:sz w:val="32"/>
          </w:rPr>
          <w:t> </w:t>
        </w:r>
        <w:r>
          <w:rPr>
            <w:color w:val="4F576A"/>
            <w:sz w:val="32"/>
          </w:rPr>
          <w:t>2024.</w:t>
        </w:r>
      </w:hyperlink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240" w:lineRule="auto" w:before="2" w:after="0"/>
        <w:ind w:left="739" w:right="0" w:hanging="453"/>
        <w:jc w:val="both"/>
        <w:rPr>
          <w:color w:val="4F576A"/>
          <w:sz w:val="32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417576</wp:posOffset>
            </wp:positionH>
            <wp:positionV relativeFrom="paragraph">
              <wp:posOffset>334871</wp:posOffset>
            </wp:positionV>
            <wp:extent cx="2439924" cy="1449324"/>
            <wp:effectExtent l="0" t="0" r="0" b="0"/>
            <wp:wrapNone/>
            <wp:docPr id="3" name="image3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924" cy="1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Circular</w:t>
        </w:r>
      </w:hyperlink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8"/>
      </w:pPr>
    </w:p>
    <w:p>
      <w:pPr>
        <w:pStyle w:val="Heading1"/>
        <w:tabs>
          <w:tab w:pos="6054" w:val="left" w:leader="none"/>
          <w:tab w:pos="10420" w:val="left" w:leader="none"/>
        </w:tabs>
        <w:ind w:left="4915"/>
      </w:pPr>
      <w:r>
        <w:rPr>
          <w:color w:val="EBCF6A"/>
          <w:w w:val="100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SECURITIES</w:t>
      </w:r>
      <w:r>
        <w:rPr>
          <w:color w:val="EBCF6A"/>
          <w:spacing w:val="36"/>
          <w:shd w:fill="394558" w:color="auto" w:val="clear"/>
        </w:rPr>
        <w:t> </w:t>
      </w:r>
      <w:r>
        <w:rPr>
          <w:color w:val="EBCF6A"/>
          <w:shd w:fill="394558" w:color="auto" w:val="clear"/>
        </w:rPr>
        <w:t>LAW</w:t>
        <w:tab/>
      </w:r>
    </w:p>
    <w:p>
      <w:pPr>
        <w:pStyle w:val="BodyText"/>
        <w:rPr>
          <w:rFonts w:ascii="Arial"/>
          <w:b/>
          <w:sz w:val="44"/>
        </w:rPr>
      </w:pPr>
    </w:p>
    <w:p>
      <w:pPr>
        <w:pStyle w:val="BodyText"/>
        <w:spacing w:before="1"/>
        <w:rPr>
          <w:rFonts w:ascii="Arial"/>
          <w:b/>
          <w:sz w:val="54"/>
        </w:rPr>
      </w:pPr>
    </w:p>
    <w:p>
      <w:pPr>
        <w:pStyle w:val="Heading2"/>
        <w:numPr>
          <w:ilvl w:val="0"/>
          <w:numId w:val="9"/>
        </w:numPr>
        <w:tabs>
          <w:tab w:pos="827" w:val="left" w:leader="none"/>
          <w:tab w:pos="828" w:val="left" w:leader="none"/>
        </w:tabs>
        <w:spacing w:line="240" w:lineRule="auto" w:before="1" w:after="0"/>
        <w:ind w:left="828" w:right="0" w:hanging="541"/>
        <w:jc w:val="left"/>
      </w:pPr>
      <w:r>
        <w:rPr>
          <w:color w:val="4F576A"/>
        </w:rPr>
        <w:t>Sebi</w:t>
      </w:r>
      <w:r>
        <w:rPr>
          <w:color w:val="4F576A"/>
          <w:spacing w:val="-4"/>
        </w:rPr>
        <w:t> </w:t>
      </w:r>
      <w:r>
        <w:rPr>
          <w:color w:val="4F576A"/>
        </w:rPr>
        <w:t>issues</w:t>
      </w:r>
      <w:r>
        <w:rPr>
          <w:color w:val="4F576A"/>
          <w:spacing w:val="-3"/>
        </w:rPr>
        <w:t> </w:t>
      </w:r>
      <w:r>
        <w:rPr>
          <w:color w:val="4F576A"/>
        </w:rPr>
        <w:t>revised</w:t>
      </w:r>
      <w:r>
        <w:rPr>
          <w:color w:val="4F576A"/>
          <w:spacing w:val="4"/>
        </w:rPr>
        <w:t> </w:t>
      </w:r>
      <w:r>
        <w:rPr>
          <w:color w:val="4F576A"/>
        </w:rPr>
        <w:t>quarterly reporting</w:t>
      </w:r>
      <w:r>
        <w:rPr>
          <w:color w:val="4F576A"/>
          <w:spacing w:val="1"/>
        </w:rPr>
        <w:t> </w:t>
      </w:r>
      <w:r>
        <w:rPr>
          <w:color w:val="4F576A"/>
        </w:rPr>
        <w:t>format for</w:t>
      </w:r>
      <w:r>
        <w:rPr>
          <w:color w:val="4F576A"/>
          <w:spacing w:val="-12"/>
        </w:rPr>
        <w:t> </w:t>
      </w:r>
      <w:r>
        <w:rPr>
          <w:color w:val="4F576A"/>
        </w:rPr>
        <w:t>AIFs</w:t>
      </w:r>
    </w:p>
    <w:p>
      <w:pPr>
        <w:pStyle w:val="BodyText"/>
        <w:spacing w:before="9"/>
        <w:rPr>
          <w:rFonts w:ascii="Arial"/>
          <w:b/>
          <w:sz w:val="34"/>
        </w:rPr>
      </w:pPr>
    </w:p>
    <w:p>
      <w:pPr>
        <w:pStyle w:val="ListParagraph"/>
        <w:numPr>
          <w:ilvl w:val="0"/>
          <w:numId w:val="8"/>
        </w:numPr>
        <w:tabs>
          <w:tab w:pos="739" w:val="left" w:leader="none"/>
          <w:tab w:pos="740" w:val="left" w:leader="none"/>
        </w:tabs>
        <w:spacing w:line="240" w:lineRule="auto" w:before="0" w:after="0"/>
        <w:ind w:left="739" w:right="0" w:hanging="453"/>
        <w:jc w:val="left"/>
        <w:rPr>
          <w:color w:val="4F576A"/>
          <w:sz w:val="32"/>
        </w:rPr>
      </w:pPr>
      <w:r>
        <w:rPr>
          <w:color w:val="4F576A"/>
          <w:sz w:val="32"/>
        </w:rPr>
        <w:t>Timelines</w:t>
      </w:r>
      <w:r>
        <w:rPr>
          <w:color w:val="4F576A"/>
          <w:spacing w:val="-7"/>
          <w:sz w:val="32"/>
        </w:rPr>
        <w:t> </w:t>
      </w:r>
      <w:r>
        <w:rPr>
          <w:color w:val="4F576A"/>
          <w:sz w:val="32"/>
        </w:rPr>
        <w:t>for submission</w:t>
      </w:r>
      <w:r>
        <w:rPr>
          <w:color w:val="4F576A"/>
          <w:spacing w:val="-8"/>
          <w:sz w:val="32"/>
        </w:rPr>
        <w:t> </w:t>
      </w:r>
      <w:r>
        <w:rPr>
          <w:color w:val="4F576A"/>
          <w:sz w:val="32"/>
        </w:rPr>
        <w:t>in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revised</w:t>
      </w:r>
      <w:r>
        <w:rPr>
          <w:color w:val="4F576A"/>
          <w:spacing w:val="-7"/>
          <w:sz w:val="32"/>
        </w:rPr>
        <w:t> </w:t>
      </w:r>
      <w:r>
        <w:rPr>
          <w:color w:val="4F576A"/>
          <w:sz w:val="32"/>
        </w:rPr>
        <w:t>format:</w:t>
      </w:r>
    </w:p>
    <w:p>
      <w:pPr>
        <w:spacing w:line="249" w:lineRule="auto" w:before="16"/>
        <w:ind w:left="1188" w:right="447" w:hanging="272"/>
        <w:jc w:val="left"/>
        <w:rPr>
          <w:rFonts w:ascii="Arial" w:hAnsi="Arial"/>
          <w:i/>
          <w:sz w:val="32"/>
        </w:rPr>
      </w:pPr>
      <w:r>
        <w:rPr>
          <w:rFonts w:ascii="Arial" w:hAnsi="Arial"/>
          <w:i/>
          <w:color w:val="4F576A"/>
          <w:sz w:val="32"/>
        </w:rPr>
        <w:t>i</w:t>
      </w:r>
      <w:r>
        <w:rPr>
          <w:rFonts w:ascii="Arial" w:hAnsi="Arial"/>
          <w:i/>
          <w:color w:val="4F576A"/>
          <w:spacing w:val="-3"/>
          <w:sz w:val="32"/>
        </w:rPr>
        <w:t> </w:t>
      </w:r>
      <w:r>
        <w:rPr>
          <w:rFonts w:ascii="Arial" w:hAnsi="Arial"/>
          <w:i/>
          <w:color w:val="4F576A"/>
          <w:sz w:val="32"/>
        </w:rPr>
        <w:t>.Trial</w:t>
      </w:r>
      <w:r>
        <w:rPr>
          <w:rFonts w:ascii="Arial" w:hAnsi="Arial"/>
          <w:i/>
          <w:color w:val="4F576A"/>
          <w:spacing w:val="-2"/>
          <w:sz w:val="32"/>
        </w:rPr>
        <w:t> </w:t>
      </w:r>
      <w:r>
        <w:rPr>
          <w:rFonts w:ascii="Arial" w:hAnsi="Arial"/>
          <w:i/>
          <w:color w:val="4F576A"/>
          <w:sz w:val="32"/>
        </w:rPr>
        <w:t>Run</w:t>
      </w:r>
      <w:r>
        <w:rPr>
          <w:rFonts w:ascii="Arial" w:hAnsi="Arial"/>
          <w:i/>
          <w:color w:val="4F576A"/>
          <w:spacing w:val="-4"/>
          <w:sz w:val="32"/>
        </w:rPr>
        <w:t> </w:t>
      </w:r>
      <w:r>
        <w:rPr>
          <w:rFonts w:ascii="Arial" w:hAnsi="Arial"/>
          <w:i/>
          <w:color w:val="4F576A"/>
          <w:sz w:val="32"/>
        </w:rPr>
        <w:t>–</w:t>
      </w:r>
      <w:r>
        <w:rPr>
          <w:rFonts w:ascii="Arial" w:hAnsi="Arial"/>
          <w:i/>
          <w:color w:val="4F576A"/>
          <w:spacing w:val="-3"/>
          <w:sz w:val="32"/>
        </w:rPr>
        <w:t> </w:t>
      </w:r>
      <w:r>
        <w:rPr>
          <w:rFonts w:ascii="Arial" w:hAnsi="Arial"/>
          <w:i/>
          <w:color w:val="4F576A"/>
          <w:sz w:val="32"/>
        </w:rPr>
        <w:t>June</w:t>
      </w:r>
      <w:r>
        <w:rPr>
          <w:rFonts w:ascii="Arial" w:hAnsi="Arial"/>
          <w:i/>
          <w:color w:val="4F576A"/>
          <w:spacing w:val="-4"/>
          <w:sz w:val="32"/>
        </w:rPr>
        <w:t> </w:t>
      </w:r>
      <w:r>
        <w:rPr>
          <w:rFonts w:ascii="Arial" w:hAnsi="Arial"/>
          <w:i/>
          <w:color w:val="4F576A"/>
          <w:sz w:val="32"/>
        </w:rPr>
        <w:t>23</w:t>
      </w:r>
      <w:r>
        <w:rPr>
          <w:rFonts w:ascii="Arial" w:hAnsi="Arial"/>
          <w:i/>
          <w:color w:val="4F576A"/>
          <w:spacing w:val="-2"/>
          <w:sz w:val="32"/>
        </w:rPr>
        <w:t> </w:t>
      </w:r>
      <w:r>
        <w:rPr>
          <w:rFonts w:ascii="Arial" w:hAnsi="Arial"/>
          <w:i/>
          <w:color w:val="4F576A"/>
          <w:sz w:val="32"/>
        </w:rPr>
        <w:t>Quarter</w:t>
      </w:r>
      <w:r>
        <w:rPr>
          <w:rFonts w:ascii="Arial" w:hAnsi="Arial"/>
          <w:i/>
          <w:color w:val="4F576A"/>
          <w:spacing w:val="2"/>
          <w:sz w:val="32"/>
        </w:rPr>
        <w:t> </w:t>
      </w:r>
      <w:r>
        <w:rPr>
          <w:rFonts w:ascii="Arial" w:hAnsi="Arial"/>
          <w:i/>
          <w:color w:val="4F576A"/>
          <w:sz w:val="32"/>
        </w:rPr>
        <w:t>to</w:t>
      </w:r>
      <w:r>
        <w:rPr>
          <w:rFonts w:ascii="Arial" w:hAnsi="Arial"/>
          <w:i/>
          <w:color w:val="4F576A"/>
          <w:spacing w:val="-2"/>
          <w:sz w:val="32"/>
        </w:rPr>
        <w:t> </w:t>
      </w:r>
      <w:r>
        <w:rPr>
          <w:rFonts w:ascii="Arial" w:hAnsi="Arial"/>
          <w:i/>
          <w:color w:val="4F576A"/>
          <w:sz w:val="32"/>
        </w:rPr>
        <w:t>be</w:t>
      </w:r>
      <w:r>
        <w:rPr>
          <w:rFonts w:ascii="Arial" w:hAnsi="Arial"/>
          <w:i/>
          <w:color w:val="4F576A"/>
          <w:spacing w:val="-4"/>
          <w:sz w:val="32"/>
        </w:rPr>
        <w:t> </w:t>
      </w:r>
      <w:r>
        <w:rPr>
          <w:rFonts w:ascii="Arial" w:hAnsi="Arial"/>
          <w:i/>
          <w:color w:val="4F576A"/>
          <w:sz w:val="32"/>
        </w:rPr>
        <w:t>completed</w:t>
      </w:r>
      <w:r>
        <w:rPr>
          <w:rFonts w:ascii="Arial" w:hAnsi="Arial"/>
          <w:i/>
          <w:color w:val="4F576A"/>
          <w:spacing w:val="-1"/>
          <w:sz w:val="32"/>
        </w:rPr>
        <w:t> </w:t>
      </w:r>
      <w:r>
        <w:rPr>
          <w:rFonts w:ascii="Arial" w:hAnsi="Arial"/>
          <w:i/>
          <w:color w:val="4F576A"/>
          <w:sz w:val="32"/>
        </w:rPr>
        <w:t>by</w:t>
      </w:r>
      <w:r>
        <w:rPr>
          <w:rFonts w:ascii="Arial" w:hAnsi="Arial"/>
          <w:i/>
          <w:color w:val="4F576A"/>
          <w:spacing w:val="-3"/>
          <w:sz w:val="32"/>
        </w:rPr>
        <w:t> </w:t>
      </w:r>
      <w:r>
        <w:rPr>
          <w:rFonts w:ascii="Arial" w:hAnsi="Arial"/>
          <w:i/>
          <w:color w:val="4F576A"/>
          <w:sz w:val="32"/>
        </w:rPr>
        <w:t>October</w:t>
      </w:r>
      <w:r>
        <w:rPr>
          <w:rFonts w:ascii="Arial" w:hAnsi="Arial"/>
          <w:i/>
          <w:color w:val="4F576A"/>
          <w:spacing w:val="2"/>
          <w:sz w:val="32"/>
        </w:rPr>
        <w:t> </w:t>
      </w:r>
      <w:r>
        <w:rPr>
          <w:rFonts w:ascii="Arial" w:hAnsi="Arial"/>
          <w:i/>
          <w:color w:val="4F576A"/>
          <w:sz w:val="32"/>
        </w:rPr>
        <w:t>15,</w:t>
      </w:r>
      <w:r>
        <w:rPr>
          <w:rFonts w:ascii="Arial" w:hAnsi="Arial"/>
          <w:i/>
          <w:color w:val="4F576A"/>
          <w:spacing w:val="-86"/>
          <w:sz w:val="32"/>
        </w:rPr>
        <w:t> </w:t>
      </w:r>
      <w:r>
        <w:rPr>
          <w:rFonts w:ascii="Arial" w:hAnsi="Arial"/>
          <w:i/>
          <w:color w:val="4F576A"/>
          <w:sz w:val="32"/>
        </w:rPr>
        <w:t>2023</w:t>
      </w:r>
    </w:p>
    <w:p>
      <w:pPr>
        <w:pStyle w:val="ListParagraph"/>
        <w:numPr>
          <w:ilvl w:val="0"/>
          <w:numId w:val="10"/>
        </w:numPr>
        <w:tabs>
          <w:tab w:pos="1239" w:val="left" w:leader="none"/>
        </w:tabs>
        <w:spacing w:line="240" w:lineRule="auto" w:before="2" w:after="0"/>
        <w:ind w:left="1238" w:right="0" w:hanging="323"/>
        <w:jc w:val="left"/>
        <w:rPr>
          <w:rFonts w:ascii="Arial"/>
          <w:i/>
          <w:sz w:val="32"/>
        </w:rPr>
      </w:pPr>
      <w:r>
        <w:rPr>
          <w:rFonts w:ascii="Arial"/>
          <w:i/>
          <w:color w:val="4F576A"/>
          <w:sz w:val="32"/>
        </w:rPr>
        <w:t>Sept</w:t>
      </w:r>
      <w:r>
        <w:rPr>
          <w:rFonts w:ascii="Arial"/>
          <w:i/>
          <w:color w:val="4F576A"/>
          <w:spacing w:val="-3"/>
          <w:sz w:val="32"/>
        </w:rPr>
        <w:t> </w:t>
      </w:r>
      <w:r>
        <w:rPr>
          <w:rFonts w:ascii="Arial"/>
          <w:i/>
          <w:color w:val="4F576A"/>
          <w:sz w:val="32"/>
        </w:rPr>
        <w:t>23 Quarter</w:t>
      </w:r>
      <w:r>
        <w:rPr>
          <w:rFonts w:ascii="Arial"/>
          <w:i/>
          <w:color w:val="4F576A"/>
          <w:spacing w:val="3"/>
          <w:sz w:val="32"/>
        </w:rPr>
        <w:t> </w:t>
      </w:r>
      <w:r>
        <w:rPr>
          <w:rFonts w:ascii="Arial"/>
          <w:i/>
          <w:color w:val="4F576A"/>
          <w:sz w:val="32"/>
        </w:rPr>
        <w:t>to</w:t>
      </w:r>
      <w:r>
        <w:rPr>
          <w:rFonts w:ascii="Arial"/>
          <w:i/>
          <w:color w:val="4F576A"/>
          <w:spacing w:val="-1"/>
          <w:sz w:val="32"/>
        </w:rPr>
        <w:t> </w:t>
      </w:r>
      <w:r>
        <w:rPr>
          <w:rFonts w:ascii="Arial"/>
          <w:i/>
          <w:color w:val="4F576A"/>
          <w:sz w:val="32"/>
        </w:rPr>
        <w:t>be completed</w:t>
      </w:r>
      <w:r>
        <w:rPr>
          <w:rFonts w:ascii="Arial"/>
          <w:i/>
          <w:color w:val="4F576A"/>
          <w:spacing w:val="2"/>
          <w:sz w:val="32"/>
        </w:rPr>
        <w:t> </w:t>
      </w:r>
      <w:r>
        <w:rPr>
          <w:rFonts w:ascii="Arial"/>
          <w:i/>
          <w:color w:val="4F576A"/>
          <w:sz w:val="32"/>
        </w:rPr>
        <w:t>by</w:t>
      </w:r>
      <w:r>
        <w:rPr>
          <w:rFonts w:ascii="Arial"/>
          <w:i/>
          <w:color w:val="4F576A"/>
          <w:spacing w:val="-1"/>
          <w:sz w:val="32"/>
        </w:rPr>
        <w:t> </w:t>
      </w:r>
      <w:r>
        <w:rPr>
          <w:rFonts w:ascii="Arial"/>
          <w:i/>
          <w:color w:val="4F576A"/>
          <w:sz w:val="32"/>
        </w:rPr>
        <w:t>November</w:t>
      </w:r>
      <w:r>
        <w:rPr>
          <w:rFonts w:ascii="Arial"/>
          <w:i/>
          <w:color w:val="4F576A"/>
          <w:spacing w:val="2"/>
          <w:sz w:val="32"/>
        </w:rPr>
        <w:t> </w:t>
      </w:r>
      <w:r>
        <w:rPr>
          <w:rFonts w:ascii="Arial"/>
          <w:i/>
          <w:color w:val="4F576A"/>
          <w:sz w:val="32"/>
        </w:rPr>
        <w:t>15, 2023</w:t>
      </w:r>
    </w:p>
    <w:p>
      <w:pPr>
        <w:pStyle w:val="ListParagraph"/>
        <w:numPr>
          <w:ilvl w:val="0"/>
          <w:numId w:val="10"/>
        </w:numPr>
        <w:tabs>
          <w:tab w:pos="1308" w:val="left" w:leader="none"/>
        </w:tabs>
        <w:spacing w:line="249" w:lineRule="auto" w:before="16" w:after="0"/>
        <w:ind w:left="1276" w:right="879" w:hanging="360"/>
        <w:jc w:val="left"/>
        <w:rPr>
          <w:rFonts w:ascii="Arial"/>
          <w:i/>
          <w:sz w:val="32"/>
        </w:rPr>
      </w:pPr>
      <w:r>
        <w:rPr>
          <w:rFonts w:ascii="Arial"/>
          <w:i/>
          <w:color w:val="4F576A"/>
          <w:sz w:val="32"/>
        </w:rPr>
        <w:t>Dec 2023 Quarter onwards Within 15 calendar days from the</w:t>
      </w:r>
      <w:r>
        <w:rPr>
          <w:rFonts w:ascii="Arial"/>
          <w:i/>
          <w:color w:val="4F576A"/>
          <w:spacing w:val="-86"/>
          <w:sz w:val="32"/>
        </w:rPr>
        <w:t> </w:t>
      </w:r>
      <w:r>
        <w:rPr>
          <w:rFonts w:ascii="Arial"/>
          <w:i/>
          <w:color w:val="4F576A"/>
          <w:sz w:val="32"/>
        </w:rPr>
        <w:t>end</w:t>
      </w:r>
      <w:r>
        <w:rPr>
          <w:rFonts w:ascii="Arial"/>
          <w:i/>
          <w:color w:val="4F576A"/>
          <w:spacing w:val="1"/>
          <w:sz w:val="32"/>
        </w:rPr>
        <w:t> </w:t>
      </w:r>
      <w:r>
        <w:rPr>
          <w:rFonts w:ascii="Arial"/>
          <w:i/>
          <w:color w:val="4F576A"/>
          <w:sz w:val="32"/>
        </w:rPr>
        <w:t>of</w:t>
      </w:r>
      <w:r>
        <w:rPr>
          <w:rFonts w:ascii="Arial"/>
          <w:i/>
          <w:color w:val="4F576A"/>
          <w:spacing w:val="2"/>
          <w:sz w:val="32"/>
        </w:rPr>
        <w:t> </w:t>
      </w:r>
      <w:r>
        <w:rPr>
          <w:rFonts w:ascii="Arial"/>
          <w:i/>
          <w:color w:val="4F576A"/>
          <w:sz w:val="32"/>
        </w:rPr>
        <w:t>each quarter</w:t>
      </w:r>
    </w:p>
    <w:p>
      <w:pPr>
        <w:pStyle w:val="ListParagraph"/>
        <w:numPr>
          <w:ilvl w:val="0"/>
          <w:numId w:val="8"/>
        </w:numPr>
        <w:tabs>
          <w:tab w:pos="740" w:val="left" w:leader="none"/>
        </w:tabs>
        <w:spacing w:line="249" w:lineRule="auto" w:before="3" w:after="0"/>
        <w:ind w:left="739" w:right="28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More elaborate format of reporting covering detailed information on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investments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made.</w:t>
      </w:r>
    </w:p>
    <w:p>
      <w:pPr>
        <w:pStyle w:val="ListParagraph"/>
        <w:numPr>
          <w:ilvl w:val="0"/>
          <w:numId w:val="8"/>
        </w:numPr>
        <w:tabs>
          <w:tab w:pos="739" w:val="left" w:leader="none"/>
          <w:tab w:pos="740" w:val="left" w:leader="none"/>
        </w:tabs>
        <w:spacing w:line="240" w:lineRule="auto" w:before="3" w:after="0"/>
        <w:ind w:left="739" w:right="0" w:hanging="453"/>
        <w:jc w:val="left"/>
        <w:rPr>
          <w:color w:val="394558"/>
          <w:sz w:val="32"/>
        </w:rPr>
      </w:pPr>
      <w:r>
        <w:rPr/>
        <w:pict>
          <v:shape style="position:absolute;margin-left:11.448pt;margin-top:31.818708pt;width:517.7pt;height:17pt;mso-position-horizontal-relative:page;mso-position-vertical-relative:paragraph;z-index:-16058880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29.557631pt;width:539.950pt;height:20.4pt;mso-position-horizontal-relative:page;mso-position-vertical-relative:paragraph;z-index:15733248" coordorigin="0,591" coordsize="10799,408">
            <v:rect style="position:absolute;left:0;top:591;width:10799;height:408" filled="true" fillcolor="#36394f" stroked="false">
              <v:fill type="solid"/>
            </v:rect>
            <v:shape style="position:absolute;left:117;top:615;width:2788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4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16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27;top:615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0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Circular</w:t>
        </w:r>
      </w:hyperlink>
    </w:p>
    <w:p>
      <w:pPr>
        <w:spacing w:after="0" w:line="240" w:lineRule="auto"/>
        <w:jc w:val="left"/>
        <w:rPr>
          <w:sz w:val="32"/>
        </w:rPr>
        <w:sectPr>
          <w:pgSz w:w="10800" w:h="19200"/>
          <w:pgMar w:top="20" w:bottom="0" w:left="0" w:right="0"/>
        </w:sectPr>
      </w:pPr>
    </w:p>
    <w:p>
      <w:pPr>
        <w:tabs>
          <w:tab w:pos="5198" w:val="left" w:leader="none"/>
        </w:tabs>
        <w:spacing w:line="240" w:lineRule="auto"/>
        <w:ind w:left="818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55296" filled="true" fillcolor="#fdfcf8" stroked="false">
            <v:fill type="solid"/>
            <w10:wrap type="none"/>
          </v:rect>
        </w:pict>
      </w:r>
      <w:r>
        <w:rPr>
          <w:position w:val="26"/>
          <w:sz w:val="20"/>
        </w:rPr>
        <w:drawing>
          <wp:inline distT="0" distB="0" distL="0" distR="0">
            <wp:extent cx="2590228" cy="1536858"/>
            <wp:effectExtent l="0" t="0" r="0" b="0"/>
            <wp:docPr id="5" name="image3.jpeg" descr="A picture containing text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228" cy="153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6"/>
          <w:sz w:val="20"/>
        </w:rPr>
      </w:r>
      <w:r>
        <w:rPr>
          <w:position w:val="26"/>
          <w:sz w:val="20"/>
        </w:rPr>
        <w:tab/>
      </w:r>
      <w:r>
        <w:rPr>
          <w:sz w:val="20"/>
        </w:rPr>
        <w:pict>
          <v:group style="width:275.3pt;height:161.75pt;mso-position-horizontal-relative:char;mso-position-vertical-relative:line" coordorigin="0,0" coordsize="5506,3235">
            <v:rect style="position:absolute;left:3924;top:0;width:860;height:2748" filled="true" fillcolor="#ebcf6a" stroked="false">
              <v:fill type="solid"/>
            </v:rect>
            <v:shape style="position:absolute;left:3283;top:323;width:1786;height:1798" type="#_x0000_t75" stroked="false">
              <v:imagedata r:id="rId5" o:title=""/>
            </v:shape>
            <v:shape style="position:absolute;left:0;top:2747;width:5506;height:488" type="#_x0000_t202" filled="true" fillcolor="#394558" stroked="false">
              <v:textbox inset="0,0,0,0">
                <w:txbxContent>
                  <w:p>
                    <w:pPr>
                      <w:spacing w:before="13"/>
                      <w:ind w:left="1139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3" w:id="3"/>
                    <w:bookmarkEnd w:id="3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SECURITIES</w:t>
                    </w:r>
                    <w:r>
                      <w:rPr>
                        <w:rFonts w:ascii="Arial"/>
                        <w:b/>
                        <w:color w:val="EBCF6A"/>
                        <w:spacing w:val="56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2"/>
        <w:numPr>
          <w:ilvl w:val="0"/>
          <w:numId w:val="9"/>
        </w:numPr>
        <w:tabs>
          <w:tab w:pos="886" w:val="left" w:leader="none"/>
          <w:tab w:pos="887" w:val="left" w:leader="none"/>
          <w:tab w:pos="4335" w:val="left" w:leader="none"/>
          <w:tab w:pos="9055" w:val="left" w:leader="none"/>
          <w:tab w:pos="10202" w:val="left" w:leader="none"/>
        </w:tabs>
        <w:spacing w:line="249" w:lineRule="auto" w:before="89" w:after="0"/>
        <w:ind w:left="886" w:right="290" w:hanging="540"/>
        <w:jc w:val="left"/>
      </w:pPr>
      <w:r>
        <w:rPr>
          <w:color w:val="4F576A"/>
        </w:rPr>
        <w:t>Investors’</w:t>
      </w:r>
      <w:r>
        <w:rPr>
          <w:color w:val="4F576A"/>
          <w:spacing w:val="111"/>
        </w:rPr>
        <w:t> </w:t>
      </w:r>
      <w:r>
        <w:rPr>
          <w:color w:val="4F576A"/>
        </w:rPr>
        <w:t>complaint</w:t>
        <w:tab/>
        <w:t>redressal</w:t>
      </w:r>
      <w:r>
        <w:rPr>
          <w:color w:val="4F576A"/>
          <w:spacing w:val="129"/>
        </w:rPr>
        <w:t> </w:t>
      </w:r>
      <w:r>
        <w:rPr>
          <w:color w:val="4F576A"/>
        </w:rPr>
        <w:t>platform</w:t>
      </w:r>
      <w:r>
        <w:rPr>
          <w:color w:val="4F576A"/>
          <w:spacing w:val="130"/>
        </w:rPr>
        <w:t> </w:t>
      </w:r>
      <w:r>
        <w:rPr>
          <w:color w:val="4F576A"/>
        </w:rPr>
        <w:t>SCORES</w:t>
        <w:tab/>
        <w:t>linked</w:t>
        <w:tab/>
      </w:r>
      <w:r>
        <w:rPr>
          <w:color w:val="4F576A"/>
          <w:spacing w:val="-1"/>
        </w:rPr>
        <w:t>to</w:t>
      </w:r>
      <w:r>
        <w:rPr>
          <w:color w:val="4F576A"/>
          <w:spacing w:val="-86"/>
        </w:rPr>
        <w:t> </w:t>
      </w:r>
      <w:r>
        <w:rPr>
          <w:color w:val="4F576A"/>
        </w:rPr>
        <w:t>online</w:t>
      </w:r>
      <w:r>
        <w:rPr>
          <w:color w:val="4F576A"/>
          <w:spacing w:val="3"/>
        </w:rPr>
        <w:t> </w:t>
      </w:r>
      <w:r>
        <w:rPr>
          <w:color w:val="4F576A"/>
        </w:rPr>
        <w:t>dispute</w:t>
      </w:r>
      <w:r>
        <w:rPr>
          <w:color w:val="4F576A"/>
          <w:spacing w:val="7"/>
        </w:rPr>
        <w:t> </w:t>
      </w:r>
      <w:r>
        <w:rPr>
          <w:color w:val="4F576A"/>
        </w:rPr>
        <w:t>resolution</w:t>
      </w:r>
    </w:p>
    <w:p>
      <w:pPr>
        <w:pStyle w:val="BodyText"/>
        <w:spacing w:before="7"/>
        <w:rPr>
          <w:rFonts w:ascii="Arial"/>
          <w:b/>
          <w:sz w:val="33"/>
        </w:rPr>
      </w:pPr>
    </w:p>
    <w:p>
      <w:pPr>
        <w:pStyle w:val="ListParagraph"/>
        <w:numPr>
          <w:ilvl w:val="0"/>
          <w:numId w:val="8"/>
        </w:numPr>
        <w:tabs>
          <w:tab w:pos="886" w:val="left" w:leader="none"/>
          <w:tab w:pos="887" w:val="left" w:leader="none"/>
        </w:tabs>
        <w:spacing w:line="249" w:lineRule="auto" w:before="0" w:after="0"/>
        <w:ind w:left="886" w:right="295" w:hanging="540"/>
        <w:jc w:val="left"/>
        <w:rPr>
          <w:color w:val="4F576A"/>
          <w:sz w:val="32"/>
        </w:rPr>
      </w:pPr>
      <w:r>
        <w:rPr>
          <w:color w:val="4F576A"/>
          <w:sz w:val="32"/>
        </w:rPr>
        <w:t>Investors’</w:t>
      </w:r>
      <w:r>
        <w:rPr>
          <w:color w:val="4F576A"/>
          <w:spacing w:val="41"/>
          <w:sz w:val="32"/>
        </w:rPr>
        <w:t> </w:t>
      </w:r>
      <w:r>
        <w:rPr>
          <w:color w:val="4F576A"/>
          <w:sz w:val="32"/>
        </w:rPr>
        <w:t>complaints</w:t>
      </w:r>
      <w:r>
        <w:rPr>
          <w:color w:val="4F576A"/>
          <w:spacing w:val="52"/>
          <w:sz w:val="32"/>
        </w:rPr>
        <w:t> </w:t>
      </w:r>
      <w:r>
        <w:rPr>
          <w:color w:val="4F576A"/>
          <w:sz w:val="32"/>
        </w:rPr>
        <w:t>will</w:t>
      </w:r>
      <w:r>
        <w:rPr>
          <w:color w:val="4F576A"/>
          <w:spacing w:val="53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51"/>
          <w:sz w:val="32"/>
        </w:rPr>
        <w:t> </w:t>
      </w:r>
      <w:r>
        <w:rPr>
          <w:color w:val="4F576A"/>
          <w:sz w:val="32"/>
        </w:rPr>
        <w:t>handled</w:t>
      </w:r>
      <w:r>
        <w:rPr>
          <w:color w:val="4F576A"/>
          <w:spacing w:val="51"/>
          <w:sz w:val="32"/>
        </w:rPr>
        <w:t> </w:t>
      </w:r>
      <w:r>
        <w:rPr>
          <w:color w:val="4F576A"/>
          <w:sz w:val="32"/>
        </w:rPr>
        <w:t>through</w:t>
      </w:r>
      <w:r>
        <w:rPr>
          <w:color w:val="4F576A"/>
          <w:spacing w:val="49"/>
          <w:sz w:val="32"/>
        </w:rPr>
        <w:t> </w:t>
      </w:r>
      <w:r>
        <w:rPr>
          <w:color w:val="4F576A"/>
          <w:sz w:val="32"/>
        </w:rPr>
        <w:t>auto-escalation</w:t>
      </w:r>
      <w:r>
        <w:rPr>
          <w:color w:val="4F576A"/>
          <w:spacing w:val="53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auto-routing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process.</w:t>
      </w:r>
    </w:p>
    <w:p>
      <w:pPr>
        <w:pStyle w:val="ListParagraph"/>
        <w:numPr>
          <w:ilvl w:val="0"/>
          <w:numId w:val="8"/>
        </w:numPr>
        <w:tabs>
          <w:tab w:pos="886" w:val="left" w:leader="none"/>
          <w:tab w:pos="887" w:val="left" w:leader="none"/>
        </w:tabs>
        <w:spacing w:line="240" w:lineRule="auto" w:before="3" w:after="0"/>
        <w:ind w:left="886" w:right="0" w:hanging="541"/>
        <w:jc w:val="left"/>
        <w:rPr>
          <w:color w:val="4F576A"/>
          <w:sz w:val="32"/>
        </w:rPr>
      </w:pPr>
      <w:r>
        <w:rPr>
          <w:color w:val="4F576A"/>
          <w:sz w:val="32"/>
        </w:rPr>
        <w:t>Action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taken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report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within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21 days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date of receipt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of complaint.</w:t>
      </w:r>
    </w:p>
    <w:p>
      <w:pPr>
        <w:pStyle w:val="ListParagraph"/>
        <w:numPr>
          <w:ilvl w:val="0"/>
          <w:numId w:val="8"/>
        </w:numPr>
        <w:tabs>
          <w:tab w:pos="886" w:val="left" w:leader="none"/>
          <w:tab w:pos="887" w:val="left" w:leader="none"/>
        </w:tabs>
        <w:spacing w:line="240" w:lineRule="auto" w:before="17" w:after="0"/>
        <w:ind w:left="886" w:right="0" w:hanging="541"/>
        <w:jc w:val="left"/>
        <w:rPr>
          <w:color w:val="4F576A"/>
          <w:sz w:val="32"/>
        </w:rPr>
      </w:pPr>
      <w:r>
        <w:rPr>
          <w:color w:val="4F576A"/>
          <w:sz w:val="32"/>
        </w:rPr>
        <w:t>Effective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from Dec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4</w:t>
      </w:r>
      <w:r>
        <w:rPr>
          <w:color w:val="4F576A"/>
          <w:position w:val="10"/>
          <w:sz w:val="21"/>
        </w:rPr>
        <w:t>th</w:t>
      </w:r>
      <w:r>
        <w:rPr>
          <w:color w:val="4F576A"/>
          <w:sz w:val="32"/>
        </w:rPr>
        <w:t>,2023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onwards.</w:t>
      </w:r>
    </w:p>
    <w:p>
      <w:pPr>
        <w:pStyle w:val="ListParagraph"/>
        <w:numPr>
          <w:ilvl w:val="0"/>
          <w:numId w:val="8"/>
        </w:numPr>
        <w:tabs>
          <w:tab w:pos="886" w:val="left" w:leader="none"/>
          <w:tab w:pos="887" w:val="left" w:leader="none"/>
        </w:tabs>
        <w:spacing w:line="240" w:lineRule="auto" w:before="16" w:after="0"/>
        <w:ind w:left="886" w:right="0" w:hanging="541"/>
        <w:jc w:val="left"/>
        <w:rPr>
          <w:color w:val="394558"/>
          <w:sz w:val="32"/>
        </w:rPr>
      </w:pPr>
      <w:hyperlink r:id="rId11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 for</w:t>
        </w:r>
        <w:r>
          <w:rPr>
            <w:color w:val="56C1B8"/>
            <w:spacing w:val="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Circular</w:t>
        </w:r>
      </w:hyperlink>
    </w:p>
    <w:p>
      <w:pPr>
        <w:pStyle w:val="BodyText"/>
        <w:spacing w:before="1"/>
        <w:rPr>
          <w:sz w:val="30"/>
        </w:rPr>
      </w:pPr>
    </w:p>
    <w:p>
      <w:pPr>
        <w:tabs>
          <w:tab w:pos="6268" w:val="left" w:leader="none"/>
          <w:tab w:pos="10627" w:val="left" w:leader="none"/>
        </w:tabs>
        <w:spacing w:before="0"/>
        <w:ind w:left="585" w:right="0" w:firstLine="0"/>
        <w:jc w:val="left"/>
        <w:rPr>
          <w:rFonts w:ascii="Arial"/>
          <w:b/>
          <w:sz w:val="40"/>
        </w:rPr>
      </w:pPr>
      <w:r>
        <w:rPr>
          <w:position w:val="-24"/>
        </w:rPr>
        <w:drawing>
          <wp:inline distT="0" distB="0" distL="0" distR="0">
            <wp:extent cx="2738382" cy="1664197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382" cy="166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4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-21"/>
          <w:sz w:val="20"/>
        </w:rPr>
        <w:t> </w:t>
      </w:r>
      <w:r>
        <w:rPr>
          <w:rFonts w:ascii="Arial"/>
          <w:b/>
          <w:color w:val="EBCF6A"/>
          <w:w w:val="100"/>
          <w:sz w:val="40"/>
          <w:shd w:fill="36394F" w:color="auto" w:val="clear"/>
        </w:rPr>
        <w:t> </w:t>
      </w:r>
      <w:r>
        <w:rPr>
          <w:rFonts w:ascii="Arial"/>
          <w:b/>
          <w:color w:val="EBCF6A"/>
          <w:sz w:val="40"/>
          <w:shd w:fill="36394F" w:color="auto" w:val="clear"/>
        </w:rPr>
        <w:tab/>
      </w:r>
      <w:r>
        <w:rPr>
          <w:rFonts w:ascii="Arial"/>
          <w:b/>
          <w:color w:val="EBCF6A"/>
          <w:spacing w:val="-6"/>
          <w:sz w:val="40"/>
          <w:shd w:fill="36394F" w:color="auto" w:val="clear"/>
        </w:rPr>
        <w:t>INSOLVENCY</w:t>
      </w:r>
      <w:r>
        <w:rPr>
          <w:rFonts w:ascii="Arial"/>
          <w:b/>
          <w:color w:val="EBCF6A"/>
          <w:spacing w:val="-19"/>
          <w:sz w:val="40"/>
          <w:shd w:fill="36394F" w:color="auto" w:val="clear"/>
        </w:rPr>
        <w:t> </w:t>
      </w:r>
      <w:r>
        <w:rPr>
          <w:rFonts w:ascii="Arial"/>
          <w:b/>
          <w:color w:val="EBCF6A"/>
          <w:spacing w:val="-6"/>
          <w:sz w:val="40"/>
          <w:shd w:fill="36394F" w:color="auto" w:val="clear"/>
        </w:rPr>
        <w:t>LAW</w:t>
        <w:tab/>
      </w:r>
    </w:p>
    <w:p>
      <w:pPr>
        <w:pStyle w:val="Heading2"/>
        <w:numPr>
          <w:ilvl w:val="0"/>
          <w:numId w:val="11"/>
        </w:numPr>
        <w:tabs>
          <w:tab w:pos="741" w:val="left" w:leader="none"/>
          <w:tab w:pos="742" w:val="left" w:leader="none"/>
        </w:tabs>
        <w:spacing w:line="249" w:lineRule="auto" w:before="592" w:after="0"/>
        <w:ind w:left="741" w:right="200" w:hanging="541"/>
        <w:jc w:val="left"/>
      </w:pPr>
      <w:r>
        <w:rPr>
          <w:color w:val="4F576A"/>
        </w:rPr>
        <w:t>IBBI</w:t>
      </w:r>
      <w:r>
        <w:rPr>
          <w:color w:val="4F576A"/>
          <w:spacing w:val="27"/>
        </w:rPr>
        <w:t> </w:t>
      </w:r>
      <w:r>
        <w:rPr>
          <w:color w:val="4F576A"/>
        </w:rPr>
        <w:t>(Insolvency</w:t>
      </w:r>
      <w:r>
        <w:rPr>
          <w:color w:val="4F576A"/>
          <w:spacing w:val="25"/>
        </w:rPr>
        <w:t> </w:t>
      </w:r>
      <w:r>
        <w:rPr>
          <w:color w:val="4F576A"/>
        </w:rPr>
        <w:t>Resolution</w:t>
      </w:r>
      <w:r>
        <w:rPr>
          <w:color w:val="4F576A"/>
          <w:spacing w:val="26"/>
        </w:rPr>
        <w:t> </w:t>
      </w:r>
      <w:r>
        <w:rPr>
          <w:color w:val="4F576A"/>
        </w:rPr>
        <w:t>Process</w:t>
      </w:r>
      <w:r>
        <w:rPr>
          <w:color w:val="4F576A"/>
          <w:spacing w:val="25"/>
        </w:rPr>
        <w:t> </w:t>
      </w:r>
      <w:r>
        <w:rPr>
          <w:color w:val="4F576A"/>
        </w:rPr>
        <w:t>for</w:t>
      </w:r>
      <w:r>
        <w:rPr>
          <w:color w:val="4F576A"/>
          <w:spacing w:val="25"/>
        </w:rPr>
        <w:t> </w:t>
      </w:r>
      <w:r>
        <w:rPr>
          <w:color w:val="4F576A"/>
        </w:rPr>
        <w:t>Corporate</w:t>
      </w:r>
      <w:r>
        <w:rPr>
          <w:color w:val="4F576A"/>
          <w:spacing w:val="26"/>
        </w:rPr>
        <w:t> </w:t>
      </w:r>
      <w:r>
        <w:rPr>
          <w:color w:val="4F576A"/>
        </w:rPr>
        <w:t>Persons)</w:t>
      </w:r>
      <w:r>
        <w:rPr>
          <w:color w:val="4F576A"/>
          <w:spacing w:val="-86"/>
        </w:rPr>
        <w:t> </w:t>
      </w:r>
      <w:r>
        <w:rPr>
          <w:color w:val="4F576A"/>
        </w:rPr>
        <w:t>(Second</w:t>
      </w:r>
      <w:r>
        <w:rPr>
          <w:color w:val="4F576A"/>
          <w:spacing w:val="-9"/>
        </w:rPr>
        <w:t> </w:t>
      </w:r>
      <w:r>
        <w:rPr>
          <w:color w:val="4F576A"/>
        </w:rPr>
        <w:t>Amendment)</w:t>
      </w:r>
      <w:r>
        <w:rPr>
          <w:color w:val="4F576A"/>
          <w:spacing w:val="13"/>
        </w:rPr>
        <w:t> </w:t>
      </w:r>
      <w:r>
        <w:rPr>
          <w:color w:val="4F576A"/>
        </w:rPr>
        <w:t>Regulations,</w:t>
      </w:r>
      <w:r>
        <w:rPr>
          <w:color w:val="4F576A"/>
          <w:spacing w:val="6"/>
        </w:rPr>
        <w:t> </w:t>
      </w:r>
      <w:r>
        <w:rPr>
          <w:color w:val="4F576A"/>
        </w:rPr>
        <w:t>2023</w:t>
      </w:r>
    </w:p>
    <w:p>
      <w:pPr>
        <w:pStyle w:val="BodyText"/>
        <w:spacing w:before="7"/>
        <w:rPr>
          <w:rFonts w:ascii="Arial"/>
          <w:b/>
          <w:sz w:val="33"/>
        </w:rPr>
      </w:pPr>
    </w:p>
    <w:p>
      <w:pPr>
        <w:pStyle w:val="ListParagraph"/>
        <w:numPr>
          <w:ilvl w:val="0"/>
          <w:numId w:val="12"/>
        </w:numPr>
        <w:tabs>
          <w:tab w:pos="653" w:val="left" w:leader="none"/>
        </w:tabs>
        <w:spacing w:line="249" w:lineRule="auto" w:before="0" w:after="0"/>
        <w:ind w:left="652" w:right="19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While filing an application the creditors shall also submit along with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evidence, chronology of the debt and default including the dates when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debt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became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due,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default,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part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payments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made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&amp;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last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acknowledgment 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debt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limitation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applicable.</w:t>
      </w:r>
    </w:p>
    <w:p>
      <w:pPr>
        <w:pStyle w:val="ListParagraph"/>
        <w:numPr>
          <w:ilvl w:val="0"/>
          <w:numId w:val="12"/>
        </w:numPr>
        <w:tabs>
          <w:tab w:pos="653" w:val="left" w:leader="none"/>
        </w:tabs>
        <w:spacing w:line="249" w:lineRule="auto" w:before="5" w:after="0"/>
        <w:ind w:left="652" w:right="198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Insertion of Regulation 3A: RP to take custody &amp; control of assets &amp;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records with the assistance and co-operation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by the personnel 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Corporate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Debtor.</w:t>
      </w:r>
    </w:p>
    <w:p>
      <w:pPr>
        <w:pStyle w:val="ListParagraph"/>
        <w:numPr>
          <w:ilvl w:val="0"/>
          <w:numId w:val="12"/>
        </w:numPr>
        <w:tabs>
          <w:tab w:pos="653" w:val="left" w:leader="none"/>
        </w:tabs>
        <w:spacing w:line="249" w:lineRule="auto" w:before="5" w:after="0"/>
        <w:ind w:left="652" w:right="19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Extension of timeline for claim submission to either 90 days from 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insolvency commencement date or the date of issue of the latest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RFRP,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whichever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is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later.</w:t>
      </w:r>
    </w:p>
    <w:p>
      <w:pPr>
        <w:pStyle w:val="ListParagraph"/>
        <w:numPr>
          <w:ilvl w:val="0"/>
          <w:numId w:val="12"/>
        </w:numPr>
        <w:tabs>
          <w:tab w:pos="653" w:val="left" w:leader="none"/>
        </w:tabs>
        <w:spacing w:line="249" w:lineRule="auto" w:before="4" w:after="0"/>
        <w:ind w:left="652" w:right="19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CoC member(s)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can submit 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proposal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for audit giving its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scope,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objective, estimate of costs, proposed auditor. The same is to be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approved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by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CoC.</w:t>
      </w:r>
    </w:p>
    <w:p>
      <w:pPr>
        <w:pStyle w:val="ListParagraph"/>
        <w:numPr>
          <w:ilvl w:val="0"/>
          <w:numId w:val="12"/>
        </w:numPr>
        <w:tabs>
          <w:tab w:pos="653" w:val="left" w:leader="none"/>
        </w:tabs>
        <w:spacing w:line="249" w:lineRule="auto" w:before="4" w:after="0"/>
        <w:ind w:left="652" w:right="19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Responsibilities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prescribed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revised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fees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paid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authorized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representative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creditors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meeting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committee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attended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by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him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their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fees to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part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CIRP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cost.</w:t>
      </w:r>
    </w:p>
    <w:p>
      <w:pPr>
        <w:pStyle w:val="ListParagraph"/>
        <w:numPr>
          <w:ilvl w:val="0"/>
          <w:numId w:val="12"/>
        </w:numPr>
        <w:tabs>
          <w:tab w:pos="653" w:val="left" w:leader="none"/>
        </w:tabs>
        <w:spacing w:line="240" w:lineRule="auto" w:before="3" w:after="0"/>
        <w:ind w:left="652" w:right="0" w:hanging="453"/>
        <w:jc w:val="both"/>
        <w:rPr>
          <w:color w:val="67C6C0"/>
          <w:sz w:val="32"/>
        </w:rPr>
      </w:pPr>
      <w:r>
        <w:rPr/>
        <w:pict>
          <v:shape style="position:absolute;margin-left:11.448pt;margin-top:51.162712pt;width:517.7pt;height:17pt;mso-position-horizontal-relative:page;mso-position-vertical-relative:paragraph;z-index:-16055808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48.901634pt;width:539.950pt;height:20.4pt;mso-position-horizontal-relative:page;mso-position-vertical-relative:paragraph;z-index:15735808" coordorigin="0,978" coordsize="10799,408">
            <v:rect style="position:absolute;left:0;top:978;width:10799;height:408" filled="true" fillcolor="#36394f" stroked="false">
              <v:fill type="solid"/>
            </v:rect>
            <v:shape style="position:absolute;left:117;top:1002;width:281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4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10;top:1002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3">
        <w:r>
          <w:rPr>
            <w:color w:val="67C6C0"/>
            <w:sz w:val="32"/>
            <w:u w:val="thick" w:color="67C6C0"/>
          </w:rPr>
          <w:t>Click</w:t>
        </w:r>
        <w:r>
          <w:rPr>
            <w:color w:val="67C6C0"/>
            <w:spacing w:val="-5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here</w:t>
        </w:r>
        <w:r>
          <w:rPr>
            <w:color w:val="67C6C0"/>
            <w:spacing w:val="-1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for</w:t>
        </w:r>
        <w:r>
          <w:rPr>
            <w:color w:val="67C6C0"/>
            <w:spacing w:val="2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Notification</w:t>
        </w:r>
      </w:hyperlink>
    </w:p>
    <w:p>
      <w:pPr>
        <w:spacing w:after="0" w:line="240" w:lineRule="auto"/>
        <w:jc w:val="both"/>
        <w:rPr>
          <w:sz w:val="32"/>
        </w:rPr>
        <w:sectPr>
          <w:pgSz w:w="10800" w:h="19200"/>
          <w:pgMar w:top="0" w:bottom="0" w:left="0" w:right="0"/>
        </w:sectPr>
      </w:pPr>
    </w:p>
    <w:p>
      <w:pPr>
        <w:tabs>
          <w:tab w:pos="5335" w:val="left" w:leader="none"/>
        </w:tabs>
        <w:spacing w:line="240" w:lineRule="auto"/>
        <w:ind w:left="588" w:right="-15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53248" filled="true" fillcolor="#fdfcf8" stroked="false">
            <v:fill type="solid"/>
            <w10:wrap type="none"/>
          </v:rect>
        </w:pict>
      </w:r>
      <w:r>
        <w:rPr>
          <w:position w:val="35"/>
          <w:sz w:val="20"/>
        </w:rPr>
        <w:drawing>
          <wp:inline distT="0" distB="0" distL="0" distR="0">
            <wp:extent cx="2719278" cy="1652587"/>
            <wp:effectExtent l="0" t="0" r="0" b="0"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278" cy="165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5"/>
          <w:sz w:val="20"/>
        </w:rPr>
      </w:r>
      <w:r>
        <w:rPr>
          <w:position w:val="35"/>
          <w:sz w:val="20"/>
        </w:rPr>
        <w:tab/>
      </w:r>
      <w:r>
        <w:rPr>
          <w:sz w:val="20"/>
        </w:rPr>
        <w:pict>
          <v:group style="width:270pt;height:174.05pt;mso-position-horizontal-relative:char;mso-position-vertical-relative:line" coordorigin="0,0" coordsize="5400,3481">
            <v:rect style="position:absolute;left:3708;top:0;width:857;height:2867" filled="true" fillcolor="#ebcf6a" stroked="false">
              <v:fill type="solid"/>
            </v:rect>
            <v:shape style="position:absolute;left:3064;top:428;width:1786;height:1798" type="#_x0000_t75" stroked="false">
              <v:imagedata r:id="rId5" o:title=""/>
            </v:shape>
            <v:shape style="position:absolute;left:0;top:2866;width:5400;height:614" type="#_x0000_t202" filled="true" fillcolor="#36394f" stroked="false">
              <v:textbox inset="0,0,0,0">
                <w:txbxContent>
                  <w:p>
                    <w:pPr>
                      <w:spacing w:before="13"/>
                      <w:ind w:left="1040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4" w:id="4"/>
                    <w:bookmarkEnd w:id="4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pacing w:val="-6"/>
                        <w:sz w:val="40"/>
                      </w:rPr>
                      <w:t>INSOLVENCY</w:t>
                    </w:r>
                    <w:r>
                      <w:rPr>
                        <w:rFonts w:ascii="Arial"/>
                        <w:b/>
                        <w:color w:val="EBCF6A"/>
                        <w:spacing w:val="-19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6"/>
                        <w:sz w:val="40"/>
                      </w:rPr>
                      <w:t>LAW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Heading2"/>
        <w:numPr>
          <w:ilvl w:val="0"/>
          <w:numId w:val="11"/>
        </w:numPr>
        <w:tabs>
          <w:tab w:pos="684" w:val="left" w:leader="none"/>
        </w:tabs>
        <w:spacing w:line="249" w:lineRule="auto" w:before="212" w:after="0"/>
        <w:ind w:left="684" w:right="339" w:hanging="540"/>
        <w:jc w:val="both"/>
      </w:pPr>
      <w:r>
        <w:rPr>
          <w:color w:val="4F576A"/>
        </w:rPr>
        <w:t>IBBI Notifies Insolvency and Bankruptcy Board of India (Model</w:t>
      </w:r>
      <w:r>
        <w:rPr>
          <w:color w:val="4F576A"/>
          <w:spacing w:val="1"/>
        </w:rPr>
        <w:t> </w:t>
      </w:r>
      <w:r>
        <w:rPr>
          <w:color w:val="4F576A"/>
        </w:rPr>
        <w:t>Bye-Laws</w:t>
      </w:r>
      <w:r>
        <w:rPr>
          <w:color w:val="4F576A"/>
          <w:spacing w:val="1"/>
        </w:rPr>
        <w:t> </w:t>
      </w:r>
      <w:r>
        <w:rPr>
          <w:color w:val="4F576A"/>
        </w:rPr>
        <w:t>and</w:t>
      </w:r>
      <w:r>
        <w:rPr>
          <w:color w:val="4F576A"/>
          <w:spacing w:val="1"/>
        </w:rPr>
        <w:t> </w:t>
      </w:r>
      <w:r>
        <w:rPr>
          <w:color w:val="4F576A"/>
        </w:rPr>
        <w:t>Governing</w:t>
      </w:r>
      <w:r>
        <w:rPr>
          <w:color w:val="4F576A"/>
          <w:spacing w:val="1"/>
        </w:rPr>
        <w:t> </w:t>
      </w:r>
      <w:r>
        <w:rPr>
          <w:color w:val="4F576A"/>
        </w:rPr>
        <w:t>Board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1"/>
        </w:rPr>
        <w:t> </w:t>
      </w:r>
      <w:r>
        <w:rPr>
          <w:color w:val="4F576A"/>
        </w:rPr>
        <w:t>Insolvency</w:t>
      </w:r>
      <w:r>
        <w:rPr>
          <w:color w:val="4F576A"/>
          <w:spacing w:val="1"/>
        </w:rPr>
        <w:t> </w:t>
      </w:r>
      <w:r>
        <w:rPr>
          <w:color w:val="4F576A"/>
        </w:rPr>
        <w:t>Professional</w:t>
      </w:r>
      <w:r>
        <w:rPr>
          <w:color w:val="4F576A"/>
          <w:spacing w:val="1"/>
        </w:rPr>
        <w:t> </w:t>
      </w:r>
      <w:r>
        <w:rPr>
          <w:color w:val="4F576A"/>
        </w:rPr>
        <w:t>Agencies)</w:t>
      </w:r>
      <w:r>
        <w:rPr>
          <w:color w:val="4F576A"/>
          <w:spacing w:val="12"/>
        </w:rPr>
        <w:t> </w:t>
      </w:r>
      <w:r>
        <w:rPr>
          <w:color w:val="4F576A"/>
        </w:rPr>
        <w:t>(Amendments)</w:t>
      </w:r>
      <w:r>
        <w:rPr>
          <w:color w:val="4F576A"/>
          <w:spacing w:val="13"/>
        </w:rPr>
        <w:t> </w:t>
      </w:r>
      <w:r>
        <w:rPr>
          <w:color w:val="4F576A"/>
        </w:rPr>
        <w:t>Regulations,</w:t>
      </w:r>
      <w:r>
        <w:rPr>
          <w:color w:val="4F576A"/>
          <w:spacing w:val="6"/>
        </w:rPr>
        <w:t> </w:t>
      </w:r>
      <w:r>
        <w:rPr>
          <w:color w:val="4F576A"/>
        </w:rPr>
        <w:t>2023</w:t>
      </w:r>
    </w:p>
    <w:p>
      <w:pPr>
        <w:pStyle w:val="BodyText"/>
        <w:spacing w:before="7"/>
        <w:rPr>
          <w:rFonts w:ascii="Arial"/>
          <w:b/>
          <w:sz w:val="36"/>
        </w:rPr>
      </w:pP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300" w:lineRule="auto" w:before="0" w:after="0"/>
        <w:ind w:left="595" w:right="464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 Agency may refuse to accept the surrender of membership by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professional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member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there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grievance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disciplinary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proceeding pending against it before the Agency or the Board or it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does not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comply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with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requirements.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300" w:lineRule="auto" w:before="4" w:after="0"/>
        <w:ind w:left="595" w:right="466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Grounds for expulsion of the member have been amended for 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agency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additionally</w:t>
      </w:r>
      <w:r>
        <w:rPr>
          <w:color w:val="4F576A"/>
          <w:spacing w:val="-6"/>
          <w:sz w:val="32"/>
        </w:rPr>
        <w:t> </w:t>
      </w:r>
      <w:r>
        <w:rPr>
          <w:color w:val="4F576A"/>
          <w:sz w:val="32"/>
        </w:rPr>
        <w:t>consider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factors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provided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in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Schedule.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300" w:lineRule="auto" w:before="2" w:after="0"/>
        <w:ind w:left="595" w:right="467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 application for enrolment as a professional member shall be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communicated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applicant,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along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with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certificate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membership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within sixty days</w:t>
      </w:r>
      <w:r>
        <w:rPr>
          <w:color w:val="4F576A"/>
          <w:spacing w:val="4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receipt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application.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337" w:lineRule="exact" w:before="0" w:after="0"/>
        <w:ind w:left="595" w:right="0" w:hanging="452"/>
        <w:jc w:val="both"/>
        <w:rPr>
          <w:color w:val="4F576A"/>
          <w:sz w:val="32"/>
        </w:rPr>
      </w:pPr>
      <w:hyperlink r:id="rId14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tabs>
          <w:tab w:pos="7490" w:val="left" w:leader="none"/>
          <w:tab w:pos="10646" w:val="left" w:leader="none"/>
        </w:tabs>
        <w:spacing w:before="139"/>
        <w:ind w:left="655" w:right="0" w:firstLine="0"/>
        <w:jc w:val="both"/>
        <w:rPr>
          <w:rFonts w:ascii="Arial"/>
          <w:b/>
          <w:sz w:val="40"/>
        </w:rPr>
      </w:pPr>
      <w:r>
        <w:rPr>
          <w:position w:val="-33"/>
        </w:rPr>
        <w:drawing>
          <wp:inline distT="0" distB="0" distL="0" distR="0">
            <wp:extent cx="2811780" cy="1519427"/>
            <wp:effectExtent l="0" t="0" r="0" b="0"/>
            <wp:docPr id="11" name="image5.jpeg" descr="A picture containing company name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151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3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13"/>
          <w:sz w:val="20"/>
        </w:rPr>
        <w:t> </w:t>
      </w:r>
      <w:r>
        <w:rPr>
          <w:rFonts w:ascii="Arial"/>
          <w:b/>
          <w:color w:val="EBCF6A"/>
          <w:w w:val="100"/>
          <w:sz w:val="40"/>
          <w:shd w:fill="36394F" w:color="auto" w:val="clear"/>
        </w:rPr>
        <w:t> </w:t>
      </w:r>
      <w:r>
        <w:rPr>
          <w:rFonts w:ascii="Arial"/>
          <w:b/>
          <w:color w:val="EBCF6A"/>
          <w:sz w:val="40"/>
          <w:shd w:fill="36394F" w:color="auto" w:val="clear"/>
        </w:rPr>
        <w:tab/>
      </w:r>
      <w:r>
        <w:rPr>
          <w:rFonts w:ascii="Arial"/>
          <w:b/>
          <w:color w:val="EBCF6A"/>
          <w:sz w:val="40"/>
          <w:shd w:fill="36394F" w:color="auto" w:val="clear"/>
        </w:rPr>
        <w:t>POSH</w:t>
        <w:tab/>
      </w:r>
    </w:p>
    <w:p>
      <w:pPr>
        <w:pStyle w:val="Heading2"/>
        <w:numPr>
          <w:ilvl w:val="1"/>
          <w:numId w:val="11"/>
        </w:numPr>
        <w:tabs>
          <w:tab w:pos="791" w:val="left" w:leader="none"/>
        </w:tabs>
        <w:spacing w:line="300" w:lineRule="auto" w:before="643" w:after="0"/>
        <w:ind w:left="790" w:right="455" w:hanging="540"/>
        <w:jc w:val="both"/>
      </w:pPr>
      <w:r>
        <w:rPr>
          <w:color w:val="4F576A"/>
        </w:rPr>
        <w:t>HC</w:t>
      </w:r>
      <w:r>
        <w:rPr>
          <w:color w:val="4F576A"/>
          <w:spacing w:val="1"/>
        </w:rPr>
        <w:t> </w:t>
      </w:r>
      <w:r>
        <w:rPr>
          <w:color w:val="4F576A"/>
        </w:rPr>
        <w:t>Judge</w:t>
      </w:r>
      <w:r>
        <w:rPr>
          <w:color w:val="4F576A"/>
          <w:spacing w:val="1"/>
        </w:rPr>
        <w:t> </w:t>
      </w:r>
      <w:r>
        <w:rPr>
          <w:color w:val="4F576A"/>
        </w:rPr>
        <w:t>suggests</w:t>
      </w:r>
      <w:r>
        <w:rPr>
          <w:color w:val="4F576A"/>
          <w:spacing w:val="1"/>
        </w:rPr>
        <w:t> </w:t>
      </w:r>
      <w:r>
        <w:rPr>
          <w:color w:val="4F576A"/>
        </w:rPr>
        <w:t>amending</w:t>
      </w:r>
      <w:r>
        <w:rPr>
          <w:color w:val="4F576A"/>
          <w:spacing w:val="1"/>
        </w:rPr>
        <w:t> </w:t>
      </w:r>
      <w:r>
        <w:rPr>
          <w:color w:val="4F576A"/>
        </w:rPr>
        <w:t>POSH</w:t>
      </w:r>
      <w:r>
        <w:rPr>
          <w:color w:val="4F576A"/>
          <w:spacing w:val="1"/>
        </w:rPr>
        <w:t> </w:t>
      </w:r>
      <w:r>
        <w:rPr>
          <w:color w:val="4F576A"/>
        </w:rPr>
        <w:t>Act</w:t>
      </w:r>
      <w:r>
        <w:rPr>
          <w:color w:val="4F576A"/>
          <w:spacing w:val="1"/>
        </w:rPr>
        <w:t> </w:t>
      </w:r>
      <w:r>
        <w:rPr>
          <w:color w:val="4F576A"/>
        </w:rPr>
        <w:t>and</w:t>
      </w:r>
      <w:r>
        <w:rPr>
          <w:color w:val="4F576A"/>
          <w:spacing w:val="1"/>
        </w:rPr>
        <w:t> </w:t>
      </w:r>
      <w:r>
        <w:rPr>
          <w:color w:val="4F576A"/>
        </w:rPr>
        <w:t>considering</w:t>
      </w:r>
      <w:r>
        <w:rPr>
          <w:color w:val="4F576A"/>
          <w:spacing w:val="1"/>
        </w:rPr>
        <w:t> </w:t>
      </w:r>
      <w:r>
        <w:rPr>
          <w:color w:val="4F576A"/>
        </w:rPr>
        <w:t>marginalised</w:t>
      </w:r>
      <w:r>
        <w:rPr>
          <w:color w:val="4F576A"/>
          <w:spacing w:val="7"/>
        </w:rPr>
        <w:t> </w:t>
      </w:r>
      <w:r>
        <w:rPr>
          <w:color w:val="4F576A"/>
        </w:rPr>
        <w:t>women's</w:t>
      </w:r>
      <w:r>
        <w:rPr>
          <w:color w:val="4F576A"/>
          <w:spacing w:val="-2"/>
        </w:rPr>
        <w:t> </w:t>
      </w:r>
      <w:r>
        <w:rPr>
          <w:color w:val="4F576A"/>
        </w:rPr>
        <w:t>woes.</w:t>
      </w:r>
    </w:p>
    <w:p>
      <w:pPr>
        <w:pStyle w:val="BodyText"/>
        <w:spacing w:before="6"/>
        <w:rPr>
          <w:rFonts w:ascii="Arial"/>
          <w:b/>
          <w:sz w:val="33"/>
        </w:rPr>
      </w:pPr>
    </w:p>
    <w:p>
      <w:pPr>
        <w:pStyle w:val="ListParagraph"/>
        <w:numPr>
          <w:ilvl w:val="1"/>
          <w:numId w:val="12"/>
        </w:numPr>
        <w:tabs>
          <w:tab w:pos="702" w:val="left" w:leader="none"/>
        </w:tabs>
        <w:spacing w:line="300" w:lineRule="auto" w:before="0" w:after="0"/>
        <w:ind w:left="701" w:right="448" w:hanging="452"/>
        <w:jc w:val="both"/>
        <w:rPr>
          <w:sz w:val="32"/>
        </w:rPr>
      </w:pPr>
      <w:r>
        <w:rPr>
          <w:color w:val="4F576A"/>
          <w:sz w:val="32"/>
        </w:rPr>
        <w:t>Telangana High Court Judge said that since the pandemic many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workplaces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shifted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online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mode,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there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need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incorporate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Act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&amp;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Cyber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security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with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POSH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Act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2013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because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emerging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scenario.</w:t>
      </w:r>
    </w:p>
    <w:p>
      <w:pPr>
        <w:pStyle w:val="ListParagraph"/>
        <w:numPr>
          <w:ilvl w:val="1"/>
          <w:numId w:val="12"/>
        </w:numPr>
        <w:tabs>
          <w:tab w:pos="702" w:val="left" w:leader="none"/>
        </w:tabs>
        <w:spacing w:line="240" w:lineRule="auto" w:before="3" w:after="0"/>
        <w:ind w:left="701" w:right="0" w:hanging="452"/>
        <w:jc w:val="both"/>
        <w:rPr>
          <w:sz w:val="32"/>
        </w:rPr>
      </w:pPr>
      <w:r>
        <w:rPr>
          <w:color w:val="4F576A"/>
          <w:sz w:val="32"/>
        </w:rPr>
        <w:t>It</w:t>
      </w:r>
      <w:r>
        <w:rPr>
          <w:color w:val="4F576A"/>
          <w:spacing w:val="121"/>
          <w:sz w:val="32"/>
        </w:rPr>
        <w:t> </w:t>
      </w:r>
      <w:r>
        <w:rPr>
          <w:color w:val="4F576A"/>
          <w:sz w:val="32"/>
        </w:rPr>
        <w:t>was  </w:t>
      </w:r>
      <w:r>
        <w:rPr>
          <w:color w:val="4F576A"/>
          <w:spacing w:val="29"/>
          <w:sz w:val="32"/>
        </w:rPr>
        <w:t> </w:t>
      </w:r>
      <w:r>
        <w:rPr>
          <w:color w:val="4F576A"/>
          <w:sz w:val="32"/>
        </w:rPr>
        <w:t>also  </w:t>
      </w:r>
      <w:r>
        <w:rPr>
          <w:color w:val="4F576A"/>
          <w:spacing w:val="29"/>
          <w:sz w:val="32"/>
        </w:rPr>
        <w:t> </w:t>
      </w:r>
      <w:r>
        <w:rPr>
          <w:color w:val="4F576A"/>
          <w:sz w:val="32"/>
        </w:rPr>
        <w:t>observed  </w:t>
      </w:r>
      <w:r>
        <w:rPr>
          <w:color w:val="4F576A"/>
          <w:spacing w:val="29"/>
          <w:sz w:val="32"/>
        </w:rPr>
        <w:t> </w:t>
      </w:r>
      <w:r>
        <w:rPr>
          <w:color w:val="4F576A"/>
          <w:sz w:val="32"/>
        </w:rPr>
        <w:t>that  </w:t>
      </w:r>
      <w:r>
        <w:rPr>
          <w:color w:val="4F576A"/>
          <w:spacing w:val="31"/>
          <w:sz w:val="32"/>
        </w:rPr>
        <w:t> </w:t>
      </w:r>
      <w:r>
        <w:rPr>
          <w:color w:val="4F576A"/>
          <w:sz w:val="32"/>
        </w:rPr>
        <w:t>“while  </w:t>
      </w:r>
      <w:r>
        <w:rPr>
          <w:color w:val="4F576A"/>
          <w:spacing w:val="29"/>
          <w:sz w:val="32"/>
        </w:rPr>
        <w:t> </w:t>
      </w:r>
      <w:r>
        <w:rPr>
          <w:color w:val="4F576A"/>
          <w:sz w:val="32"/>
        </w:rPr>
        <w:t>the  </w:t>
      </w:r>
      <w:r>
        <w:rPr>
          <w:color w:val="4F576A"/>
          <w:spacing w:val="29"/>
          <w:sz w:val="32"/>
        </w:rPr>
        <w:t> </w:t>
      </w:r>
      <w:r>
        <w:rPr>
          <w:color w:val="4F576A"/>
          <w:sz w:val="32"/>
        </w:rPr>
        <w:t>POSH  </w:t>
      </w:r>
      <w:r>
        <w:rPr>
          <w:color w:val="4F576A"/>
          <w:spacing w:val="28"/>
          <w:sz w:val="32"/>
        </w:rPr>
        <w:t> </w:t>
      </w:r>
      <w:r>
        <w:rPr>
          <w:color w:val="4F576A"/>
          <w:sz w:val="32"/>
        </w:rPr>
        <w:t>Act  </w:t>
      </w:r>
      <w:r>
        <w:rPr>
          <w:color w:val="4F576A"/>
          <w:spacing w:val="29"/>
          <w:sz w:val="32"/>
        </w:rPr>
        <w:t> </w:t>
      </w:r>
      <w:r>
        <w:rPr>
          <w:color w:val="4F576A"/>
          <w:sz w:val="32"/>
        </w:rPr>
        <w:t>is  </w:t>
      </w:r>
      <w:r>
        <w:rPr>
          <w:color w:val="4F576A"/>
          <w:spacing w:val="29"/>
          <w:sz w:val="32"/>
        </w:rPr>
        <w:t> </w:t>
      </w:r>
      <w:r>
        <w:rPr>
          <w:color w:val="4F576A"/>
          <w:sz w:val="32"/>
        </w:rPr>
        <w:t>very</w:t>
      </w:r>
    </w:p>
    <w:p>
      <w:pPr>
        <w:pStyle w:val="BodyText"/>
        <w:spacing w:before="93"/>
        <w:ind w:left="701"/>
        <w:jc w:val="both"/>
      </w:pPr>
      <w:r>
        <w:rPr>
          <w:color w:val="4F576A"/>
        </w:rPr>
        <w:t>comprehensive,</w:t>
      </w:r>
      <w:r>
        <w:rPr>
          <w:color w:val="4F576A"/>
          <w:spacing w:val="-3"/>
        </w:rPr>
        <w:t> </w:t>
      </w:r>
      <w:r>
        <w:rPr>
          <w:color w:val="4F576A"/>
        </w:rPr>
        <w:t>we</w:t>
      </w:r>
      <w:r>
        <w:rPr>
          <w:color w:val="4F576A"/>
          <w:spacing w:val="-1"/>
        </w:rPr>
        <w:t> </w:t>
      </w:r>
      <w:r>
        <w:rPr>
          <w:color w:val="4F576A"/>
        </w:rPr>
        <w:t>still</w:t>
      </w:r>
      <w:r>
        <w:rPr>
          <w:color w:val="4F576A"/>
          <w:spacing w:val="-4"/>
        </w:rPr>
        <w:t> </w:t>
      </w:r>
      <w:r>
        <w:rPr>
          <w:color w:val="4F576A"/>
        </w:rPr>
        <w:t>have</w:t>
      </w:r>
      <w:r>
        <w:rPr>
          <w:color w:val="4F576A"/>
          <w:spacing w:val="-4"/>
        </w:rPr>
        <w:t> </w:t>
      </w:r>
      <w:r>
        <w:rPr>
          <w:color w:val="4F576A"/>
        </w:rPr>
        <w:t>sexual</w:t>
      </w:r>
      <w:r>
        <w:rPr>
          <w:color w:val="4F576A"/>
          <w:spacing w:val="-2"/>
        </w:rPr>
        <w:t> </w:t>
      </w:r>
      <w:r>
        <w:rPr>
          <w:color w:val="4F576A"/>
        </w:rPr>
        <w:t>harassment cases.”</w:t>
      </w:r>
    </w:p>
    <w:p>
      <w:pPr>
        <w:pStyle w:val="ListParagraph"/>
        <w:numPr>
          <w:ilvl w:val="1"/>
          <w:numId w:val="12"/>
        </w:numPr>
        <w:tabs>
          <w:tab w:pos="702" w:val="left" w:leader="none"/>
        </w:tabs>
        <w:spacing w:line="240" w:lineRule="auto" w:before="93" w:after="0"/>
        <w:ind w:left="701" w:right="0" w:hanging="452"/>
        <w:jc w:val="both"/>
        <w:rPr>
          <w:sz w:val="32"/>
        </w:rPr>
      </w:pPr>
      <w:r>
        <w:rPr>
          <w:color w:val="4F576A"/>
          <w:sz w:val="32"/>
        </w:rPr>
        <w:t>Housemaid</w:t>
      </w:r>
      <w:r>
        <w:rPr>
          <w:color w:val="4F576A"/>
          <w:spacing w:val="-5"/>
          <w:sz w:val="32"/>
        </w:rPr>
        <w:t> </w:t>
      </w:r>
      <w:r>
        <w:rPr>
          <w:color w:val="4F576A"/>
          <w:sz w:val="32"/>
        </w:rPr>
        <w:t>should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bought under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ambit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of POSH</w:t>
      </w:r>
    </w:p>
    <w:p>
      <w:pPr>
        <w:pStyle w:val="ListParagraph"/>
        <w:numPr>
          <w:ilvl w:val="1"/>
          <w:numId w:val="12"/>
        </w:numPr>
        <w:tabs>
          <w:tab w:pos="702" w:val="left" w:leader="none"/>
        </w:tabs>
        <w:spacing w:line="240" w:lineRule="auto" w:before="93" w:after="0"/>
        <w:ind w:left="701" w:right="0" w:hanging="452"/>
        <w:jc w:val="both"/>
        <w:rPr>
          <w:sz w:val="32"/>
        </w:rPr>
      </w:pPr>
      <w:r>
        <w:rPr/>
        <w:pict>
          <v:shape style="position:absolute;margin-left:11.448pt;margin-top:52.398712pt;width:517.7pt;height:17pt;mso-position-horizontal-relative:page;mso-position-vertical-relative:paragraph;z-index:-16053760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0.137634pt;width:539.950pt;height:20.4pt;mso-position-horizontal-relative:page;mso-position-vertical-relative:paragraph;z-index:15737856" coordorigin="0,1003" coordsize="10799,408">
            <v:rect style="position:absolute;left:0;top:1002;width:10799;height:408" filled="true" fillcolor="#36394f" stroked="false">
              <v:fill type="solid"/>
            </v:rect>
            <v:shape style="position:absolute;left:117;top:1027;width:281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4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10;top:1027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F576A"/>
          <w:sz w:val="32"/>
        </w:rPr>
        <w:t>Sex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education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should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be introduced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in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schools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and colleges.</w:t>
      </w:r>
    </w:p>
    <w:p>
      <w:pPr>
        <w:spacing w:after="0" w:line="240" w:lineRule="auto"/>
        <w:jc w:val="both"/>
        <w:rPr>
          <w:sz w:val="32"/>
        </w:rPr>
        <w:sectPr>
          <w:pgSz w:w="10800" w:h="19200"/>
          <w:pgMar w:top="160" w:bottom="0" w:left="0" w:right="0"/>
        </w:sectPr>
      </w:pPr>
    </w:p>
    <w:p>
      <w:pPr>
        <w:tabs>
          <w:tab w:pos="5011" w:val="left" w:leader="none"/>
        </w:tabs>
        <w:spacing w:line="240" w:lineRule="auto"/>
        <w:ind w:left="573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51200" filled="true" fillcolor="#fdfcf8" stroked="false">
            <v:fill type="solid"/>
            <w10:wrap type="none"/>
          </v:rect>
        </w:pict>
      </w:r>
      <w:r>
        <w:rPr>
          <w:position w:val="1"/>
          <w:sz w:val="20"/>
        </w:rPr>
        <w:drawing>
          <wp:inline distT="0" distB="0" distL="0" distR="0">
            <wp:extent cx="2673377" cy="1668018"/>
            <wp:effectExtent l="0" t="0" r="0" b="0"/>
            <wp:docPr id="13" name="image6.jpeg" descr="A picture containing text, indoor, tool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77" cy="166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pict>
          <v:group style="width:270pt;height:178.7pt;mso-position-horizontal-relative:char;mso-position-vertical-relative:line" coordorigin="0,0" coordsize="5400,3574">
            <v:rect style="position:absolute;left:4032;top:0;width:857;height:2958" filled="true" fillcolor="#ebcf6a" stroked="false">
              <v:fill type="solid"/>
            </v:rect>
            <v:shape style="position:absolute;left:3388;top:428;width:1786;height:1798" type="#_x0000_t75" stroked="false">
              <v:imagedata r:id="rId5" o:title=""/>
            </v:shape>
            <v:shape style="position:absolute;left:0;top:2957;width:5400;height:617" type="#_x0000_t202" filled="true" fillcolor="#36394f" stroked="false">
              <v:textbox inset="0,0,0,0">
                <w:txbxContent>
                  <w:p>
                    <w:pPr>
                      <w:spacing w:before="15"/>
                      <w:ind w:left="1615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5" w:id="5"/>
                    <w:bookmarkEnd w:id="5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CASE</w:t>
                    </w:r>
                    <w:r>
                      <w:rPr>
                        <w:rFonts w:ascii="Arial"/>
                        <w:b/>
                        <w:color w:val="EBCF6A"/>
                        <w:spacing w:val="-18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z w:val="40"/>
                      </w:rPr>
                      <w:t>LAWS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25"/>
        </w:rPr>
      </w:pPr>
    </w:p>
    <w:p>
      <w:pPr>
        <w:spacing w:before="89"/>
        <w:ind w:left="403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Insolvency</w:t>
      </w:r>
      <w:r>
        <w:rPr>
          <w:rFonts w:ascii="Arial"/>
          <w:b/>
          <w:color w:val="4F576A"/>
          <w:spacing w:val="3"/>
          <w:sz w:val="32"/>
          <w:u w:val="thick" w:color="4F576A"/>
        </w:rPr>
        <w:t> </w:t>
      </w:r>
      <w:r>
        <w:rPr>
          <w:rFonts w:ascii="Arial"/>
          <w:b/>
          <w:color w:val="4F576A"/>
          <w:sz w:val="32"/>
          <w:u w:val="thick" w:color="4F576A"/>
        </w:rPr>
        <w:t>Law</w:t>
      </w:r>
    </w:p>
    <w:p>
      <w:pPr>
        <w:pStyle w:val="ListParagraph"/>
        <w:numPr>
          <w:ilvl w:val="2"/>
          <w:numId w:val="11"/>
        </w:numPr>
        <w:tabs>
          <w:tab w:pos="945" w:val="left" w:leader="none"/>
        </w:tabs>
        <w:spacing w:line="240" w:lineRule="auto" w:before="208" w:after="0"/>
        <w:ind w:left="944" w:right="0" w:hanging="542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color w:val="4F576A"/>
          <w:sz w:val="32"/>
        </w:rPr>
        <w:t>NCLT</w:t>
      </w:r>
      <w:r>
        <w:rPr>
          <w:rFonts w:ascii="Arial" w:hAnsi="Arial"/>
          <w:b/>
          <w:color w:val="4F576A"/>
          <w:spacing w:val="31"/>
          <w:sz w:val="32"/>
        </w:rPr>
        <w:t> </w:t>
      </w:r>
      <w:r>
        <w:rPr>
          <w:rFonts w:ascii="Arial" w:hAnsi="Arial"/>
          <w:b/>
          <w:color w:val="4F576A"/>
          <w:sz w:val="32"/>
        </w:rPr>
        <w:t>Kolkata</w:t>
      </w:r>
      <w:r>
        <w:rPr>
          <w:rFonts w:ascii="Arial" w:hAnsi="Arial"/>
          <w:b/>
          <w:color w:val="4F576A"/>
          <w:spacing w:val="124"/>
          <w:sz w:val="32"/>
        </w:rPr>
        <w:t> </w:t>
      </w:r>
      <w:r>
        <w:rPr>
          <w:rFonts w:ascii="Arial" w:hAnsi="Arial"/>
          <w:b/>
          <w:color w:val="4F576A"/>
          <w:sz w:val="32"/>
        </w:rPr>
        <w:t>held</w:t>
      </w:r>
      <w:r>
        <w:rPr>
          <w:rFonts w:ascii="Arial" w:hAnsi="Arial"/>
          <w:b/>
          <w:color w:val="4F576A"/>
          <w:spacing w:val="123"/>
          <w:sz w:val="32"/>
        </w:rPr>
        <w:t> </w:t>
      </w:r>
      <w:r>
        <w:rPr>
          <w:rFonts w:ascii="Arial" w:hAnsi="Arial"/>
          <w:b/>
          <w:color w:val="4F576A"/>
          <w:sz w:val="32"/>
        </w:rPr>
        <w:t>that</w:t>
      </w:r>
      <w:r>
        <w:rPr>
          <w:rFonts w:ascii="Arial" w:hAnsi="Arial"/>
          <w:b/>
          <w:color w:val="4F576A"/>
          <w:spacing w:val="119"/>
          <w:sz w:val="32"/>
        </w:rPr>
        <w:t> </w:t>
      </w:r>
      <w:r>
        <w:rPr>
          <w:rFonts w:ascii="Arial" w:hAnsi="Arial"/>
          <w:b/>
          <w:color w:val="4F576A"/>
          <w:sz w:val="32"/>
        </w:rPr>
        <w:t>Preference</w:t>
      </w:r>
      <w:r>
        <w:rPr>
          <w:rFonts w:ascii="Arial" w:hAnsi="Arial"/>
          <w:b/>
          <w:color w:val="4F576A"/>
          <w:spacing w:val="119"/>
          <w:sz w:val="32"/>
        </w:rPr>
        <w:t> </w:t>
      </w:r>
      <w:r>
        <w:rPr>
          <w:rFonts w:ascii="Arial" w:hAnsi="Arial"/>
          <w:b/>
          <w:color w:val="4F576A"/>
          <w:sz w:val="32"/>
        </w:rPr>
        <w:t>Share</w:t>
      </w:r>
      <w:r>
        <w:rPr>
          <w:rFonts w:ascii="Arial" w:hAnsi="Arial"/>
          <w:b/>
          <w:color w:val="4F576A"/>
          <w:spacing w:val="125"/>
          <w:sz w:val="32"/>
        </w:rPr>
        <w:t> </w:t>
      </w:r>
      <w:r>
        <w:rPr>
          <w:rFonts w:ascii="Arial" w:hAnsi="Arial"/>
          <w:b/>
          <w:color w:val="4F576A"/>
          <w:sz w:val="32"/>
        </w:rPr>
        <w:t>Owners</w:t>
      </w:r>
      <w:r>
        <w:rPr>
          <w:rFonts w:ascii="Arial" w:hAnsi="Arial"/>
          <w:b/>
          <w:color w:val="4F576A"/>
          <w:spacing w:val="120"/>
          <w:sz w:val="32"/>
        </w:rPr>
        <w:t> </w:t>
      </w:r>
      <w:r>
        <w:rPr>
          <w:rFonts w:ascii="Arial" w:hAnsi="Arial"/>
          <w:b/>
          <w:color w:val="4F576A"/>
          <w:sz w:val="32"/>
        </w:rPr>
        <w:t>aren’t</w:t>
      </w:r>
    </w:p>
    <w:p>
      <w:pPr>
        <w:pStyle w:val="Heading2"/>
        <w:spacing w:before="208"/>
        <w:ind w:left="944" w:firstLine="0"/>
        <w:jc w:val="left"/>
      </w:pPr>
      <w:r>
        <w:rPr>
          <w:color w:val="4F576A"/>
        </w:rPr>
        <w:t>Financial</w:t>
      </w:r>
      <w:r>
        <w:rPr>
          <w:color w:val="4F576A"/>
          <w:spacing w:val="1"/>
        </w:rPr>
        <w:t> </w:t>
      </w:r>
      <w:r>
        <w:rPr>
          <w:color w:val="4F576A"/>
        </w:rPr>
        <w:t>Creditors</w:t>
      </w:r>
    </w:p>
    <w:p>
      <w:pPr>
        <w:pStyle w:val="ListParagraph"/>
        <w:numPr>
          <w:ilvl w:val="2"/>
          <w:numId w:val="12"/>
        </w:numPr>
        <w:tabs>
          <w:tab w:pos="856" w:val="left" w:leader="none"/>
        </w:tabs>
        <w:spacing w:line="300" w:lineRule="auto" w:before="123" w:after="0"/>
        <w:ind w:left="855" w:right="527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In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matter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EPC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Constructions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India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Limited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vs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Matix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Fertilisers and Chemicals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Limited</w:t>
      </w:r>
    </w:p>
    <w:p>
      <w:pPr>
        <w:pStyle w:val="ListParagraph"/>
        <w:numPr>
          <w:ilvl w:val="2"/>
          <w:numId w:val="12"/>
        </w:numPr>
        <w:tabs>
          <w:tab w:pos="856" w:val="left" w:leader="none"/>
        </w:tabs>
        <w:spacing w:line="300" w:lineRule="auto" w:before="1" w:after="0"/>
        <w:ind w:left="855" w:right="526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Financial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Creditor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was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holding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Cumulatively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Redeemable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Preference Shares (CRPS) of the CD, claimed that the default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amount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Rs.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310 Crore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is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due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and payable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by CD.</w:t>
      </w:r>
    </w:p>
    <w:p>
      <w:pPr>
        <w:pStyle w:val="ListParagraph"/>
        <w:numPr>
          <w:ilvl w:val="2"/>
          <w:numId w:val="12"/>
        </w:numPr>
        <w:tabs>
          <w:tab w:pos="856" w:val="left" w:leader="none"/>
        </w:tabs>
        <w:spacing w:line="300" w:lineRule="auto" w:before="3" w:after="0"/>
        <w:ind w:left="855" w:right="528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 issues that was cropped up for determination of whether 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Preference Shareholder is a Creditor of a Company and eligible to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make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application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as financial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creditor.</w:t>
      </w:r>
    </w:p>
    <w:p>
      <w:pPr>
        <w:pStyle w:val="ListParagraph"/>
        <w:numPr>
          <w:ilvl w:val="2"/>
          <w:numId w:val="12"/>
        </w:numPr>
        <w:tabs>
          <w:tab w:pos="856" w:val="left" w:leader="none"/>
        </w:tabs>
        <w:spacing w:line="300" w:lineRule="auto" w:before="3" w:after="0"/>
        <w:ind w:left="855" w:right="527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In the given case NCLT held that a Preference Shareholder is not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 Financial Creditor unless the Preference Shares become due for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redemption.</w:t>
      </w:r>
    </w:p>
    <w:p>
      <w:pPr>
        <w:pStyle w:val="ListParagraph"/>
        <w:numPr>
          <w:ilvl w:val="2"/>
          <w:numId w:val="12"/>
        </w:numPr>
        <w:tabs>
          <w:tab w:pos="856" w:val="left" w:leader="none"/>
        </w:tabs>
        <w:spacing w:line="240" w:lineRule="auto" w:before="2" w:after="0"/>
        <w:ind w:left="855" w:right="0" w:hanging="453"/>
        <w:jc w:val="both"/>
        <w:rPr>
          <w:color w:val="67C6C0"/>
          <w:sz w:val="32"/>
        </w:rPr>
      </w:pPr>
      <w:r>
        <w:rPr>
          <w:color w:val="67C6C0"/>
          <w:sz w:val="32"/>
          <w:u w:val="thick" w:color="67C6C0"/>
        </w:rPr>
        <w:t>Click</w:t>
      </w:r>
      <w:r>
        <w:rPr>
          <w:color w:val="67C6C0"/>
          <w:spacing w:val="-5"/>
          <w:sz w:val="32"/>
          <w:u w:val="thick" w:color="67C6C0"/>
        </w:rPr>
        <w:t> </w:t>
      </w:r>
      <w:r>
        <w:rPr>
          <w:color w:val="67C6C0"/>
          <w:sz w:val="32"/>
          <w:u w:val="thick" w:color="67C6C0"/>
        </w:rPr>
        <w:t>here</w:t>
      </w:r>
      <w:r>
        <w:rPr>
          <w:color w:val="67C6C0"/>
          <w:spacing w:val="-1"/>
          <w:sz w:val="32"/>
          <w:u w:val="thick" w:color="67C6C0"/>
        </w:rPr>
        <w:t> </w:t>
      </w:r>
      <w:r>
        <w:rPr>
          <w:color w:val="67C6C0"/>
          <w:sz w:val="32"/>
          <w:u w:val="thick" w:color="67C6C0"/>
        </w:rPr>
        <w:t>for</w:t>
      </w:r>
      <w:r>
        <w:rPr>
          <w:color w:val="67C6C0"/>
          <w:spacing w:val="2"/>
          <w:sz w:val="32"/>
          <w:u w:val="thick" w:color="67C6C0"/>
        </w:rPr>
        <w:t> </w:t>
      </w:r>
      <w:r>
        <w:rPr>
          <w:color w:val="67C6C0"/>
          <w:sz w:val="32"/>
          <w:u w:val="thick" w:color="67C6C0"/>
        </w:rPr>
        <w:t>Order</w:t>
      </w:r>
    </w:p>
    <w:p>
      <w:pPr>
        <w:pStyle w:val="BodyText"/>
        <w:spacing w:before="8"/>
        <w:rPr>
          <w:sz w:val="39"/>
        </w:rPr>
      </w:pPr>
    </w:p>
    <w:p>
      <w:pPr>
        <w:spacing w:before="0"/>
        <w:ind w:left="36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  <w:u w:val="thick" w:color="4F576A"/>
        </w:rPr>
        <w:t>Company Law</w:t>
      </w:r>
    </w:p>
    <w:p>
      <w:pPr>
        <w:pStyle w:val="ListParagraph"/>
        <w:numPr>
          <w:ilvl w:val="2"/>
          <w:numId w:val="11"/>
        </w:numPr>
        <w:tabs>
          <w:tab w:pos="905" w:val="left" w:leader="none"/>
        </w:tabs>
        <w:spacing w:line="240" w:lineRule="auto" w:before="208" w:after="0"/>
        <w:ind w:left="904" w:right="0" w:hanging="541"/>
        <w:jc w:val="both"/>
        <w:rPr>
          <w:rFonts w:ascii="Arial"/>
          <w:b/>
          <w:sz w:val="32"/>
        </w:rPr>
      </w:pPr>
      <w:r>
        <w:rPr>
          <w:rFonts w:ascii="Arial"/>
          <w:b/>
          <w:color w:val="4F576A"/>
          <w:sz w:val="32"/>
        </w:rPr>
        <w:t>ROC</w:t>
      </w:r>
      <w:r>
        <w:rPr>
          <w:rFonts w:ascii="Arial"/>
          <w:b/>
          <w:color w:val="4F576A"/>
          <w:spacing w:val="-7"/>
          <w:sz w:val="32"/>
        </w:rPr>
        <w:t> </w:t>
      </w:r>
      <w:r>
        <w:rPr>
          <w:rFonts w:ascii="Arial"/>
          <w:b/>
          <w:color w:val="4F576A"/>
          <w:sz w:val="32"/>
        </w:rPr>
        <w:t>Penalises</w:t>
      </w:r>
      <w:r>
        <w:rPr>
          <w:rFonts w:ascii="Arial"/>
          <w:b/>
          <w:color w:val="4F576A"/>
          <w:spacing w:val="-6"/>
          <w:sz w:val="32"/>
        </w:rPr>
        <w:t> </w:t>
      </w:r>
      <w:r>
        <w:rPr>
          <w:rFonts w:ascii="Arial"/>
          <w:b/>
          <w:color w:val="4F576A"/>
          <w:sz w:val="32"/>
        </w:rPr>
        <w:t>SustVest</w:t>
      </w:r>
      <w:r>
        <w:rPr>
          <w:rFonts w:ascii="Arial"/>
          <w:b/>
          <w:color w:val="4F576A"/>
          <w:spacing w:val="-7"/>
          <w:sz w:val="32"/>
        </w:rPr>
        <w:t> </w:t>
      </w:r>
      <w:r>
        <w:rPr>
          <w:rFonts w:ascii="Arial"/>
          <w:b/>
          <w:color w:val="4F576A"/>
          <w:sz w:val="32"/>
        </w:rPr>
        <w:t>for</w:t>
      </w:r>
      <w:r>
        <w:rPr>
          <w:rFonts w:ascii="Arial"/>
          <w:b/>
          <w:color w:val="4F576A"/>
          <w:spacing w:val="-4"/>
          <w:sz w:val="32"/>
        </w:rPr>
        <w:t> </w:t>
      </w:r>
      <w:r>
        <w:rPr>
          <w:rFonts w:ascii="Arial"/>
          <w:b/>
          <w:color w:val="4F576A"/>
          <w:sz w:val="32"/>
        </w:rPr>
        <w:t>Raising</w:t>
      </w:r>
      <w:r>
        <w:rPr>
          <w:rFonts w:ascii="Arial"/>
          <w:b/>
          <w:color w:val="4F576A"/>
          <w:spacing w:val="-5"/>
          <w:sz w:val="32"/>
        </w:rPr>
        <w:t> </w:t>
      </w:r>
      <w:r>
        <w:rPr>
          <w:rFonts w:ascii="Arial"/>
          <w:b/>
          <w:color w:val="4F576A"/>
          <w:sz w:val="32"/>
        </w:rPr>
        <w:t>Funds</w:t>
      </w:r>
      <w:r>
        <w:rPr>
          <w:rFonts w:ascii="Arial"/>
          <w:b/>
          <w:color w:val="4F576A"/>
          <w:spacing w:val="-7"/>
          <w:sz w:val="32"/>
        </w:rPr>
        <w:t> </w:t>
      </w:r>
      <w:r>
        <w:rPr>
          <w:rFonts w:ascii="Arial"/>
          <w:b/>
          <w:color w:val="4F576A"/>
          <w:sz w:val="32"/>
        </w:rPr>
        <w:t>on</w:t>
      </w:r>
      <w:r>
        <w:rPr>
          <w:rFonts w:ascii="Arial"/>
          <w:b/>
          <w:color w:val="4F576A"/>
          <w:spacing w:val="-8"/>
          <w:sz w:val="32"/>
        </w:rPr>
        <w:t> </w:t>
      </w:r>
      <w:r>
        <w:rPr>
          <w:rFonts w:ascii="Arial"/>
          <w:b/>
          <w:color w:val="4F576A"/>
          <w:sz w:val="32"/>
        </w:rPr>
        <w:t>Tyke</w:t>
      </w:r>
      <w:r>
        <w:rPr>
          <w:rFonts w:ascii="Arial"/>
          <w:b/>
          <w:color w:val="4F576A"/>
          <w:spacing w:val="1"/>
          <w:sz w:val="32"/>
        </w:rPr>
        <w:t> </w:t>
      </w:r>
      <w:r>
        <w:rPr>
          <w:rFonts w:ascii="Arial"/>
          <w:b/>
          <w:color w:val="4F576A"/>
          <w:sz w:val="32"/>
        </w:rPr>
        <w:t>Platform</w:t>
      </w:r>
    </w:p>
    <w:p>
      <w:pPr>
        <w:pStyle w:val="BodyText"/>
        <w:rPr>
          <w:rFonts w:ascii="Arial"/>
          <w:b/>
          <w:sz w:val="44"/>
        </w:rPr>
      </w:pPr>
    </w:p>
    <w:p>
      <w:pPr>
        <w:pStyle w:val="ListParagraph"/>
        <w:numPr>
          <w:ilvl w:val="2"/>
          <w:numId w:val="12"/>
        </w:numPr>
        <w:tabs>
          <w:tab w:pos="816" w:val="left" w:leader="none"/>
        </w:tabs>
        <w:spacing w:line="300" w:lineRule="auto" w:before="1" w:after="0"/>
        <w:ind w:left="816" w:right="242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ROC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Delhi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&amp;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Haryana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penalised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Mumbai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based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crowdfunding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platform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Tyke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Technologies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Gurgaon-based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company,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SustVest and three of its promoter-directors after the company used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platform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raise money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4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general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public.</w:t>
      </w:r>
    </w:p>
    <w:p>
      <w:pPr>
        <w:pStyle w:val="ListParagraph"/>
        <w:numPr>
          <w:ilvl w:val="2"/>
          <w:numId w:val="12"/>
        </w:numPr>
        <w:tabs>
          <w:tab w:pos="816" w:val="left" w:leader="none"/>
        </w:tabs>
        <w:spacing w:line="300" w:lineRule="auto" w:before="3" w:after="0"/>
        <w:ind w:left="816" w:right="241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Solargridx Ventures Pvt Ltd is also required to provide refunds to all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565 subscribers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along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with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interest.</w:t>
      </w:r>
    </w:p>
    <w:p>
      <w:pPr>
        <w:pStyle w:val="ListParagraph"/>
        <w:numPr>
          <w:ilvl w:val="2"/>
          <w:numId w:val="12"/>
        </w:numPr>
        <w:tabs>
          <w:tab w:pos="816" w:val="left" w:leader="none"/>
        </w:tabs>
        <w:spacing w:line="300" w:lineRule="auto" w:before="2" w:after="0"/>
        <w:ind w:left="816" w:right="239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 RoC’s order states that such fund mobilisation is a violation 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private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placement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rules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under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Companies</w:t>
      </w:r>
      <w:r>
        <w:rPr>
          <w:color w:val="4F576A"/>
          <w:spacing w:val="-18"/>
          <w:sz w:val="32"/>
        </w:rPr>
        <w:t> </w:t>
      </w:r>
      <w:r>
        <w:rPr>
          <w:color w:val="4F576A"/>
          <w:sz w:val="32"/>
        </w:rPr>
        <w:t>Act.</w:t>
      </w:r>
    </w:p>
    <w:p>
      <w:pPr>
        <w:pStyle w:val="ListParagraph"/>
        <w:numPr>
          <w:ilvl w:val="2"/>
          <w:numId w:val="12"/>
        </w:numPr>
        <w:tabs>
          <w:tab w:pos="816" w:val="left" w:leader="none"/>
        </w:tabs>
        <w:spacing w:line="300" w:lineRule="auto" w:before="2" w:after="0"/>
        <w:ind w:left="816" w:right="24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As per rules private placement of any kind of securities, a company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raising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funds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must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restrict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 offer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maximum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200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investors.</w:t>
      </w:r>
    </w:p>
    <w:p>
      <w:pPr>
        <w:pStyle w:val="ListParagraph"/>
        <w:numPr>
          <w:ilvl w:val="2"/>
          <w:numId w:val="12"/>
        </w:numPr>
        <w:tabs>
          <w:tab w:pos="816" w:val="left" w:leader="none"/>
        </w:tabs>
        <w:spacing w:line="336" w:lineRule="exact" w:before="0" w:after="0"/>
        <w:ind w:left="816" w:right="0" w:hanging="452"/>
        <w:jc w:val="both"/>
        <w:rPr>
          <w:color w:val="4F576A"/>
          <w:sz w:val="32"/>
        </w:rPr>
      </w:pPr>
      <w:r>
        <w:rPr/>
        <w:pict>
          <v:shape style="position:absolute;margin-left:11.448pt;margin-top:54.242615pt;width:517.7pt;height:17pt;mso-position-horizontal-relative:page;mso-position-vertical-relative:paragraph;z-index:-16051712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1.981537pt;width:539.950pt;height:20.4pt;mso-position-horizontal-relative:page;mso-position-vertical-relative:paragraph;z-index:15739904" coordorigin="0,1040" coordsize="10799,408">
            <v:rect style="position:absolute;left:0;top:1039;width:10799;height:408" filled="true" fillcolor="#36394f" stroked="false">
              <v:fill type="solid"/>
            </v:rect>
            <v:shape style="position:absolute;left:117;top:1064;width:281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4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10;top:1064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17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Order</w:t>
        </w:r>
      </w:hyperlink>
    </w:p>
    <w:p>
      <w:pPr>
        <w:spacing w:after="0" w:line="336" w:lineRule="exact"/>
        <w:jc w:val="both"/>
        <w:rPr>
          <w:sz w:val="32"/>
        </w:rPr>
        <w:sectPr>
          <w:pgSz w:w="10800" w:h="19200"/>
          <w:pgMar w:top="160" w:bottom="0" w:left="0" w:right="0"/>
        </w:sectPr>
      </w:pPr>
    </w:p>
    <w:p>
      <w:pPr>
        <w:spacing w:line="240" w:lineRule="auto"/>
        <w:ind w:left="489" w:right="0" w:firstLine="0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49152" filled="true" fillcolor="#fdfcf8" stroked="false">
            <v:fill type="solid"/>
            <w10:wrap type="none"/>
          </v:rect>
        </w:pict>
      </w:r>
      <w:r>
        <w:rPr>
          <w:position w:val="12"/>
          <w:sz w:val="20"/>
        </w:rPr>
        <w:drawing>
          <wp:inline distT="0" distB="0" distL="0" distR="0">
            <wp:extent cx="2697886" cy="1724501"/>
            <wp:effectExtent l="0" t="0" r="0" b="0"/>
            <wp:docPr id="1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886" cy="172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</w:r>
      <w:r>
        <w:rPr>
          <w:rFonts w:ascii="Times New Roman"/>
          <w:spacing w:val="122"/>
          <w:position w:val="12"/>
          <w:sz w:val="20"/>
        </w:rPr>
        <w:t> </w:t>
      </w:r>
      <w:r>
        <w:rPr>
          <w:spacing w:val="122"/>
          <w:sz w:val="20"/>
        </w:rPr>
        <w:pict>
          <v:group style="width:270pt;height:175.85pt;mso-position-horizontal-relative:char;mso-position-vertical-relative:line" coordorigin="0,0" coordsize="5400,3517">
            <v:rect style="position:absolute;left:4132;top:0;width:857;height:2901" filled="true" fillcolor="#ebcf6a" stroked="false">
              <v:fill type="solid"/>
            </v:rect>
            <v:shape style="position:absolute;left:3489;top:428;width:1786;height:1798" type="#_x0000_t75" stroked="false">
              <v:imagedata r:id="rId5" o:title=""/>
            </v:shape>
            <v:shape style="position:absolute;left:0;top:2900;width:5400;height:617" type="#_x0000_t202" filled="true" fillcolor="#36394f" stroked="false">
              <v:textbox inset="0,0,0,0">
                <w:txbxContent>
                  <w:p>
                    <w:pPr>
                      <w:spacing w:before="14"/>
                      <w:ind w:left="1125" w:right="0" w:firstLine="0"/>
                      <w:jc w:val="left"/>
                      <w:rPr>
                        <w:rFonts w:ascii="Arial"/>
                        <w:b/>
                        <w:sz w:val="40"/>
                      </w:rPr>
                    </w:pPr>
                    <w:bookmarkStart w:name="Slide 6" w:id="6"/>
                    <w:bookmarkEnd w:id="6"/>
                    <w:r>
                      <w:rPr/>
                    </w:r>
                    <w:r>
                      <w:rPr>
                        <w:rFonts w:ascii="Arial"/>
                        <w:b/>
                        <w:color w:val="EBCF6A"/>
                        <w:spacing w:val="-4"/>
                        <w:sz w:val="40"/>
                      </w:rPr>
                      <w:t>OTHER</w:t>
                    </w:r>
                    <w:r>
                      <w:rPr>
                        <w:rFonts w:ascii="Arial"/>
                        <w:b/>
                        <w:color w:val="EBCF6A"/>
                        <w:spacing w:val="-21"/>
                        <w:sz w:val="4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3"/>
                        <w:sz w:val="40"/>
                      </w:rPr>
                      <w:t>UPDATES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pacing w:val="122"/>
          <w:sz w:val="20"/>
        </w:rPr>
      </w:r>
    </w:p>
    <w:p>
      <w:pPr>
        <w:pStyle w:val="BodyText"/>
        <w:spacing w:before="10"/>
        <w:rPr>
          <w:sz w:val="7"/>
        </w:rPr>
      </w:pPr>
    </w:p>
    <w:p>
      <w:pPr>
        <w:pStyle w:val="Heading2"/>
        <w:numPr>
          <w:ilvl w:val="0"/>
          <w:numId w:val="13"/>
        </w:numPr>
        <w:tabs>
          <w:tab w:pos="684" w:val="left" w:leader="none"/>
        </w:tabs>
        <w:spacing w:line="240" w:lineRule="auto" w:before="89" w:after="0"/>
        <w:ind w:left="684" w:right="0" w:hanging="540"/>
        <w:jc w:val="both"/>
      </w:pPr>
      <w:r>
        <w:rPr>
          <w:color w:val="4F576A"/>
        </w:rPr>
        <w:t>I-T</w:t>
      </w:r>
      <w:r>
        <w:rPr>
          <w:color w:val="4F576A"/>
          <w:spacing w:val="-4"/>
        </w:rPr>
        <w:t> </w:t>
      </w:r>
      <w:r>
        <w:rPr>
          <w:color w:val="4F576A"/>
        </w:rPr>
        <w:t>notifies 'Angel</w:t>
      </w:r>
      <w:r>
        <w:rPr>
          <w:color w:val="4F576A"/>
          <w:spacing w:val="1"/>
        </w:rPr>
        <w:t> </w:t>
      </w:r>
      <w:r>
        <w:rPr>
          <w:color w:val="4F576A"/>
        </w:rPr>
        <w:t>Tax'</w:t>
      </w:r>
      <w:r>
        <w:rPr>
          <w:color w:val="4F576A"/>
          <w:spacing w:val="-8"/>
        </w:rPr>
        <w:t> </w:t>
      </w:r>
      <w:r>
        <w:rPr>
          <w:color w:val="4F576A"/>
        </w:rPr>
        <w:t>rules</w:t>
      </w:r>
      <w:r>
        <w:rPr>
          <w:color w:val="4F576A"/>
          <w:spacing w:val="-6"/>
        </w:rPr>
        <w:t> </w:t>
      </w:r>
      <w:r>
        <w:rPr>
          <w:color w:val="4F576A"/>
        </w:rPr>
        <w:t>for</w:t>
      </w:r>
      <w:r>
        <w:rPr>
          <w:color w:val="4F576A"/>
          <w:spacing w:val="-3"/>
        </w:rPr>
        <w:t> </w:t>
      </w:r>
      <w:r>
        <w:rPr>
          <w:color w:val="4F576A"/>
        </w:rPr>
        <w:t>valuing</w:t>
      </w:r>
      <w:r>
        <w:rPr>
          <w:color w:val="4F576A"/>
          <w:spacing w:val="2"/>
        </w:rPr>
        <w:t> </w:t>
      </w:r>
      <w:r>
        <w:rPr>
          <w:color w:val="4F576A"/>
        </w:rPr>
        <w:t>investments</w:t>
      </w:r>
      <w:r>
        <w:rPr>
          <w:color w:val="4F576A"/>
          <w:spacing w:val="7"/>
        </w:rPr>
        <w:t> </w:t>
      </w:r>
      <w:r>
        <w:rPr>
          <w:color w:val="4F576A"/>
        </w:rPr>
        <w:t>in</w:t>
      </w:r>
      <w:r>
        <w:rPr>
          <w:color w:val="4F576A"/>
          <w:spacing w:val="-7"/>
        </w:rPr>
        <w:t> </w:t>
      </w:r>
      <w:r>
        <w:rPr>
          <w:color w:val="4F576A"/>
        </w:rPr>
        <w:t>startups</w:t>
      </w:r>
    </w:p>
    <w:p>
      <w:pPr>
        <w:pStyle w:val="BodyText"/>
        <w:spacing w:before="10"/>
        <w:rPr>
          <w:rFonts w:ascii="Arial"/>
          <w:b/>
          <w:sz w:val="34"/>
        </w:rPr>
      </w:pP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9" w:lineRule="auto" w:before="0" w:after="0"/>
        <w:ind w:left="595" w:right="388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Five new valuation methods introduced allowing valuation of CCPS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too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9" w:lineRule="auto" w:before="3" w:after="0"/>
        <w:ind w:left="595" w:right="389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Valuation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report</w:t>
      </w:r>
      <w:r>
        <w:rPr>
          <w:color w:val="4F576A"/>
          <w:spacing w:val="80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79"/>
          <w:sz w:val="32"/>
        </w:rPr>
        <w:t> </w:t>
      </w:r>
      <w:r>
        <w:rPr>
          <w:color w:val="4F576A"/>
          <w:sz w:val="32"/>
        </w:rPr>
        <w:t>Merchant</w:t>
      </w:r>
      <w:r>
        <w:rPr>
          <w:color w:val="4F576A"/>
          <w:spacing w:val="81"/>
          <w:sz w:val="32"/>
        </w:rPr>
        <w:t> </w:t>
      </w:r>
      <w:r>
        <w:rPr>
          <w:color w:val="4F576A"/>
          <w:sz w:val="32"/>
        </w:rPr>
        <w:t>Banker</w:t>
      </w:r>
      <w:r>
        <w:rPr>
          <w:color w:val="4F576A"/>
          <w:spacing w:val="76"/>
          <w:sz w:val="32"/>
        </w:rPr>
        <w:t> </w:t>
      </w:r>
      <w:r>
        <w:rPr>
          <w:color w:val="4F576A"/>
          <w:sz w:val="32"/>
        </w:rPr>
        <w:t>valid</w:t>
      </w:r>
      <w:r>
        <w:rPr>
          <w:color w:val="4F576A"/>
          <w:spacing w:val="78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90</w:t>
      </w:r>
      <w:r>
        <w:rPr>
          <w:color w:val="4F576A"/>
          <w:spacing w:val="76"/>
          <w:sz w:val="32"/>
        </w:rPr>
        <w:t> </w:t>
      </w:r>
      <w:r>
        <w:rPr>
          <w:color w:val="4F576A"/>
          <w:sz w:val="32"/>
        </w:rPr>
        <w:t>days</w:t>
      </w:r>
      <w:r>
        <w:rPr>
          <w:color w:val="4F576A"/>
          <w:spacing w:val="79"/>
          <w:sz w:val="32"/>
        </w:rPr>
        <w:t> </w:t>
      </w:r>
      <w:r>
        <w:rPr>
          <w:color w:val="4F576A"/>
          <w:sz w:val="32"/>
        </w:rPr>
        <w:t>prior</w:t>
      </w:r>
      <w:r>
        <w:rPr>
          <w:color w:val="4F576A"/>
          <w:spacing w:val="77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issue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shares.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9" w:lineRule="auto" w:before="2" w:after="0"/>
        <w:ind w:left="595" w:right="39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rules,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effective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from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September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25,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also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allow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minor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valuation discrepancies upto 10%, aiming to minimize inconvenience</w:t>
      </w:r>
      <w:r>
        <w:rPr>
          <w:color w:val="4F576A"/>
          <w:spacing w:val="-86"/>
          <w:sz w:val="32"/>
        </w:rPr>
        <w:t> </w:t>
      </w:r>
      <w:r>
        <w:rPr>
          <w:color w:val="4F576A"/>
          <w:sz w:val="32"/>
        </w:rPr>
        <w:t>for</w:t>
      </w:r>
      <w:r>
        <w:rPr>
          <w:color w:val="4F576A"/>
          <w:spacing w:val="3"/>
          <w:sz w:val="32"/>
        </w:rPr>
        <w:t> </w:t>
      </w:r>
      <w:r>
        <w:rPr>
          <w:color w:val="4F576A"/>
          <w:sz w:val="32"/>
        </w:rPr>
        <w:t>investors.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9" w:lineRule="auto" w:before="4" w:after="0"/>
        <w:ind w:left="595" w:right="385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Earlier, only investments made by a resident investor used to attract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angel tax, however it was extended to non-resident investors also in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current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budget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0" w:lineRule="auto" w:before="5" w:after="0"/>
        <w:ind w:left="595" w:right="0" w:hanging="452"/>
        <w:jc w:val="both"/>
        <w:rPr>
          <w:color w:val="4F576A"/>
          <w:sz w:val="32"/>
        </w:rPr>
      </w:pPr>
      <w:hyperlink r:id="rId19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Notification</w:t>
        </w:r>
      </w:hyperlink>
    </w:p>
    <w:p>
      <w:pPr>
        <w:pStyle w:val="Heading2"/>
        <w:numPr>
          <w:ilvl w:val="0"/>
          <w:numId w:val="13"/>
        </w:numPr>
        <w:tabs>
          <w:tab w:pos="684" w:val="left" w:leader="none"/>
        </w:tabs>
        <w:spacing w:line="249" w:lineRule="auto" w:before="235" w:after="0"/>
        <w:ind w:left="684" w:right="391" w:hanging="540"/>
        <w:jc w:val="both"/>
      </w:pPr>
      <w:r>
        <w:rPr>
          <w:color w:val="4F576A"/>
        </w:rPr>
        <w:t>CA</w:t>
      </w:r>
      <w:r>
        <w:rPr>
          <w:color w:val="4F576A"/>
          <w:spacing w:val="1"/>
        </w:rPr>
        <w:t> </w:t>
      </w:r>
      <w:r>
        <w:rPr>
          <w:color w:val="4F576A"/>
        </w:rPr>
        <w:t>Guilty</w:t>
      </w:r>
      <w:r>
        <w:rPr>
          <w:color w:val="4F576A"/>
          <w:spacing w:val="1"/>
        </w:rPr>
        <w:t> </w:t>
      </w:r>
      <w:r>
        <w:rPr>
          <w:color w:val="4F576A"/>
        </w:rPr>
        <w:t>of</w:t>
      </w:r>
      <w:r>
        <w:rPr>
          <w:color w:val="4F576A"/>
          <w:spacing w:val="1"/>
        </w:rPr>
        <w:t> </w:t>
      </w:r>
      <w:r>
        <w:rPr>
          <w:color w:val="4F576A"/>
        </w:rPr>
        <w:t>Professional</w:t>
      </w:r>
      <w:r>
        <w:rPr>
          <w:color w:val="4F576A"/>
          <w:spacing w:val="1"/>
        </w:rPr>
        <w:t> </w:t>
      </w:r>
      <w:r>
        <w:rPr>
          <w:color w:val="4F576A"/>
        </w:rPr>
        <w:t>Misconduct</w:t>
      </w:r>
      <w:r>
        <w:rPr>
          <w:color w:val="4F576A"/>
          <w:spacing w:val="1"/>
        </w:rPr>
        <w:t> </w:t>
      </w:r>
      <w:r>
        <w:rPr>
          <w:color w:val="4F576A"/>
        </w:rPr>
        <w:t>For</w:t>
      </w:r>
      <w:r>
        <w:rPr>
          <w:color w:val="4F576A"/>
          <w:spacing w:val="1"/>
        </w:rPr>
        <w:t> </w:t>
      </w:r>
      <w:r>
        <w:rPr>
          <w:color w:val="4F576A"/>
        </w:rPr>
        <w:t>writing</w:t>
      </w:r>
      <w:r>
        <w:rPr>
          <w:color w:val="4F576A"/>
          <w:spacing w:val="1"/>
        </w:rPr>
        <w:t> </w:t>
      </w:r>
      <w:r>
        <w:rPr>
          <w:color w:val="4F576A"/>
        </w:rPr>
        <w:t>“To</w:t>
      </w:r>
      <w:r>
        <w:rPr>
          <w:color w:val="4F576A"/>
          <w:spacing w:val="1"/>
        </w:rPr>
        <w:t> </w:t>
      </w:r>
      <w:r>
        <w:rPr>
          <w:color w:val="4F576A"/>
        </w:rPr>
        <w:t>Whomsoever</w:t>
      </w:r>
      <w:r>
        <w:rPr>
          <w:color w:val="4F576A"/>
          <w:spacing w:val="11"/>
        </w:rPr>
        <w:t> </w:t>
      </w:r>
      <w:r>
        <w:rPr>
          <w:color w:val="4F576A"/>
        </w:rPr>
        <w:t>it</w:t>
      </w:r>
      <w:r>
        <w:rPr>
          <w:color w:val="4F576A"/>
          <w:spacing w:val="3"/>
        </w:rPr>
        <w:t> </w:t>
      </w:r>
      <w:r>
        <w:rPr>
          <w:color w:val="4F576A"/>
        </w:rPr>
        <w:t>may</w:t>
      </w:r>
      <w:r>
        <w:rPr>
          <w:color w:val="4F576A"/>
          <w:spacing w:val="1"/>
        </w:rPr>
        <w:t> </w:t>
      </w:r>
      <w:r>
        <w:rPr>
          <w:color w:val="4F576A"/>
        </w:rPr>
        <w:t>concern”</w:t>
      </w:r>
      <w:r>
        <w:rPr>
          <w:color w:val="4F576A"/>
          <w:spacing w:val="3"/>
        </w:rPr>
        <w:t> </w:t>
      </w:r>
      <w:r>
        <w:rPr>
          <w:color w:val="4F576A"/>
        </w:rPr>
        <w:t>on a</w:t>
      </w:r>
      <w:r>
        <w:rPr>
          <w:color w:val="4F576A"/>
          <w:spacing w:val="-1"/>
        </w:rPr>
        <w:t> </w:t>
      </w:r>
      <w:r>
        <w:rPr>
          <w:color w:val="4F576A"/>
        </w:rPr>
        <w:t>Certificate.</w:t>
      </w:r>
    </w:p>
    <w:p>
      <w:pPr>
        <w:pStyle w:val="BodyText"/>
        <w:spacing w:before="7"/>
        <w:rPr>
          <w:rFonts w:ascii="Arial"/>
          <w:b/>
          <w:sz w:val="33"/>
        </w:rPr>
      </w:pP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0" w:lineRule="auto" w:before="1" w:after="0"/>
        <w:ind w:left="595" w:right="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In 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matter</w:t>
      </w:r>
      <w:r>
        <w:rPr>
          <w:color w:val="4F576A"/>
          <w:spacing w:val="5"/>
          <w:sz w:val="32"/>
        </w:rPr>
        <w:t> </w:t>
      </w:r>
      <w:r>
        <w:rPr>
          <w:color w:val="4F576A"/>
          <w:sz w:val="32"/>
        </w:rPr>
        <w:t>of</w:t>
      </w:r>
      <w:r>
        <w:rPr>
          <w:color w:val="4F576A"/>
          <w:spacing w:val="88"/>
          <w:sz w:val="32"/>
        </w:rPr>
        <w:t> </w:t>
      </w:r>
      <w:r>
        <w:rPr>
          <w:color w:val="4F576A"/>
          <w:sz w:val="32"/>
        </w:rPr>
        <w:t>Shri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H.G.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Nagaraju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Vs.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CA.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Lingaraj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M. Pujari: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9" w:lineRule="auto" w:before="16" w:after="0"/>
        <w:ind w:left="595" w:right="387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CA was appointed by the Company for issuing a Certificate showing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expenditures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which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were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not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supported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any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bills,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vouchers,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documents,</w:t>
      </w:r>
      <w:r>
        <w:rPr>
          <w:color w:val="4F576A"/>
          <w:spacing w:val="2"/>
          <w:sz w:val="32"/>
        </w:rPr>
        <w:t> </w:t>
      </w:r>
      <w:r>
        <w:rPr>
          <w:color w:val="4F576A"/>
          <w:sz w:val="32"/>
        </w:rPr>
        <w:t>etc.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9" w:lineRule="auto" w:before="4" w:after="0"/>
        <w:ind w:left="595" w:right="388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The Certificate issued by him was not addressed to the company but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addressed to “To Whomsoever It May Concern" and the purpose for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which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same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had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been</w:t>
      </w:r>
      <w:r>
        <w:rPr>
          <w:color w:val="4F576A"/>
          <w:spacing w:val="-2"/>
          <w:sz w:val="32"/>
        </w:rPr>
        <w:t> </w:t>
      </w:r>
      <w:r>
        <w:rPr>
          <w:color w:val="4F576A"/>
          <w:sz w:val="32"/>
        </w:rPr>
        <w:t>issued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was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not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specified</w:t>
      </w:r>
      <w:r>
        <w:rPr>
          <w:color w:val="4F576A"/>
          <w:spacing w:val="-3"/>
          <w:sz w:val="32"/>
        </w:rPr>
        <w:t> </w:t>
      </w:r>
      <w:r>
        <w:rPr>
          <w:color w:val="4F576A"/>
          <w:sz w:val="32"/>
        </w:rPr>
        <w:t>therein.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9" w:lineRule="auto" w:before="4" w:after="0"/>
        <w:ind w:left="595" w:right="390" w:hanging="452"/>
        <w:jc w:val="both"/>
        <w:rPr>
          <w:color w:val="4F576A"/>
          <w:sz w:val="32"/>
        </w:rPr>
      </w:pPr>
      <w:r>
        <w:rPr>
          <w:color w:val="4F576A"/>
          <w:sz w:val="32"/>
        </w:rPr>
        <w:t>As the CA had been appointed by the company and the Certificate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should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be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addressed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the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company and</w:t>
      </w:r>
      <w:r>
        <w:rPr>
          <w:color w:val="4F576A"/>
          <w:spacing w:val="-1"/>
          <w:sz w:val="32"/>
        </w:rPr>
        <w:t> </w:t>
      </w:r>
      <w:r>
        <w:rPr>
          <w:color w:val="4F576A"/>
          <w:sz w:val="32"/>
        </w:rPr>
        <w:t>not to</w:t>
      </w:r>
      <w:r>
        <w:rPr>
          <w:color w:val="4F576A"/>
          <w:spacing w:val="1"/>
          <w:sz w:val="32"/>
        </w:rPr>
        <w:t> </w:t>
      </w:r>
      <w:r>
        <w:rPr>
          <w:color w:val="4F576A"/>
          <w:sz w:val="32"/>
        </w:rPr>
        <w:t>unidentified</w:t>
      </w:r>
      <w:r>
        <w:rPr>
          <w:color w:val="4F576A"/>
          <w:spacing w:val="-4"/>
          <w:sz w:val="32"/>
        </w:rPr>
        <w:t> </w:t>
      </w:r>
      <w:r>
        <w:rPr>
          <w:color w:val="4F576A"/>
          <w:sz w:val="32"/>
        </w:rPr>
        <w:t>users.</w:t>
      </w:r>
    </w:p>
    <w:p>
      <w:pPr>
        <w:pStyle w:val="ListParagraph"/>
        <w:numPr>
          <w:ilvl w:val="0"/>
          <w:numId w:val="12"/>
        </w:numPr>
        <w:tabs>
          <w:tab w:pos="596" w:val="left" w:leader="none"/>
        </w:tabs>
        <w:spacing w:line="240" w:lineRule="auto" w:before="3" w:after="0"/>
        <w:ind w:left="595" w:right="0" w:hanging="452"/>
        <w:jc w:val="both"/>
        <w:rPr>
          <w:color w:val="67C6C0"/>
          <w:sz w:val="32"/>
        </w:rPr>
      </w:pPr>
      <w:hyperlink r:id="rId20">
        <w:r>
          <w:rPr>
            <w:color w:val="67C6C0"/>
            <w:sz w:val="32"/>
            <w:u w:val="thick" w:color="67C6C0"/>
          </w:rPr>
          <w:t>Click</w:t>
        </w:r>
        <w:r>
          <w:rPr>
            <w:color w:val="67C6C0"/>
            <w:spacing w:val="-5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here</w:t>
        </w:r>
        <w:r>
          <w:rPr>
            <w:color w:val="67C6C0"/>
            <w:spacing w:val="-2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for</w:t>
        </w:r>
        <w:r>
          <w:rPr>
            <w:color w:val="67C6C0"/>
            <w:spacing w:val="2"/>
            <w:sz w:val="32"/>
            <w:u w:val="thick" w:color="67C6C0"/>
          </w:rPr>
          <w:t> </w:t>
        </w:r>
        <w:r>
          <w:rPr>
            <w:color w:val="67C6C0"/>
            <w:sz w:val="32"/>
            <w:u w:val="thick" w:color="67C6C0"/>
          </w:rPr>
          <w:t>Order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1"/>
        <w:tabs>
          <w:tab w:pos="6244" w:val="left" w:leader="none"/>
          <w:tab w:pos="10310" w:val="left" w:leader="none"/>
        </w:tabs>
        <w:spacing w:before="88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310895</wp:posOffset>
            </wp:positionH>
            <wp:positionV relativeFrom="paragraph">
              <wp:posOffset>-793117</wp:posOffset>
            </wp:positionV>
            <wp:extent cx="2682240" cy="1341120"/>
            <wp:effectExtent l="0" t="0" r="0" b="0"/>
            <wp:wrapNone/>
            <wp:docPr id="17" name="image8.jpeg" descr="A row of colorful books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w w:val="100"/>
          <w:shd w:fill="36394F" w:color="auto" w:val="clear"/>
        </w:rPr>
        <w:t> </w:t>
      </w:r>
      <w:r>
        <w:rPr>
          <w:color w:val="EBCF6A"/>
          <w:shd w:fill="36394F" w:color="auto" w:val="clear"/>
        </w:rPr>
        <w:tab/>
      </w:r>
      <w:r>
        <w:rPr>
          <w:color w:val="EBCF6A"/>
          <w:shd w:fill="36394F" w:color="auto" w:val="clear"/>
        </w:rPr>
        <w:t>PUBLICATIONS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725" w:val="left" w:leader="none"/>
          <w:tab w:pos="726" w:val="left" w:leader="none"/>
        </w:tabs>
        <w:spacing w:line="249" w:lineRule="auto" w:before="219" w:after="0"/>
        <w:ind w:left="725" w:right="381" w:hanging="540"/>
        <w:jc w:val="left"/>
        <w:rPr>
          <w:sz w:val="32"/>
        </w:rPr>
      </w:pPr>
      <w:hyperlink r:id="rId22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our</w:t>
        </w:r>
        <w:r>
          <w:rPr>
            <w:color w:val="56C1B8"/>
            <w:spacing w:val="-17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Article</w:t>
        </w:r>
        <w:r>
          <w:rPr>
            <w:color w:val="56C1B8"/>
            <w:spacing w:val="-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on</w:t>
        </w:r>
        <w:r>
          <w:rPr>
            <w:color w:val="56C1B8"/>
            <w:spacing w:val="-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Convertible</w:t>
        </w:r>
        <w:r>
          <w:rPr>
            <w:color w:val="56C1B8"/>
            <w:spacing w:val="-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Note</w:t>
        </w:r>
        <w:r>
          <w:rPr>
            <w:color w:val="56C1B8"/>
            <w:spacing w:val="5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-</w:t>
        </w:r>
        <w:r>
          <w:rPr>
            <w:color w:val="56C1B8"/>
            <w:spacing w:val="-18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Additional</w:t>
        </w:r>
        <w:r>
          <w:rPr>
            <w:color w:val="56C1B8"/>
            <w:spacing w:val="-8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and flexible</w:t>
        </w:r>
      </w:hyperlink>
      <w:r>
        <w:rPr>
          <w:color w:val="56C1B8"/>
          <w:spacing w:val="-86"/>
          <w:sz w:val="32"/>
        </w:rPr>
        <w:t> </w:t>
      </w:r>
      <w:hyperlink r:id="rId22">
        <w:r>
          <w:rPr>
            <w:color w:val="56C1B8"/>
            <w:sz w:val="32"/>
            <w:u w:val="thick" w:color="56C1B8"/>
          </w:rPr>
          <w:t>funding</w:t>
        </w:r>
        <w:r>
          <w:rPr>
            <w:color w:val="56C1B8"/>
            <w:spacing w:val="-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option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</w:t>
        </w:r>
        <w:r>
          <w:rPr>
            <w:color w:val="56C1B8"/>
            <w:spacing w:val="4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startups</w:t>
        </w:r>
      </w:hyperlink>
    </w:p>
    <w:p>
      <w:pPr>
        <w:pStyle w:val="ListParagraph"/>
        <w:numPr>
          <w:ilvl w:val="0"/>
          <w:numId w:val="14"/>
        </w:numPr>
        <w:tabs>
          <w:tab w:pos="725" w:val="left" w:leader="none"/>
          <w:tab w:pos="726" w:val="left" w:leader="none"/>
        </w:tabs>
        <w:spacing w:line="249" w:lineRule="auto" w:before="3" w:after="0"/>
        <w:ind w:left="725" w:right="72" w:hanging="540"/>
        <w:jc w:val="left"/>
        <w:rPr>
          <w:sz w:val="32"/>
        </w:rPr>
      </w:pPr>
      <w:r>
        <w:rPr/>
        <w:pict>
          <v:shape style="position:absolute;margin-left:11.448pt;margin-top:54.042713pt;width:517.7pt;height:17pt;mso-position-horizontal-relative:page;mso-position-vertical-relative:paragraph;z-index:-16049664" type="#_x0000_t202" filled="false" stroked="false">
            <v:textbox inset="0,0,0,0">
              <w:txbxContent>
                <w:p>
                  <w:pPr>
                    <w:tabs>
                      <w:tab w:pos="7296" w:val="left" w:leader="none"/>
                    </w:tabs>
                    <w:spacing w:line="340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51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4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1.781635pt;width:539.950pt;height:20.4pt;mso-position-horizontal-relative:page;mso-position-vertical-relative:paragraph;z-index:15741952" coordorigin="0,1036" coordsize="10799,408">
            <v:rect style="position:absolute;left:0;top:1035;width:10799;height:408" filled="true" fillcolor="#36394f" stroked="false">
              <v:fill type="solid"/>
            </v:rect>
            <v:shape style="position:absolute;left:117;top:1060;width:281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4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10;top:1060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23">
        <w:r>
          <w:rPr>
            <w:color w:val="56C1B8"/>
            <w:sz w:val="32"/>
            <w:u w:val="thick" w:color="56C1B8"/>
          </w:rPr>
          <w:t>Click</w:t>
        </w:r>
        <w:r>
          <w:rPr>
            <w:color w:val="56C1B8"/>
            <w:spacing w:val="-7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here</w:t>
        </w:r>
        <w:r>
          <w:rPr>
            <w:color w:val="56C1B8"/>
            <w:spacing w:val="-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for our</w:t>
        </w:r>
        <w:r>
          <w:rPr>
            <w:color w:val="56C1B8"/>
            <w:spacing w:val="-17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Article</w:t>
        </w:r>
        <w:r>
          <w:rPr>
            <w:color w:val="56C1B8"/>
            <w:spacing w:val="-6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on</w:t>
        </w:r>
        <w:r>
          <w:rPr>
            <w:color w:val="56C1B8"/>
            <w:spacing w:val="-4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Differential</w:t>
        </w:r>
        <w:r>
          <w:rPr>
            <w:color w:val="56C1B8"/>
            <w:spacing w:val="-3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Right</w:t>
        </w:r>
        <w:r>
          <w:rPr>
            <w:color w:val="56C1B8"/>
            <w:spacing w:val="-4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Shares</w:t>
        </w:r>
        <w:r>
          <w:rPr>
            <w:color w:val="56C1B8"/>
            <w:spacing w:val="-4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under</w:t>
        </w:r>
        <w:r>
          <w:rPr>
            <w:color w:val="56C1B8"/>
            <w:spacing w:val="-1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Companies</w:t>
        </w:r>
      </w:hyperlink>
      <w:r>
        <w:rPr>
          <w:color w:val="56C1B8"/>
          <w:spacing w:val="-86"/>
          <w:sz w:val="32"/>
        </w:rPr>
        <w:t> </w:t>
      </w:r>
      <w:hyperlink r:id="rId23">
        <w:r>
          <w:rPr>
            <w:color w:val="56C1B8"/>
            <w:sz w:val="32"/>
            <w:u w:val="thick" w:color="56C1B8"/>
          </w:rPr>
          <w:t>Act</w:t>
        </w:r>
        <w:r>
          <w:rPr>
            <w:color w:val="56C1B8"/>
            <w:spacing w:val="-2"/>
            <w:sz w:val="32"/>
            <w:u w:val="thick" w:color="56C1B8"/>
          </w:rPr>
          <w:t> </w:t>
        </w:r>
        <w:r>
          <w:rPr>
            <w:color w:val="56C1B8"/>
            <w:sz w:val="32"/>
            <w:u w:val="thick" w:color="56C1B8"/>
          </w:rPr>
          <w:t>2013</w:t>
        </w:r>
      </w:hyperlink>
    </w:p>
    <w:p>
      <w:pPr>
        <w:spacing w:after="0" w:line="249" w:lineRule="auto"/>
        <w:jc w:val="left"/>
        <w:rPr>
          <w:sz w:val="32"/>
        </w:rPr>
        <w:sectPr>
          <w:pgSz w:w="10800" w:h="19200"/>
          <w:pgMar w:top="16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540pt;height:960pt;mso-position-horizontal-relative:page;mso-position-vertical-relative:page;z-index:-16046592" filled="true" fillcolor="#fdfcf8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tabs>
          <w:tab w:pos="6842" w:val="left" w:leader="none"/>
          <w:tab w:pos="10598" w:val="left" w:leader="none"/>
        </w:tabs>
        <w:spacing w:before="218"/>
        <w:ind w:left="5400"/>
      </w:pPr>
      <w:r>
        <w:rPr/>
        <w:pict>
          <v:group style="position:absolute;margin-left:424.079987pt;margin-top:-126.510216pt;width:89.3pt;height:159.75pt;mso-position-horizontal-relative:page;mso-position-vertical-relative:paragraph;z-index:-16046080" coordorigin="8482,-2530" coordsize="1786,3195">
            <v:shape style="position:absolute;left:9192;top:-2531;width:855;height:3195" type="#_x0000_t75" stroked="false">
              <v:imagedata r:id="rId24" o:title=""/>
            </v:shape>
            <v:shape style="position:absolute;left:8481;top:-2207;width:1786;height:1798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379475</wp:posOffset>
            </wp:positionH>
            <wp:positionV relativeFrom="paragraph">
              <wp:posOffset>-1405511</wp:posOffset>
            </wp:positionV>
            <wp:extent cx="2699004" cy="1795272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004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7" w:id="7"/>
      <w:bookmarkEnd w:id="7"/>
      <w:r>
        <w:rPr>
          <w:b w:val="0"/>
        </w:rPr>
      </w:r>
      <w:r>
        <w:rPr>
          <w:color w:val="EBCF6A"/>
          <w:w w:val="100"/>
          <w:shd w:fill="394558" w:color="auto" w:val="clear"/>
        </w:rPr>
        <w:t> </w:t>
      </w:r>
      <w:r>
        <w:rPr>
          <w:color w:val="EBCF6A"/>
          <w:shd w:fill="394558" w:color="auto" w:val="clear"/>
        </w:rPr>
        <w:tab/>
      </w:r>
      <w:r>
        <w:rPr>
          <w:color w:val="EBCF6A"/>
          <w:shd w:fill="394558" w:color="auto" w:val="clear"/>
        </w:rPr>
        <w:t>DUE</w:t>
      </w:r>
      <w:r>
        <w:rPr>
          <w:color w:val="EBCF6A"/>
          <w:spacing w:val="22"/>
          <w:shd w:fill="394558" w:color="auto" w:val="clear"/>
        </w:rPr>
        <w:t> </w:t>
      </w:r>
      <w:r>
        <w:rPr>
          <w:color w:val="EBCF6A"/>
          <w:shd w:fill="394558" w:color="auto" w:val="clear"/>
        </w:rPr>
        <w:t>DATES</w:t>
        <w:tab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11"/>
        </w:rPr>
      </w:pPr>
    </w:p>
    <w:tbl>
      <w:tblPr>
        <w:tblW w:w="0" w:type="auto"/>
        <w:jc w:val="left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7"/>
        <w:gridCol w:w="1413"/>
        <w:gridCol w:w="1413"/>
        <w:gridCol w:w="1413"/>
        <w:gridCol w:w="1413"/>
        <w:gridCol w:w="1413"/>
        <w:gridCol w:w="1413"/>
      </w:tblGrid>
      <w:tr>
        <w:trPr>
          <w:trHeight w:val="727" w:hRule="atLeast"/>
        </w:trPr>
        <w:tc>
          <w:tcPr>
            <w:tcW w:w="1357" w:type="dxa"/>
            <w:shd w:val="clear" w:color="auto" w:fill="4F81BB"/>
          </w:tcPr>
          <w:p>
            <w:pPr>
              <w:pStyle w:val="TableParagraph"/>
              <w:spacing w:before="174"/>
              <w:ind w:left="45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50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5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0" w:right="388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13" w:type="dxa"/>
            <w:shd w:val="clear" w:color="auto" w:fill="4F81BB"/>
          </w:tcPr>
          <w:p>
            <w:pPr>
              <w:pStyle w:val="TableParagraph"/>
              <w:spacing w:before="174"/>
              <w:ind w:left="431" w:right="25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spacing w:before="107"/>
              <w:ind w:left="2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1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7"/>
              <w:ind w:left="2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2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7"/>
              <w:ind w:left="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3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7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4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7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5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107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6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7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1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8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100"/>
                <w:sz w:val="28"/>
              </w:rPr>
              <w:t>9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0"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13" w:type="dxa"/>
            <w:shd w:val="clear" w:color="auto" w:fill="D99593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</w:tr>
      <w:tr>
        <w:trPr>
          <w:trHeight w:val="582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59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0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0"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13" w:type="dxa"/>
            <w:shd w:val="clear" w:color="auto" w:fill="C3D59B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</w:tr>
      <w:tr>
        <w:trPr>
          <w:trHeight w:val="623" w:hRule="atLeast"/>
        </w:trPr>
        <w:tc>
          <w:tcPr>
            <w:tcW w:w="1357" w:type="dxa"/>
            <w:shd w:val="clear" w:color="auto" w:fill="FDFCF8"/>
          </w:tcPr>
          <w:p>
            <w:pPr>
              <w:pStyle w:val="TableParagraph"/>
              <w:ind w:left="59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0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62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625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431" w:right="26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ind w:left="0"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13" w:type="dxa"/>
            <w:shd w:val="clear" w:color="auto" w:fill="FFFFFF"/>
          </w:tcPr>
          <w:p>
            <w:pPr>
              <w:pStyle w:val="TableParagraph"/>
              <w:ind w:left="431" w:right="26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</w:tr>
      <w:tr>
        <w:trPr>
          <w:trHeight w:val="669" w:hRule="atLeast"/>
        </w:trPr>
        <w:tc>
          <w:tcPr>
            <w:tcW w:w="1357" w:type="dxa"/>
            <w:shd w:val="clear" w:color="auto" w:fill="F9C090"/>
          </w:tcPr>
          <w:p>
            <w:pPr>
              <w:pStyle w:val="TableParagraph"/>
              <w:ind w:left="59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413" w:type="dxa"/>
            <w:shd w:val="clear" w:color="auto" w:fill="FFFF00"/>
          </w:tcPr>
          <w:p>
            <w:pPr>
              <w:pStyle w:val="TableParagraph"/>
              <w:ind w:left="430" w:right="2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13" w:type="dxa"/>
            <w:shd w:val="clear" w:color="auto" w:fill="B8CDE4"/>
          </w:tcPr>
          <w:p>
            <w:pPr>
              <w:pStyle w:val="TableParagraph"/>
              <w:ind w:left="622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31</w:t>
            </w: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9"/>
        <w:rPr>
          <w:rFonts w:ascii="Arial"/>
          <w:b/>
          <w:sz w:val="18"/>
        </w:rPr>
      </w:pPr>
      <w:r>
        <w:rPr/>
        <w:pict>
          <v:shape style="position:absolute;margin-left:305.040009pt;margin-top:12.792973pt;width:141.8pt;height:36.4pt;mso-position-horizontal-relative:page;mso-position-vertical-relative:paragraph;z-index:-15714304;mso-wrap-distance-left:0;mso-wrap-distance-right:0" coordorigin="6101,256" coordsize="2836,728" path="m8936,816l7518,816,7518,256,6101,256,6101,816,6101,983,7518,983,8936,983,8936,816xe" filled="true" fillcolor="#ffffff" stroked="false">
            <v:path arrowok="t"/>
            <v:fill type="solid"/>
            <w10:wrap type="topAndBottom"/>
          </v:shape>
        </w:pict>
      </w:r>
    </w:p>
    <w:p>
      <w:pPr>
        <w:tabs>
          <w:tab w:pos="10353" w:val="left" w:leader="none"/>
        </w:tabs>
        <w:spacing w:line="348" w:lineRule="exact" w:before="0"/>
        <w:ind w:left="484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color w:val="EBCF6A"/>
          <w:w w:val="9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pacing w:val="-55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Due</w:t>
      </w:r>
      <w:r>
        <w:rPr>
          <w:rFonts w:ascii="Arial"/>
          <w:b/>
          <w:color w:val="EBCF6A"/>
          <w:spacing w:val="58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Dates</w:t>
      </w:r>
      <w:r>
        <w:rPr>
          <w:rFonts w:ascii="Arial"/>
          <w:b/>
          <w:color w:val="EBCF6A"/>
          <w:spacing w:val="69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under</w:t>
      </w:r>
      <w:r>
        <w:rPr>
          <w:rFonts w:ascii="Arial"/>
          <w:b/>
          <w:color w:val="EBCF6A"/>
          <w:spacing w:val="72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various</w:t>
      </w:r>
      <w:r>
        <w:rPr>
          <w:rFonts w:ascii="Arial"/>
          <w:b/>
          <w:color w:val="EBCF6A"/>
          <w:spacing w:val="83"/>
          <w:sz w:val="32"/>
          <w:shd w:fill="36394F" w:color="auto" w:val="clear"/>
        </w:rPr>
        <w:t> </w:t>
      </w:r>
      <w:r>
        <w:rPr>
          <w:rFonts w:ascii="Arial"/>
          <w:b/>
          <w:color w:val="EBCF6A"/>
          <w:sz w:val="32"/>
          <w:shd w:fill="36394F" w:color="auto" w:val="clear"/>
        </w:rPr>
        <w:t>laws</w:t>
        <w:tab/>
      </w:r>
    </w:p>
    <w:p>
      <w:pPr>
        <w:pStyle w:val="BodyText"/>
        <w:spacing w:before="7"/>
        <w:rPr>
          <w:rFonts w:ascii="Arial"/>
          <w:b/>
          <w:sz w:val="6"/>
        </w:rPr>
      </w:pPr>
    </w:p>
    <w:tbl>
      <w:tblPr>
        <w:tblW w:w="0" w:type="auto"/>
        <w:jc w:val="left"/>
        <w:tblInd w:w="4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7"/>
        <w:gridCol w:w="7027"/>
      </w:tblGrid>
      <w:tr>
        <w:trPr>
          <w:trHeight w:val="796" w:hRule="atLeast"/>
        </w:trPr>
        <w:tc>
          <w:tcPr>
            <w:tcW w:w="2947" w:type="dxa"/>
            <w:shd w:val="clear" w:color="auto" w:fill="D99593"/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0"/>
              <w:ind w:left="306" w:right="28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October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</w:tcPr>
          <w:p>
            <w:pPr>
              <w:pStyle w:val="TableParagraph"/>
              <w:spacing w:line="249" w:lineRule="auto" w:before="71"/>
              <w:ind w:right="636"/>
              <w:rPr>
                <w:sz w:val="28"/>
              </w:rPr>
            </w:pPr>
            <w:r>
              <w:rPr>
                <w:sz w:val="28"/>
              </w:rPr>
              <w:t>Notice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to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registrar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Appointment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Statutory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Auditor(ADT-1)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if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AGM date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is of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30th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September</w:t>
            </w:r>
          </w:p>
        </w:tc>
      </w:tr>
      <w:tr>
        <w:trPr>
          <w:trHeight w:val="796" w:hRule="atLeast"/>
        </w:trPr>
        <w:tc>
          <w:tcPr>
            <w:tcW w:w="2947" w:type="dxa"/>
            <w:shd w:val="clear" w:color="auto" w:fill="C3D59B"/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1"/>
              <w:ind w:left="338" w:right="24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position w:val="8"/>
                <w:sz w:val="18"/>
              </w:rPr>
              <w:t>st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October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</w:tcPr>
          <w:p>
            <w:pPr>
              <w:pStyle w:val="TableParagraph"/>
              <w:spacing w:line="249" w:lineRule="auto" w:before="72"/>
              <w:rPr>
                <w:sz w:val="28"/>
              </w:rPr>
            </w:pPr>
            <w:r>
              <w:rPr>
                <w:sz w:val="28"/>
              </w:rPr>
              <w:t>Shareholding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Pattern,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Corporate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Governance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Report,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Statement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Investor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complaints.</w:t>
            </w:r>
          </w:p>
        </w:tc>
      </w:tr>
      <w:tr>
        <w:trPr>
          <w:trHeight w:val="1131" w:hRule="atLeast"/>
        </w:trPr>
        <w:tc>
          <w:tcPr>
            <w:tcW w:w="2947" w:type="dxa"/>
            <w:shd w:val="clear" w:color="auto" w:fill="F9C090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212"/>
              <w:ind w:left="306" w:right="287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October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right="540"/>
              <w:jc w:val="both"/>
              <w:rPr>
                <w:sz w:val="28"/>
              </w:rPr>
            </w:pPr>
            <w:r>
              <w:rPr>
                <w:sz w:val="28"/>
              </w:rPr>
              <w:t>Filing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of Annual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Accounts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(Form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AOC-4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or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AOC 4</w:t>
            </w:r>
            <w:r>
              <w:rPr>
                <w:spacing w:val="-76"/>
                <w:sz w:val="28"/>
              </w:rPr>
              <w:t> </w:t>
            </w:r>
            <w:r>
              <w:rPr>
                <w:sz w:val="28"/>
              </w:rPr>
              <w:t>XBRL)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if the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AGM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date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is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of 30th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September,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Filing</w:t>
            </w:r>
            <w:r>
              <w:rPr>
                <w:spacing w:val="-76"/>
                <w:sz w:val="28"/>
              </w:rPr>
              <w:t> </w:t>
            </w:r>
            <w:r>
              <w:rPr>
                <w:sz w:val="28"/>
              </w:rPr>
              <w:t>Report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AGM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(For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listed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company)(MGT15).</w:t>
            </w:r>
          </w:p>
        </w:tc>
      </w:tr>
      <w:tr>
        <w:trPr>
          <w:trHeight w:val="943" w:hRule="atLeast"/>
        </w:trPr>
        <w:tc>
          <w:tcPr>
            <w:tcW w:w="2947" w:type="dxa"/>
            <w:shd w:val="clear" w:color="auto" w:fill="FFFF00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212"/>
              <w:ind w:left="306" w:right="28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position w:val="8"/>
                <w:sz w:val="18"/>
              </w:rPr>
              <w:t>th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October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  <w:shd w:val="clear" w:color="auto" w:fill="FDFCF8"/>
          </w:tcPr>
          <w:p>
            <w:pPr>
              <w:pStyle w:val="TableParagraph"/>
              <w:spacing w:before="72"/>
              <w:rPr>
                <w:sz w:val="28"/>
              </w:rPr>
            </w:pPr>
            <w:r>
              <w:rPr>
                <w:sz w:val="28"/>
              </w:rPr>
              <w:t>Statement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of Account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&amp;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Solvency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LLP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(Form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8).</w:t>
            </w:r>
          </w:p>
        </w:tc>
      </w:tr>
      <w:tr>
        <w:trPr>
          <w:trHeight w:val="943" w:hRule="atLeast"/>
        </w:trPr>
        <w:tc>
          <w:tcPr>
            <w:tcW w:w="2947" w:type="dxa"/>
            <w:shd w:val="clear" w:color="auto" w:fill="B8CDE4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spacing w:before="212"/>
              <w:ind w:left="303" w:right="28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position w:val="8"/>
                <w:sz w:val="18"/>
              </w:rPr>
              <w:t>st</w:t>
            </w:r>
            <w:r>
              <w:rPr>
                <w:spacing w:val="27"/>
                <w:position w:val="8"/>
                <w:sz w:val="18"/>
              </w:rPr>
              <w:t> </w:t>
            </w:r>
            <w:r>
              <w:rPr>
                <w:sz w:val="28"/>
              </w:rPr>
              <w:t>October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2023</w:t>
            </w:r>
          </w:p>
        </w:tc>
        <w:tc>
          <w:tcPr>
            <w:tcW w:w="7027" w:type="dxa"/>
            <w:shd w:val="clear" w:color="auto" w:fill="FDFCF8"/>
          </w:tcPr>
          <w:p>
            <w:pPr>
              <w:pStyle w:val="TableParagraph"/>
              <w:spacing w:line="249" w:lineRule="auto" w:before="72"/>
              <w:ind w:right="421"/>
              <w:rPr>
                <w:sz w:val="28"/>
              </w:rPr>
            </w:pPr>
            <w:r>
              <w:rPr>
                <w:sz w:val="28"/>
              </w:rPr>
              <w:t>Half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Yearly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forms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outstanding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payment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to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MSME</w:t>
            </w:r>
            <w:r>
              <w:rPr>
                <w:spacing w:val="-75"/>
                <w:sz w:val="28"/>
              </w:rPr>
              <w:t> </w:t>
            </w:r>
            <w:r>
              <w:rPr>
                <w:sz w:val="28"/>
              </w:rPr>
              <w:t>(MSME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FORM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1).</w:t>
            </w:r>
          </w:p>
        </w:tc>
      </w:tr>
    </w:tbl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rPr>
          <w:rFonts w:ascii="Arial"/>
          <w:b/>
          <w:sz w:val="35"/>
        </w:rPr>
      </w:pPr>
    </w:p>
    <w:p>
      <w:pPr>
        <w:spacing w:before="0"/>
        <w:ind w:left="70" w:right="0" w:firstLine="0"/>
        <w:jc w:val="left"/>
        <w:rPr>
          <w:rFonts w:ascii="Arial"/>
          <w:b/>
          <w:i/>
          <w:sz w:val="22"/>
        </w:rPr>
      </w:pPr>
      <w:r>
        <w:rPr/>
        <w:pict>
          <v:shape style="position:absolute;margin-left:305.040009pt;margin-top:-425.737152pt;width:141.8pt;height:28.5pt;mso-position-horizontal-relative:page;mso-position-vertical-relative:paragraph;z-index:-16045568" coordorigin="6101,-8515" coordsize="2836,570" path="m8936,-8515l7518,-8515,6101,-8515,6101,-7945,7518,-7945,7518,-8505,8936,-8505,8936,-8515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446.799988pt;margin-top:-397.247131pt;width:70.88pt;height:32.089pt;mso-position-horizontal-relative:page;mso-position-vertical-relative:paragraph;z-index:-16045056" filled="true" fillcolor="#ffffff" stroked="false">
            <v:fill type="solid"/>
            <w10:wrap type="none"/>
          </v:rect>
        </w:pict>
      </w:r>
      <w:r>
        <w:rPr>
          <w:rFonts w:ascii="Arial"/>
          <w:b/>
          <w:i/>
          <w:color w:val="7C7C7C"/>
          <w:sz w:val="22"/>
        </w:rPr>
        <w:t>Disclaimer</w:t>
      </w:r>
    </w:p>
    <w:p>
      <w:pPr>
        <w:spacing w:line="249" w:lineRule="auto" w:before="11"/>
        <w:ind w:left="70" w:right="51" w:firstLine="0"/>
        <w:jc w:val="both"/>
        <w:rPr>
          <w:rFonts w:ascii="Arial"/>
          <w:b/>
          <w:i/>
          <w:sz w:val="22"/>
        </w:rPr>
      </w:pPr>
      <w:r>
        <w:rPr/>
        <w:pict>
          <v:shape style="position:absolute;margin-left:6.072pt;margin-top:61.512772pt;width:523.15pt;height:16.8pt;mso-position-horizontal-relative:page;mso-position-vertical-relative:paragraph;z-index:-16047104" type="#_x0000_t202" filled="false" stroked="false">
            <v:textbox inset="0,0,0,0">
              <w:txbxContent>
                <w:p>
                  <w:pPr>
                    <w:tabs>
                      <w:tab w:pos="7402" w:val="left" w:leader="none"/>
                    </w:tabs>
                    <w:spacing w:line="335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color w:val="EBCF6A"/>
                      <w:spacing w:val="11"/>
                      <w:sz w:val="28"/>
                    </w:rPr>
                    <w:t>DECEMBER</w:t>
                  </w:r>
                  <w:r>
                    <w:rPr>
                      <w:rFonts w:ascii="Arial"/>
                      <w:b/>
                      <w:color w:val="EBCF6A"/>
                      <w:spacing w:val="23"/>
                      <w:sz w:val="28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16"/>
                      <w:sz w:val="30"/>
                    </w:rPr>
                    <w:t>2022</w:t>
                    <w:tab/>
                  </w:r>
                  <w:r>
                    <w:rPr>
                      <w:rFonts w:ascii="Arial"/>
                      <w:b/>
                      <w:color w:val="EBCF6A"/>
                      <w:spacing w:val="-17"/>
                      <w:sz w:val="30"/>
                    </w:rPr>
                    <w:t>KNOWLEDGE</w:t>
                  </w:r>
                  <w:r>
                    <w:rPr>
                      <w:rFonts w:ascii="Arial"/>
                      <w:b/>
                      <w:color w:val="EBCF6A"/>
                      <w:spacing w:val="-11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color w:val="EBCF6A"/>
                      <w:spacing w:val="-16"/>
                      <w:sz w:val="30"/>
                    </w:rPr>
                    <w:t>UPDATE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59.011692pt;width:539.950pt;height:20.4pt;mso-position-horizontal-relative:page;mso-position-vertical-relative:paragraph;z-index:15746560" coordorigin="0,1180" coordsize="10799,408">
            <v:rect style="position:absolute;left:0;top:1180;width:10799;height:408" filled="true" fillcolor="#36394f" stroked="false">
              <v:fill type="solid"/>
            </v:rect>
            <v:shape style="position:absolute;left:117;top:1204;width:2812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18"/>
                        <w:sz w:val="28"/>
                      </w:rPr>
                      <w:t>SEPTEMBER</w:t>
                    </w:r>
                    <w:r>
                      <w:rPr>
                        <w:rFonts w:ascii="Arial"/>
                        <w:b/>
                        <w:color w:val="EBCF6A"/>
                        <w:spacing w:val="4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22"/>
                        <w:sz w:val="30"/>
                      </w:rPr>
                      <w:t>2023</w:t>
                    </w:r>
                  </w:p>
                </w:txbxContent>
              </v:textbox>
              <w10:wrap type="none"/>
            </v:shape>
            <v:shape style="position:absolute;left:7410;top:1204;width:3131;height:336" type="#_x0000_t202" filled="false" stroked="false">
              <v:textbox inset="0,0,0,0">
                <w:txbxContent>
                  <w:p>
                    <w:pPr>
                      <w:spacing w:line="335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EBCF6A"/>
                        <w:spacing w:val="-13"/>
                        <w:sz w:val="30"/>
                      </w:rPr>
                      <w:t>KNOWLEDGE</w:t>
                    </w:r>
                    <w:r>
                      <w:rPr>
                        <w:rFonts w:ascii="Arial"/>
                        <w:b/>
                        <w:color w:val="EBCF6A"/>
                        <w:spacing w:val="-9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EBCF6A"/>
                        <w:spacing w:val="-12"/>
                        <w:sz w:val="30"/>
                      </w:rPr>
                      <w:t>UPDATE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b/>
          <w:i/>
          <w:color w:val="7C7C7C"/>
          <w:sz w:val="22"/>
        </w:rPr>
        <w:t>This newsletter is a compilation of updates prepared and circulated from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 academic point of view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only and are not intended to constitute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professional advice on any matter. The views and opinions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expressed in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this newsletter are those of the author of this document and are based on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 internal</w:t>
      </w:r>
      <w:r>
        <w:rPr>
          <w:rFonts w:ascii="Arial"/>
          <w:b/>
          <w:i/>
          <w:color w:val="7C7C7C"/>
          <w:spacing w:val="1"/>
          <w:sz w:val="22"/>
        </w:rPr>
        <w:t> </w:t>
      </w:r>
      <w:r>
        <w:rPr>
          <w:rFonts w:ascii="Arial"/>
          <w:b/>
          <w:i/>
          <w:color w:val="7C7C7C"/>
          <w:sz w:val="22"/>
        </w:rPr>
        <w:t>research</w:t>
      </w:r>
      <w:r>
        <w:rPr>
          <w:rFonts w:ascii="Arial"/>
          <w:b/>
          <w:i/>
          <w:color w:val="7C7C7C"/>
          <w:spacing w:val="-7"/>
          <w:sz w:val="22"/>
        </w:rPr>
        <w:t> </w:t>
      </w:r>
      <w:r>
        <w:rPr>
          <w:rFonts w:ascii="Arial"/>
          <w:b/>
          <w:i/>
          <w:color w:val="7C7C7C"/>
          <w:sz w:val="22"/>
        </w:rPr>
        <w:t>done</w:t>
      </w:r>
      <w:r>
        <w:rPr>
          <w:rFonts w:ascii="Arial"/>
          <w:b/>
          <w:i/>
          <w:color w:val="7C7C7C"/>
          <w:spacing w:val="-12"/>
          <w:sz w:val="22"/>
        </w:rPr>
        <w:t> </w:t>
      </w:r>
      <w:r>
        <w:rPr>
          <w:rFonts w:ascii="Arial"/>
          <w:b/>
          <w:i/>
          <w:color w:val="7C7C7C"/>
          <w:sz w:val="22"/>
        </w:rPr>
        <w:t>by</w:t>
      </w:r>
      <w:r>
        <w:rPr>
          <w:rFonts w:ascii="Arial"/>
          <w:b/>
          <w:i/>
          <w:color w:val="7C7C7C"/>
          <w:spacing w:val="-9"/>
          <w:sz w:val="22"/>
        </w:rPr>
        <w:t> </w:t>
      </w:r>
      <w:r>
        <w:rPr>
          <w:rFonts w:ascii="Arial"/>
          <w:b/>
          <w:i/>
          <w:color w:val="7C7C7C"/>
          <w:sz w:val="22"/>
        </w:rPr>
        <w:t>the</w:t>
      </w:r>
      <w:r>
        <w:rPr>
          <w:rFonts w:ascii="Arial"/>
          <w:b/>
          <w:i/>
          <w:color w:val="7C7C7C"/>
          <w:spacing w:val="-22"/>
          <w:sz w:val="22"/>
        </w:rPr>
        <w:t> </w:t>
      </w:r>
      <w:r>
        <w:rPr>
          <w:rFonts w:ascii="Arial"/>
          <w:b/>
          <w:i/>
          <w:color w:val="7C7C7C"/>
          <w:sz w:val="22"/>
        </w:rPr>
        <w:t>Author.</w:t>
      </w:r>
    </w:p>
    <w:sectPr>
      <w:pgSz w:w="10800" w:h="1920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."/>
      <w:lvlJc w:val="left"/>
      <w:pPr>
        <w:ind w:left="725" w:hanging="540"/>
        <w:jc w:val="left"/>
      </w:pPr>
      <w:rPr>
        <w:rFonts w:hint="default" w:ascii="Arial MT" w:hAnsi="Arial MT" w:eastAsia="Arial MT" w:cs="Arial MT"/>
        <w:color w:val="394558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8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4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2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8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6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4" w:hanging="54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684" w:hanging="540"/>
        <w:jc w:val="left"/>
      </w:pPr>
      <w:rPr>
        <w:rFonts w:hint="default" w:ascii="Arial" w:hAnsi="Arial" w:eastAsia="Arial" w:cs="Arial"/>
        <w:b/>
        <w:bCs/>
        <w:color w:val="4F576A"/>
        <w:spacing w:val="-1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2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4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6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28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2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4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76" w:hanging="54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652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1" w:hanging="452"/>
      </w:pPr>
      <w:rPr>
        <w:rFonts w:hint="default" w:ascii="Arial MT" w:hAnsi="Arial MT" w:eastAsia="Arial MT" w:cs="Arial MT"/>
        <w:color w:val="4F576A"/>
        <w:w w:val="99"/>
        <w:sz w:val="32"/>
        <w:szCs w:val="3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55" w:hanging="452"/>
      </w:pPr>
      <w:rPr>
        <w:rFonts w:hint="default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02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7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0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15" w:hanging="45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741" w:hanging="541"/>
        <w:jc w:val="lef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90" w:hanging="540"/>
        <w:jc w:val="lef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44" w:hanging="541"/>
        <w:jc w:val="lef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2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5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37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0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02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5" w:hanging="54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2"/>
      <w:numFmt w:val="lowerRoman"/>
      <w:lvlText w:val="%1."/>
      <w:lvlJc w:val="left"/>
      <w:pPr>
        <w:ind w:left="1238" w:hanging="322"/>
        <w:jc w:val="left"/>
      </w:pPr>
      <w:rPr>
        <w:rFonts w:hint="default" w:ascii="Arial" w:hAnsi="Arial" w:eastAsia="Arial" w:cs="Arial"/>
        <w:i/>
        <w:iCs/>
        <w:color w:val="4F576A"/>
        <w:spacing w:val="0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32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2" w:hanging="3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08" w:hanging="3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4" w:hanging="3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20" w:hanging="3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76" w:hanging="3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2" w:hanging="3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8" w:hanging="322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28" w:hanging="541"/>
        <w:jc w:val="lef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5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8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7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6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55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4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3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2" w:hanging="54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739" w:hanging="452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58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6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2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8" w:hanging="4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28" w:hanging="541"/>
        <w:jc w:val="left"/>
      </w:pPr>
      <w:rPr>
        <w:rFonts w:hint="default" w:ascii="Arial" w:hAnsi="Arial" w:eastAsia="Arial" w:cs="Arial"/>
        <w:b/>
        <w:bCs/>
        <w:color w:val="4F576A"/>
        <w:w w:val="99"/>
        <w:sz w:val="32"/>
        <w:szCs w:val="3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8" w:hanging="5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6" w:hanging="5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4" w:hanging="5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12" w:hanging="5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5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8" w:hanging="5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06" w:hanging="5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4" w:hanging="54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58" w:hanging="54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54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758" w:hanging="54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54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58" w:hanging="54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54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58" w:hanging="54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54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58" w:hanging="54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54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58" w:hanging="540"/>
        <w:jc w:val="left"/>
      </w:pPr>
      <w:rPr>
        <w:rFonts w:hint="default" w:ascii="Arial MT" w:hAnsi="Arial MT" w:eastAsia="Arial MT" w:cs="Arial MT"/>
        <w:color w:val="4F576A"/>
        <w:spacing w:val="-1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88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540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10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84" w:hanging="541"/>
      <w:jc w:val="both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95" w:hanging="452"/>
      <w:jc w:val="both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5"/>
      <w:ind w:left="144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mca.gov.in/bin/dms/getdocument?mds=HaKq8Y72SkO5wIQe05fjLQ%253D%253D&amp;type=open" TargetMode="External"/><Relationship Id="rId8" Type="http://schemas.openxmlformats.org/officeDocument/2006/relationships/hyperlink" Target="https://www.mca.gov.in/bin/dms/getdocument?mds=ywlii5hvZvLABylQ7KmtNA%253D%253D&amp;type=open" TargetMode="External"/><Relationship Id="rId9" Type="http://schemas.openxmlformats.org/officeDocument/2006/relationships/image" Target="media/image3.jpeg"/><Relationship Id="rId10" Type="http://schemas.openxmlformats.org/officeDocument/2006/relationships/hyperlink" Target="https://www.sebi.gov.in/legal/circulars/sep-2023/regulatory-reporting-by-aifs_76908.html" TargetMode="External"/><Relationship Id="rId11" Type="http://schemas.openxmlformats.org/officeDocument/2006/relationships/hyperlink" Target="https://www.sebi.gov.in/legal/circulars/sep-2023/redressal-of-investor-grievances-through-the-sebi-complaint-redressal-scores-platform-and-linking-it-to-online-dispute-resolution-platform_77159.html" TargetMode="External"/><Relationship Id="rId12" Type="http://schemas.openxmlformats.org/officeDocument/2006/relationships/image" Target="media/image4.jpeg"/><Relationship Id="rId13" Type="http://schemas.openxmlformats.org/officeDocument/2006/relationships/hyperlink" Target="https://ibbi.gov.in/uploads/legalframwork/82a0d8c13a4ad67aac73623ca3b22c2f.pdf" TargetMode="External"/><Relationship Id="rId14" Type="http://schemas.openxmlformats.org/officeDocument/2006/relationships/hyperlink" Target="https://ibbi.gov.in/uploads/legalframwork/bc0bcae2a0000d6f806d37990ebc6447.pdf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hyperlink" Target="https://www.mca.gov.in/bin/dms/getdocument?mds=sBM4VDe93G9p85DW%252BDkfvA%253D%253D&amp;type=open" TargetMode="External"/><Relationship Id="rId18" Type="http://schemas.openxmlformats.org/officeDocument/2006/relationships/image" Target="media/image7.jpeg"/><Relationship Id="rId19" Type="http://schemas.openxmlformats.org/officeDocument/2006/relationships/hyperlink" Target="https://incometaxindia.gov.in/communications/notification/notification-81-2023.pdf" TargetMode="External"/><Relationship Id="rId20" Type="http://schemas.openxmlformats.org/officeDocument/2006/relationships/hyperlink" Target="https://disc.icai.org/wp-content/uploads/2023/07/17.-BOD-543-2020.pdf" TargetMode="External"/><Relationship Id="rId21" Type="http://schemas.openxmlformats.org/officeDocument/2006/relationships/image" Target="media/image8.jpeg"/><Relationship Id="rId22" Type="http://schemas.openxmlformats.org/officeDocument/2006/relationships/hyperlink" Target="https://www.taxmann.com/research/company-and-sebi/top-story/105010000000023305/convertible-note-additional-and-flexible-funding-option-for-startups-experts-opinion" TargetMode="External"/><Relationship Id="rId23" Type="http://schemas.openxmlformats.org/officeDocument/2006/relationships/hyperlink" Target="https://www.taxmann.com/research/company-and-sebi/top-story/105010000000023343/differential-right-shares-under-the-companies-act-2013-experts-opinion" TargetMode="External"/><Relationship Id="rId24" Type="http://schemas.openxmlformats.org/officeDocument/2006/relationships/image" Target="media/image9.png"/><Relationship Id="rId25" Type="http://schemas.openxmlformats.org/officeDocument/2006/relationships/image" Target="media/image10.jpe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Parmar</dc:creator>
  <dc:title>Akansha  Rathi &amp; Associates</dc:title>
  <dcterms:created xsi:type="dcterms:W3CDTF">2023-09-30T11:55:24Z</dcterms:created>
  <dcterms:modified xsi:type="dcterms:W3CDTF">2023-09-30T11:55:24Z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2023-09-30T00:00:00Z</vt:filetime>
  </property>
</Properties>
</file>