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 w:after="1"/>
        <w:rPr>
          <w:rFonts w:ascii="Times New Roman"/>
          <w:sz w:val="17"/>
        </w:rPr>
      </w:pPr>
      <w:r>
        <w:rPr/>
        <w:pict>
          <v:rect style="position:absolute;margin-left:0pt;margin-top:-.000061pt;width:540pt;height:939.479881pt;mso-position-horizontal-relative:page;mso-position-vertical-relative:page;z-index:-16028160" filled="true" fillcolor="#fdfcf8" stroked="false">
            <v:fill type="solid"/>
            <w10:wrap type="none"/>
          </v:rect>
        </w:pict>
      </w:r>
      <w:r>
        <w:rPr/>
        <w:pict>
          <v:rect style="position:absolute;margin-left:0pt;margin-top:959.879822pt;width:540pt;height:.120119pt;mso-position-horizontal-relative:page;mso-position-vertical-relative:page;z-index:15729664" filled="true" fillcolor="#fdfcf8" stroked="false">
            <v:fill type="solid"/>
            <w10:wrap type="none"/>
          </v:rect>
        </w:pict>
      </w:r>
    </w:p>
    <w:p>
      <w:pPr>
        <w:pStyle w:val="BodyText"/>
        <w:ind w:left="232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311.6pt;height:20.3pt;mso-position-horizontal-relative:char;mso-position-vertical-relative:line" coordorigin="0,0" coordsize="6232,406">
            <v:rect style="position:absolute;left:0;top:0;width:6232;height:406" filled="true" fillcolor="#3639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6232;height:406" type="#_x0000_t202" filled="false" stroked="false">
              <v:textbox inset="0,0,0,0">
                <w:txbxContent>
                  <w:p>
                    <w:pPr>
                      <w:spacing w:before="11"/>
                      <w:ind w:left="18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bookmarkStart w:name="Slide 1: In this Update:" w:id="1"/>
                    <w:bookmarkEnd w:id="1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JULY</w:t>
                    </w:r>
                    <w:r>
                      <w:rPr>
                        <w:rFonts w:ascii="Arial"/>
                        <w:b/>
                        <w:color w:val="EBCF6A"/>
                        <w:spacing w:val="73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5"/>
                        <w:sz w:val="32"/>
                      </w:rPr>
                      <w:t>2023</w:t>
                    </w:r>
                    <w:r>
                      <w:rPr>
                        <w:rFonts w:ascii="Arial"/>
                        <w:b/>
                        <w:color w:val="EBCF6A"/>
                        <w:spacing w:val="44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|</w:t>
                    </w:r>
                    <w:r>
                      <w:rPr>
                        <w:rFonts w:ascii="Arial"/>
                        <w:b/>
                        <w:color w:val="EBCF6A"/>
                        <w:spacing w:val="3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42</w:t>
                    </w:r>
                    <w:r>
                      <w:rPr>
                        <w:rFonts w:ascii="Arial"/>
                        <w:b/>
                        <w:color w:val="EBCF6A"/>
                        <w:position w:val="10"/>
                        <w:sz w:val="21"/>
                      </w:rPr>
                      <w:t>ND</w:t>
                    </w:r>
                    <w:r>
                      <w:rPr>
                        <w:rFonts w:ascii="Arial"/>
                        <w:b/>
                        <w:color w:val="EBCF6A"/>
                        <w:spacing w:val="36"/>
                        <w:position w:val="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EDITION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16"/>
        </w:rPr>
      </w:pPr>
    </w:p>
    <w:p>
      <w:pPr>
        <w:pStyle w:val="Heading2"/>
        <w:spacing w:before="27"/>
      </w:pPr>
      <w:r>
        <w:rPr/>
        <w:pict>
          <v:group style="position:absolute;margin-left:424.079987pt;margin-top:-41.851357pt;width:89.3pt;height:157pt;mso-position-horizontal-relative:page;mso-position-vertical-relative:paragraph;z-index:15730176" coordorigin="8482,-837" coordsize="1786,3140">
            <v:rect style="position:absolute;left:9129;top:-838;width:860;height:3140" filled="true" fillcolor="#ebcf6a" stroked="false">
              <v:fill type="solid"/>
            </v:rect>
            <v:shape style="position:absolute;left:8481;top:-514;width:1786;height:1798" type="#_x0000_t75" stroked="false">
              <v:imagedata r:id="rId5" o:title=""/>
            </v:shape>
            <w10:wrap type="none"/>
          </v:group>
        </w:pict>
      </w:r>
      <w:r>
        <w:rPr>
          <w:color w:val="394558"/>
        </w:rPr>
        <w:t>In</w:t>
      </w:r>
      <w:r>
        <w:rPr>
          <w:color w:val="394558"/>
          <w:spacing w:val="-1"/>
        </w:rPr>
        <w:t> </w:t>
      </w:r>
      <w:r>
        <w:rPr>
          <w:color w:val="394558"/>
        </w:rPr>
        <w:t>this</w:t>
      </w:r>
      <w:r>
        <w:rPr>
          <w:color w:val="394558"/>
          <w:spacing w:val="-2"/>
        </w:rPr>
        <w:t> </w:t>
      </w:r>
      <w:r>
        <w:rPr>
          <w:color w:val="394558"/>
        </w:rPr>
        <w:t>Update:</w:t>
      </w:r>
    </w:p>
    <w:p>
      <w:pPr>
        <w:pStyle w:val="BodyText"/>
        <w:spacing w:before="5"/>
        <w:rPr>
          <w:rFonts w:ascii="Calibri"/>
          <w:b/>
          <w:sz w:val="18"/>
        </w:rPr>
      </w:pPr>
    </w:p>
    <w:tbl>
      <w:tblPr>
        <w:tblW w:w="0" w:type="auto"/>
        <w:jc w:val="left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6"/>
        <w:gridCol w:w="2600"/>
      </w:tblGrid>
      <w:tr>
        <w:trPr>
          <w:trHeight w:val="507" w:hRule="atLeast"/>
        </w:trPr>
        <w:tc>
          <w:tcPr>
            <w:tcW w:w="5456" w:type="dxa"/>
            <w:shd w:val="clear" w:color="auto" w:fill="EBCF6A"/>
          </w:tcPr>
          <w:p>
            <w:pPr>
              <w:pStyle w:val="TableParagraph"/>
              <w:spacing w:before="74"/>
              <w:ind w:left="144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Content</w:t>
            </w:r>
          </w:p>
        </w:tc>
        <w:tc>
          <w:tcPr>
            <w:tcW w:w="2600" w:type="dxa"/>
            <w:shd w:val="clear" w:color="auto" w:fill="EBCF6A"/>
          </w:tcPr>
          <w:p>
            <w:pPr>
              <w:pStyle w:val="TableParagraph"/>
              <w:spacing w:before="74"/>
              <w:ind w:left="145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Page</w:t>
            </w:r>
            <w:r>
              <w:rPr>
                <w:rFonts w:ascii="Arial"/>
                <w:b/>
                <w:color w:val="394558"/>
                <w:spacing w:val="-3"/>
                <w:sz w:val="32"/>
              </w:rPr>
              <w:t> </w:t>
            </w:r>
            <w:r>
              <w:rPr>
                <w:rFonts w:ascii="Arial"/>
                <w:b/>
                <w:color w:val="394558"/>
                <w:sz w:val="32"/>
              </w:rPr>
              <w:t>No</w:t>
            </w:r>
          </w:p>
        </w:tc>
      </w:tr>
      <w:tr>
        <w:trPr>
          <w:trHeight w:val="508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Securities</w:t>
            </w:r>
            <w:r>
              <w:rPr>
                <w:rFonts w:ascii="Arial MT"/>
                <w:color w:val="EBCF6A"/>
                <w:spacing w:val="-4"/>
                <w:sz w:val="32"/>
              </w:rPr>
              <w:t> </w:t>
            </w:r>
            <w:r>
              <w:rPr>
                <w:rFonts w:ascii="Arial MT"/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Page-</w:t>
            </w:r>
            <w:r>
              <w:rPr>
                <w:rFonts w:ascii="Arial MT"/>
                <w:color w:val="EBCF6A"/>
                <w:spacing w:val="-1"/>
                <w:sz w:val="32"/>
              </w:rPr>
              <w:t> </w:t>
            </w:r>
            <w:r>
              <w:rPr>
                <w:rFonts w:ascii="Arial MT"/>
                <w:color w:val="EBCF6A"/>
                <w:sz w:val="32"/>
              </w:rPr>
              <w:t>2-3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Case</w:t>
            </w:r>
            <w:r>
              <w:rPr>
                <w:rFonts w:ascii="Arial MT"/>
                <w:color w:val="EBCF6A"/>
                <w:spacing w:val="-4"/>
                <w:sz w:val="32"/>
              </w:rPr>
              <w:t> </w:t>
            </w:r>
            <w:r>
              <w:rPr>
                <w:rFonts w:ascii="Arial MT"/>
                <w:color w:val="EBCF6A"/>
                <w:sz w:val="32"/>
              </w:rPr>
              <w:t>Laws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Page-</w:t>
            </w:r>
            <w:r>
              <w:rPr>
                <w:rFonts w:ascii="Arial MT"/>
                <w:color w:val="EBCF6A"/>
                <w:spacing w:val="-1"/>
                <w:sz w:val="32"/>
              </w:rPr>
              <w:t> </w:t>
            </w:r>
            <w:r>
              <w:rPr>
                <w:rFonts w:ascii="Arial MT"/>
                <w:color w:val="EBCF6A"/>
                <w:sz w:val="32"/>
              </w:rPr>
              <w:t>4-5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Other</w:t>
            </w:r>
            <w:r>
              <w:rPr>
                <w:rFonts w:ascii="Arial MT"/>
                <w:color w:val="EBCF6A"/>
                <w:spacing w:val="2"/>
                <w:sz w:val="32"/>
              </w:rPr>
              <w:t> </w:t>
            </w:r>
            <w:r>
              <w:rPr>
                <w:rFonts w:ascii="Arial MT"/>
                <w:color w:val="EBCF6A"/>
                <w:sz w:val="32"/>
              </w:rPr>
              <w:t>Updates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Page-</w:t>
            </w:r>
            <w:r>
              <w:rPr>
                <w:rFonts w:ascii="Arial MT"/>
                <w:color w:val="EBCF6A"/>
                <w:spacing w:val="-1"/>
                <w:sz w:val="32"/>
              </w:rPr>
              <w:t> </w:t>
            </w:r>
            <w:r>
              <w:rPr>
                <w:rFonts w:ascii="Arial MT"/>
                <w:color w:val="EBCF6A"/>
                <w:sz w:val="32"/>
              </w:rPr>
              <w:t>5-6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Due</w:t>
            </w:r>
            <w:r>
              <w:rPr>
                <w:rFonts w:ascii="Arial MT"/>
                <w:color w:val="EBCF6A"/>
                <w:spacing w:val="-5"/>
                <w:sz w:val="32"/>
              </w:rPr>
              <w:t> </w:t>
            </w:r>
            <w:r>
              <w:rPr>
                <w:rFonts w:ascii="Arial MT"/>
                <w:color w:val="EBCF6A"/>
                <w:sz w:val="32"/>
              </w:rPr>
              <w:t>Dates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Page- 6</w:t>
            </w:r>
          </w:p>
        </w:tc>
      </w:tr>
    </w:tbl>
    <w:p>
      <w:pPr>
        <w:pStyle w:val="BodyText"/>
        <w:spacing w:before="9"/>
        <w:rPr>
          <w:rFonts w:ascii="Calibri"/>
          <w:b/>
          <w:sz w:val="42"/>
        </w:rPr>
      </w:pPr>
    </w:p>
    <w:p>
      <w:pPr>
        <w:spacing w:before="0"/>
        <w:ind w:left="12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color w:val="4F576A"/>
          <w:sz w:val="31"/>
          <w:u w:val="thick" w:color="4F576A"/>
        </w:rPr>
        <w:t>Securities</w:t>
      </w:r>
      <w:r>
        <w:rPr>
          <w:rFonts w:ascii="Arial"/>
          <w:b/>
          <w:color w:val="4F576A"/>
          <w:spacing w:val="-2"/>
          <w:sz w:val="31"/>
          <w:u w:val="thick" w:color="4F576A"/>
        </w:rPr>
        <w:t> </w:t>
      </w:r>
      <w:r>
        <w:rPr>
          <w:rFonts w:ascii="Arial"/>
          <w:b/>
          <w:color w:val="4F576A"/>
          <w:sz w:val="31"/>
          <w:u w:val="thick" w:color="4F576A"/>
        </w:rPr>
        <w:t>Law:</w:t>
      </w:r>
    </w:p>
    <w:p>
      <w:pPr>
        <w:pStyle w:val="ListParagraph"/>
        <w:numPr>
          <w:ilvl w:val="0"/>
          <w:numId w:val="1"/>
        </w:numPr>
        <w:tabs>
          <w:tab w:pos="664" w:val="left" w:leader="none"/>
          <w:tab w:pos="665" w:val="left" w:leader="none"/>
        </w:tabs>
        <w:spacing w:line="300" w:lineRule="auto" w:before="90" w:after="0"/>
        <w:ind w:left="664" w:right="120" w:hanging="540"/>
        <w:jc w:val="left"/>
        <w:rPr>
          <w:sz w:val="31"/>
        </w:rPr>
      </w:pPr>
      <w:r>
        <w:rPr>
          <w:color w:val="4F576A"/>
          <w:sz w:val="31"/>
        </w:rPr>
        <w:t>SEBI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amends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credit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rating</w:t>
      </w:r>
      <w:r>
        <w:rPr>
          <w:color w:val="4F576A"/>
          <w:spacing w:val="1"/>
          <w:sz w:val="31"/>
        </w:rPr>
        <w:t> </w:t>
      </w:r>
      <w:r>
        <w:rPr>
          <w:color w:val="4F576A"/>
          <w:sz w:val="31"/>
        </w:rPr>
        <w:t>agency norms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to</w:t>
      </w:r>
      <w:r>
        <w:rPr>
          <w:color w:val="4F576A"/>
          <w:spacing w:val="1"/>
          <w:sz w:val="31"/>
        </w:rPr>
        <w:t> </w:t>
      </w:r>
      <w:r>
        <w:rPr>
          <w:color w:val="4F576A"/>
          <w:sz w:val="31"/>
        </w:rPr>
        <w:t>include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provisions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relating</w:t>
      </w:r>
      <w:r>
        <w:rPr>
          <w:color w:val="4F576A"/>
          <w:spacing w:val="1"/>
          <w:sz w:val="31"/>
        </w:rPr>
        <w:t> </w:t>
      </w:r>
      <w:r>
        <w:rPr>
          <w:color w:val="4F576A"/>
          <w:sz w:val="31"/>
        </w:rPr>
        <w:t>to</w:t>
      </w:r>
      <w:r>
        <w:rPr>
          <w:color w:val="4F576A"/>
          <w:spacing w:val="-83"/>
          <w:sz w:val="31"/>
        </w:rPr>
        <w:t> </w:t>
      </w:r>
      <w:r>
        <w:rPr>
          <w:color w:val="4F576A"/>
          <w:sz w:val="31"/>
        </w:rPr>
        <w:t>‘ESG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Rating</w:t>
      </w:r>
      <w:r>
        <w:rPr>
          <w:color w:val="4F576A"/>
          <w:spacing w:val="1"/>
          <w:sz w:val="31"/>
        </w:rPr>
        <w:t> </w:t>
      </w:r>
      <w:r>
        <w:rPr>
          <w:color w:val="4F576A"/>
          <w:sz w:val="31"/>
        </w:rPr>
        <w:t>Providers.</w:t>
      </w:r>
    </w:p>
    <w:p>
      <w:pPr>
        <w:pStyle w:val="ListParagraph"/>
        <w:numPr>
          <w:ilvl w:val="0"/>
          <w:numId w:val="1"/>
        </w:numPr>
        <w:tabs>
          <w:tab w:pos="664" w:val="left" w:leader="none"/>
          <w:tab w:pos="665" w:val="left" w:leader="none"/>
          <w:tab w:pos="1656" w:val="left" w:leader="none"/>
          <w:tab w:pos="2786" w:val="left" w:leader="none"/>
          <w:tab w:pos="3588" w:val="left" w:leader="none"/>
          <w:tab w:pos="4772" w:val="left" w:leader="none"/>
          <w:tab w:pos="5312" w:val="left" w:leader="none"/>
          <w:tab w:pos="7770" w:val="left" w:leader="none"/>
          <w:tab w:pos="9522" w:val="left" w:leader="none"/>
        </w:tabs>
        <w:spacing w:line="300" w:lineRule="auto" w:before="2" w:after="0"/>
        <w:ind w:left="664" w:right="121" w:hanging="540"/>
        <w:jc w:val="left"/>
        <w:rPr>
          <w:sz w:val="31"/>
        </w:rPr>
      </w:pPr>
      <w:r>
        <w:rPr>
          <w:color w:val="4F576A"/>
          <w:sz w:val="31"/>
        </w:rPr>
        <w:t>SEBI</w:t>
        <w:tab/>
        <w:t>(Issue</w:t>
        <w:tab/>
        <w:t>and</w:t>
        <w:tab/>
        <w:t>Listing</w:t>
        <w:tab/>
        <w:t>of</w:t>
        <w:tab/>
        <w:t>Non-convertible</w:t>
        <w:tab/>
        <w:t>Securities)</w:t>
        <w:tab/>
      </w:r>
      <w:r>
        <w:rPr>
          <w:color w:val="4F576A"/>
          <w:spacing w:val="-1"/>
          <w:sz w:val="31"/>
        </w:rPr>
        <w:t>(Second</w:t>
      </w:r>
      <w:r>
        <w:rPr>
          <w:color w:val="4F576A"/>
          <w:spacing w:val="-84"/>
          <w:sz w:val="31"/>
        </w:rPr>
        <w:t> </w:t>
      </w:r>
      <w:r>
        <w:rPr>
          <w:color w:val="4F576A"/>
          <w:sz w:val="31"/>
        </w:rPr>
        <w:t>Amendment)</w:t>
      </w:r>
      <w:r>
        <w:rPr>
          <w:color w:val="4F576A"/>
          <w:spacing w:val="-2"/>
          <w:sz w:val="31"/>
        </w:rPr>
        <w:t> </w:t>
      </w:r>
      <w:r>
        <w:rPr>
          <w:color w:val="4F576A"/>
          <w:sz w:val="31"/>
        </w:rPr>
        <w:t>Regulations,</w:t>
      </w:r>
      <w:r>
        <w:rPr>
          <w:color w:val="4F576A"/>
          <w:spacing w:val="-2"/>
          <w:sz w:val="31"/>
        </w:rPr>
        <w:t> </w:t>
      </w:r>
      <w:r>
        <w:rPr>
          <w:color w:val="4F576A"/>
          <w:sz w:val="31"/>
        </w:rPr>
        <w:t>2023</w:t>
      </w:r>
    </w:p>
    <w:p>
      <w:pPr>
        <w:pStyle w:val="ListParagraph"/>
        <w:numPr>
          <w:ilvl w:val="0"/>
          <w:numId w:val="1"/>
        </w:numPr>
        <w:tabs>
          <w:tab w:pos="664" w:val="left" w:leader="none"/>
          <w:tab w:pos="665" w:val="left" w:leader="none"/>
        </w:tabs>
        <w:spacing w:line="300" w:lineRule="auto" w:before="2" w:after="0"/>
        <w:ind w:left="664" w:right="118" w:hanging="540"/>
        <w:jc w:val="left"/>
        <w:rPr>
          <w:sz w:val="31"/>
        </w:rPr>
      </w:pPr>
      <w:r>
        <w:rPr>
          <w:color w:val="4F576A"/>
          <w:sz w:val="31"/>
        </w:rPr>
        <w:t>SEBI</w:t>
      </w:r>
      <w:r>
        <w:rPr>
          <w:color w:val="4F576A"/>
          <w:spacing w:val="53"/>
          <w:sz w:val="31"/>
        </w:rPr>
        <w:t> </w:t>
      </w:r>
      <w:r>
        <w:rPr>
          <w:color w:val="4F576A"/>
          <w:sz w:val="31"/>
        </w:rPr>
        <w:t>issues</w:t>
      </w:r>
      <w:r>
        <w:rPr>
          <w:color w:val="4F576A"/>
          <w:spacing w:val="55"/>
          <w:sz w:val="31"/>
        </w:rPr>
        <w:t> </w:t>
      </w:r>
      <w:r>
        <w:rPr>
          <w:color w:val="4F576A"/>
          <w:sz w:val="31"/>
        </w:rPr>
        <w:t>Master</w:t>
      </w:r>
      <w:r>
        <w:rPr>
          <w:color w:val="4F576A"/>
          <w:spacing w:val="54"/>
          <w:sz w:val="31"/>
        </w:rPr>
        <w:t> </w:t>
      </w:r>
      <w:r>
        <w:rPr>
          <w:color w:val="4F576A"/>
          <w:sz w:val="31"/>
        </w:rPr>
        <w:t>Circular</w:t>
      </w:r>
      <w:r>
        <w:rPr>
          <w:color w:val="4F576A"/>
          <w:spacing w:val="52"/>
          <w:sz w:val="31"/>
        </w:rPr>
        <w:t> </w:t>
      </w:r>
      <w:r>
        <w:rPr>
          <w:color w:val="4F576A"/>
          <w:sz w:val="31"/>
        </w:rPr>
        <w:t>for</w:t>
      </w:r>
      <w:r>
        <w:rPr>
          <w:color w:val="4F576A"/>
          <w:spacing w:val="53"/>
          <w:sz w:val="31"/>
        </w:rPr>
        <w:t> </w:t>
      </w:r>
      <w:r>
        <w:rPr>
          <w:color w:val="4F576A"/>
          <w:sz w:val="31"/>
        </w:rPr>
        <w:t>compliance</w:t>
      </w:r>
      <w:r>
        <w:rPr>
          <w:color w:val="4F576A"/>
          <w:spacing w:val="54"/>
          <w:sz w:val="31"/>
        </w:rPr>
        <w:t> </w:t>
      </w:r>
      <w:r>
        <w:rPr>
          <w:color w:val="4F576A"/>
          <w:sz w:val="31"/>
        </w:rPr>
        <w:t>with</w:t>
      </w:r>
      <w:r>
        <w:rPr>
          <w:color w:val="4F576A"/>
          <w:spacing w:val="54"/>
          <w:sz w:val="31"/>
        </w:rPr>
        <w:t> </w:t>
      </w:r>
      <w:r>
        <w:rPr>
          <w:color w:val="4F576A"/>
          <w:sz w:val="31"/>
        </w:rPr>
        <w:t>the</w:t>
      </w:r>
      <w:r>
        <w:rPr>
          <w:color w:val="4F576A"/>
          <w:spacing w:val="54"/>
          <w:sz w:val="31"/>
        </w:rPr>
        <w:t> </w:t>
      </w:r>
      <w:r>
        <w:rPr>
          <w:color w:val="4F576A"/>
          <w:sz w:val="31"/>
        </w:rPr>
        <w:t>provisions</w:t>
      </w:r>
      <w:r>
        <w:rPr>
          <w:color w:val="4F576A"/>
          <w:spacing w:val="54"/>
          <w:sz w:val="31"/>
        </w:rPr>
        <w:t> </w:t>
      </w:r>
      <w:r>
        <w:rPr>
          <w:color w:val="4F576A"/>
          <w:sz w:val="31"/>
        </w:rPr>
        <w:t>of</w:t>
      </w:r>
      <w:r>
        <w:rPr>
          <w:color w:val="4F576A"/>
          <w:spacing w:val="51"/>
          <w:sz w:val="31"/>
        </w:rPr>
        <w:t> </w:t>
      </w:r>
      <w:r>
        <w:rPr>
          <w:color w:val="4F576A"/>
          <w:sz w:val="31"/>
        </w:rPr>
        <w:t>the</w:t>
      </w:r>
      <w:r>
        <w:rPr>
          <w:color w:val="4F576A"/>
          <w:spacing w:val="-83"/>
          <w:sz w:val="31"/>
        </w:rPr>
        <w:t> </w:t>
      </w:r>
      <w:r>
        <w:rPr>
          <w:color w:val="4F576A"/>
          <w:sz w:val="31"/>
        </w:rPr>
        <w:t>SEBI (LODR)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Regulations, 2015.</w:t>
      </w:r>
    </w:p>
    <w:p>
      <w:pPr>
        <w:pStyle w:val="ListParagraph"/>
        <w:numPr>
          <w:ilvl w:val="0"/>
          <w:numId w:val="1"/>
        </w:numPr>
        <w:tabs>
          <w:tab w:pos="664" w:val="left" w:leader="none"/>
          <w:tab w:pos="665" w:val="left" w:leader="none"/>
        </w:tabs>
        <w:spacing w:line="240" w:lineRule="auto" w:before="1" w:after="0"/>
        <w:ind w:left="664" w:right="0" w:hanging="541"/>
        <w:jc w:val="left"/>
        <w:rPr>
          <w:sz w:val="31"/>
        </w:rPr>
      </w:pPr>
      <w:r>
        <w:rPr>
          <w:color w:val="4F576A"/>
          <w:sz w:val="31"/>
        </w:rPr>
        <w:t>SEBI</w:t>
      </w:r>
      <w:r>
        <w:rPr>
          <w:color w:val="4F576A"/>
          <w:spacing w:val="42"/>
          <w:sz w:val="31"/>
        </w:rPr>
        <w:t> </w:t>
      </w:r>
      <w:r>
        <w:rPr>
          <w:color w:val="4F576A"/>
          <w:sz w:val="31"/>
        </w:rPr>
        <w:t>notifies</w:t>
      </w:r>
      <w:r>
        <w:rPr>
          <w:color w:val="4F576A"/>
          <w:spacing w:val="41"/>
          <w:sz w:val="31"/>
        </w:rPr>
        <w:t> </w:t>
      </w:r>
      <w:r>
        <w:rPr>
          <w:color w:val="4F576A"/>
          <w:sz w:val="31"/>
        </w:rPr>
        <w:t>circular</w:t>
      </w:r>
      <w:r>
        <w:rPr>
          <w:color w:val="4F576A"/>
          <w:spacing w:val="44"/>
          <w:sz w:val="31"/>
        </w:rPr>
        <w:t> </w:t>
      </w:r>
      <w:r>
        <w:rPr>
          <w:color w:val="4F576A"/>
          <w:sz w:val="31"/>
        </w:rPr>
        <w:t>for</w:t>
      </w:r>
      <w:r>
        <w:rPr>
          <w:color w:val="4F576A"/>
          <w:spacing w:val="42"/>
          <w:sz w:val="31"/>
        </w:rPr>
        <w:t> </w:t>
      </w:r>
      <w:r>
        <w:rPr>
          <w:color w:val="4F576A"/>
          <w:sz w:val="31"/>
        </w:rPr>
        <w:t>Disclosure</w:t>
      </w:r>
      <w:r>
        <w:rPr>
          <w:color w:val="4F576A"/>
          <w:spacing w:val="44"/>
          <w:sz w:val="31"/>
        </w:rPr>
        <w:t> </w:t>
      </w:r>
      <w:r>
        <w:rPr>
          <w:color w:val="4F576A"/>
          <w:sz w:val="31"/>
        </w:rPr>
        <w:t>of</w:t>
      </w:r>
      <w:r>
        <w:rPr>
          <w:color w:val="4F576A"/>
          <w:spacing w:val="42"/>
          <w:sz w:val="31"/>
        </w:rPr>
        <w:t> </w:t>
      </w:r>
      <w:r>
        <w:rPr>
          <w:color w:val="4F576A"/>
          <w:sz w:val="31"/>
        </w:rPr>
        <w:t>material</w:t>
      </w:r>
      <w:r>
        <w:rPr>
          <w:color w:val="4F576A"/>
          <w:spacing w:val="43"/>
          <w:sz w:val="31"/>
        </w:rPr>
        <w:t> </w:t>
      </w:r>
      <w:r>
        <w:rPr>
          <w:color w:val="4F576A"/>
          <w:sz w:val="31"/>
        </w:rPr>
        <w:t>events</w:t>
      </w:r>
      <w:r>
        <w:rPr>
          <w:color w:val="4F576A"/>
          <w:spacing w:val="39"/>
          <w:sz w:val="31"/>
        </w:rPr>
        <w:t> </w:t>
      </w:r>
      <w:r>
        <w:rPr>
          <w:color w:val="4F576A"/>
          <w:sz w:val="31"/>
        </w:rPr>
        <w:t>/</w:t>
      </w:r>
      <w:r>
        <w:rPr>
          <w:color w:val="4F576A"/>
          <w:spacing w:val="41"/>
          <w:sz w:val="31"/>
        </w:rPr>
        <w:t> </w:t>
      </w:r>
      <w:r>
        <w:rPr>
          <w:color w:val="4F576A"/>
          <w:sz w:val="31"/>
        </w:rPr>
        <w:t>information</w:t>
      </w:r>
      <w:r>
        <w:rPr>
          <w:color w:val="4F576A"/>
          <w:spacing w:val="39"/>
          <w:sz w:val="31"/>
        </w:rPr>
        <w:t> </w:t>
      </w:r>
      <w:r>
        <w:rPr>
          <w:color w:val="4F576A"/>
          <w:sz w:val="31"/>
        </w:rPr>
        <w:t>by</w:t>
      </w:r>
    </w:p>
    <w:p>
      <w:pPr>
        <w:spacing w:before="91"/>
        <w:ind w:left="664" w:right="0" w:firstLine="0"/>
        <w:jc w:val="left"/>
        <w:rPr>
          <w:sz w:val="31"/>
        </w:rPr>
      </w:pPr>
      <w:r>
        <w:rPr>
          <w:color w:val="4F576A"/>
          <w:sz w:val="31"/>
        </w:rPr>
        <w:t>listed</w:t>
      </w:r>
      <w:r>
        <w:rPr>
          <w:color w:val="4F576A"/>
          <w:spacing w:val="-5"/>
          <w:sz w:val="31"/>
        </w:rPr>
        <w:t> </w:t>
      </w:r>
      <w:r>
        <w:rPr>
          <w:color w:val="4F576A"/>
          <w:sz w:val="31"/>
        </w:rPr>
        <w:t>entities</w:t>
      </w:r>
      <w:r>
        <w:rPr>
          <w:color w:val="4F576A"/>
          <w:spacing w:val="82"/>
          <w:sz w:val="31"/>
        </w:rPr>
        <w:t> </w:t>
      </w:r>
      <w:r>
        <w:rPr>
          <w:color w:val="4F576A"/>
          <w:sz w:val="31"/>
        </w:rPr>
        <w:t>under</w:t>
      </w:r>
      <w:r>
        <w:rPr>
          <w:color w:val="4F576A"/>
          <w:spacing w:val="-5"/>
          <w:sz w:val="31"/>
        </w:rPr>
        <w:t> </w:t>
      </w:r>
      <w:r>
        <w:rPr>
          <w:color w:val="4F576A"/>
          <w:sz w:val="31"/>
        </w:rPr>
        <w:t>SEBI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(LODR)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Regulations,</w:t>
      </w:r>
      <w:r>
        <w:rPr>
          <w:color w:val="4F576A"/>
          <w:spacing w:val="-4"/>
          <w:sz w:val="31"/>
        </w:rPr>
        <w:t> </w:t>
      </w:r>
      <w:r>
        <w:rPr>
          <w:color w:val="4F576A"/>
          <w:sz w:val="31"/>
        </w:rPr>
        <w:t>2015</w:t>
      </w:r>
    </w:p>
    <w:p>
      <w:pPr>
        <w:pStyle w:val="ListParagraph"/>
        <w:numPr>
          <w:ilvl w:val="0"/>
          <w:numId w:val="1"/>
        </w:numPr>
        <w:tabs>
          <w:tab w:pos="664" w:val="left" w:leader="none"/>
          <w:tab w:pos="665" w:val="left" w:leader="none"/>
        </w:tabs>
        <w:spacing w:line="240" w:lineRule="auto" w:before="89" w:after="0"/>
        <w:ind w:left="664" w:right="0" w:hanging="541"/>
        <w:jc w:val="left"/>
        <w:rPr>
          <w:sz w:val="31"/>
        </w:rPr>
      </w:pPr>
      <w:r>
        <w:rPr>
          <w:color w:val="4F576A"/>
          <w:sz w:val="31"/>
        </w:rPr>
        <w:t>Trading</w:t>
      </w:r>
      <w:r>
        <w:rPr>
          <w:color w:val="4F576A"/>
          <w:spacing w:val="1"/>
          <w:sz w:val="31"/>
        </w:rPr>
        <w:t> </w:t>
      </w:r>
      <w:r>
        <w:rPr>
          <w:color w:val="4F576A"/>
          <w:sz w:val="31"/>
        </w:rPr>
        <w:t>Window</w:t>
      </w:r>
      <w:r>
        <w:rPr>
          <w:color w:val="4F576A"/>
          <w:spacing w:val="-7"/>
          <w:sz w:val="31"/>
        </w:rPr>
        <w:t> </w:t>
      </w:r>
      <w:r>
        <w:rPr>
          <w:color w:val="4F576A"/>
          <w:sz w:val="31"/>
        </w:rPr>
        <w:t>Closure period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extended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to</w:t>
      </w:r>
      <w:r>
        <w:rPr>
          <w:color w:val="4F576A"/>
          <w:spacing w:val="-4"/>
          <w:sz w:val="31"/>
        </w:rPr>
        <w:t> </w:t>
      </w:r>
      <w:r>
        <w:rPr>
          <w:color w:val="4F576A"/>
          <w:sz w:val="31"/>
        </w:rPr>
        <w:t>all</w:t>
      </w:r>
      <w:r>
        <w:rPr>
          <w:color w:val="4F576A"/>
          <w:spacing w:val="1"/>
          <w:sz w:val="31"/>
        </w:rPr>
        <w:t> </w:t>
      </w:r>
      <w:r>
        <w:rPr>
          <w:color w:val="4F576A"/>
          <w:sz w:val="31"/>
        </w:rPr>
        <w:t>companies</w:t>
      </w:r>
    </w:p>
    <w:p>
      <w:pPr>
        <w:pStyle w:val="ListParagraph"/>
        <w:numPr>
          <w:ilvl w:val="0"/>
          <w:numId w:val="1"/>
        </w:numPr>
        <w:tabs>
          <w:tab w:pos="664" w:val="left" w:leader="none"/>
          <w:tab w:pos="665" w:val="left" w:leader="none"/>
        </w:tabs>
        <w:spacing w:line="240" w:lineRule="auto" w:before="90" w:after="0"/>
        <w:ind w:left="664" w:right="0" w:hanging="541"/>
        <w:jc w:val="left"/>
        <w:rPr>
          <w:sz w:val="31"/>
        </w:rPr>
      </w:pPr>
      <w:r>
        <w:rPr>
          <w:color w:val="4F576A"/>
          <w:sz w:val="31"/>
        </w:rPr>
        <w:t>SEBI</w:t>
      </w:r>
      <w:r>
        <w:rPr>
          <w:color w:val="4F576A"/>
          <w:spacing w:val="-2"/>
          <w:sz w:val="31"/>
        </w:rPr>
        <w:t> </w:t>
      </w:r>
      <w:r>
        <w:rPr>
          <w:color w:val="4F576A"/>
          <w:sz w:val="31"/>
        </w:rPr>
        <w:t>Introduces</w:t>
      </w:r>
      <w:r>
        <w:rPr>
          <w:color w:val="4F576A"/>
          <w:spacing w:val="-7"/>
          <w:sz w:val="31"/>
        </w:rPr>
        <w:t> </w:t>
      </w:r>
      <w:r>
        <w:rPr>
          <w:color w:val="4F576A"/>
          <w:sz w:val="31"/>
        </w:rPr>
        <w:t>BRSR</w:t>
      </w:r>
      <w:r>
        <w:rPr>
          <w:color w:val="4F576A"/>
          <w:spacing w:val="1"/>
          <w:sz w:val="31"/>
        </w:rPr>
        <w:t> </w:t>
      </w:r>
      <w:r>
        <w:rPr>
          <w:color w:val="4F576A"/>
          <w:sz w:val="31"/>
        </w:rPr>
        <w:t>Core</w:t>
      </w:r>
      <w:r>
        <w:rPr>
          <w:color w:val="4F576A"/>
          <w:spacing w:val="-5"/>
          <w:sz w:val="31"/>
        </w:rPr>
        <w:t> </w:t>
      </w:r>
      <w:r>
        <w:rPr>
          <w:color w:val="4F576A"/>
          <w:sz w:val="31"/>
        </w:rPr>
        <w:t>Regulatory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Framework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for</w:t>
      </w:r>
      <w:r>
        <w:rPr>
          <w:color w:val="4F576A"/>
          <w:spacing w:val="-8"/>
          <w:sz w:val="31"/>
        </w:rPr>
        <w:t> </w:t>
      </w:r>
      <w:r>
        <w:rPr>
          <w:color w:val="4F576A"/>
          <w:sz w:val="31"/>
        </w:rPr>
        <w:t>ESG</w:t>
      </w:r>
    </w:p>
    <w:p>
      <w:pPr>
        <w:pStyle w:val="BodyText"/>
        <w:spacing w:before="8"/>
        <w:rPr>
          <w:sz w:val="46"/>
        </w:rPr>
      </w:pPr>
    </w:p>
    <w:p>
      <w:pPr>
        <w:spacing w:before="0"/>
        <w:ind w:left="12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color w:val="4F576A"/>
          <w:sz w:val="31"/>
          <w:u w:val="thick" w:color="4F576A"/>
        </w:rPr>
        <w:t>Case</w:t>
      </w:r>
      <w:r>
        <w:rPr>
          <w:rFonts w:ascii="Arial"/>
          <w:b/>
          <w:color w:val="4F576A"/>
          <w:spacing w:val="1"/>
          <w:sz w:val="31"/>
          <w:u w:val="thick" w:color="4F576A"/>
        </w:rPr>
        <w:t> </w:t>
      </w:r>
      <w:r>
        <w:rPr>
          <w:rFonts w:ascii="Arial"/>
          <w:b/>
          <w:color w:val="4F576A"/>
          <w:sz w:val="31"/>
          <w:u w:val="thick" w:color="4F576A"/>
        </w:rPr>
        <w:t>Laws:</w:t>
      </w:r>
    </w:p>
    <w:p>
      <w:pPr>
        <w:spacing w:before="90"/>
        <w:ind w:left="12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color w:val="4F576A"/>
          <w:sz w:val="31"/>
        </w:rPr>
        <w:t>Insolvency</w:t>
      </w:r>
      <w:r>
        <w:rPr>
          <w:rFonts w:ascii="Arial"/>
          <w:b/>
          <w:color w:val="4F576A"/>
          <w:spacing w:val="-1"/>
          <w:sz w:val="31"/>
        </w:rPr>
        <w:t> </w:t>
      </w:r>
      <w:r>
        <w:rPr>
          <w:rFonts w:ascii="Arial"/>
          <w:b/>
          <w:color w:val="4F576A"/>
          <w:sz w:val="31"/>
        </w:rPr>
        <w:t>law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  <w:tab w:pos="665" w:val="left" w:leader="none"/>
        </w:tabs>
        <w:spacing w:line="240" w:lineRule="auto" w:before="90" w:after="0"/>
        <w:ind w:left="664" w:right="0" w:hanging="541"/>
        <w:jc w:val="left"/>
        <w:rPr>
          <w:sz w:val="31"/>
        </w:rPr>
      </w:pPr>
      <w:r>
        <w:rPr>
          <w:color w:val="4F576A"/>
          <w:sz w:val="31"/>
        </w:rPr>
        <w:t>In</w:t>
      </w:r>
      <w:r>
        <w:rPr>
          <w:color w:val="4F576A"/>
          <w:spacing w:val="-2"/>
          <w:sz w:val="31"/>
        </w:rPr>
        <w:t> </w:t>
      </w:r>
      <w:r>
        <w:rPr>
          <w:color w:val="4F576A"/>
          <w:sz w:val="31"/>
        </w:rPr>
        <w:t>case</w:t>
      </w:r>
      <w:r>
        <w:rPr>
          <w:color w:val="4F576A"/>
          <w:spacing w:val="-4"/>
          <w:sz w:val="31"/>
        </w:rPr>
        <w:t> </w:t>
      </w:r>
      <w:r>
        <w:rPr>
          <w:color w:val="4F576A"/>
          <w:sz w:val="31"/>
        </w:rPr>
        <w:t>of</w:t>
      </w:r>
      <w:r>
        <w:rPr>
          <w:color w:val="4F576A"/>
          <w:spacing w:val="-3"/>
          <w:sz w:val="31"/>
        </w:rPr>
        <w:t> </w:t>
      </w:r>
      <w:r>
        <w:rPr>
          <w:color w:val="4F576A"/>
          <w:sz w:val="31"/>
        </w:rPr>
        <w:t>conflict</w:t>
      </w:r>
      <w:r>
        <w:rPr>
          <w:color w:val="4F576A"/>
          <w:spacing w:val="-6"/>
          <w:sz w:val="31"/>
        </w:rPr>
        <w:t> </w:t>
      </w:r>
      <w:r>
        <w:rPr>
          <w:color w:val="4F576A"/>
          <w:sz w:val="31"/>
        </w:rPr>
        <w:t>in RBI directions</w:t>
      </w:r>
      <w:r>
        <w:rPr>
          <w:color w:val="4F576A"/>
          <w:spacing w:val="-5"/>
          <w:sz w:val="31"/>
        </w:rPr>
        <w:t> </w:t>
      </w:r>
      <w:r>
        <w:rPr>
          <w:color w:val="4F576A"/>
          <w:sz w:val="31"/>
        </w:rPr>
        <w:t>and</w:t>
      </w:r>
      <w:r>
        <w:rPr>
          <w:color w:val="4F576A"/>
          <w:spacing w:val="-2"/>
          <w:sz w:val="31"/>
        </w:rPr>
        <w:t> </w:t>
      </w:r>
      <w:r>
        <w:rPr>
          <w:color w:val="4F576A"/>
          <w:sz w:val="31"/>
        </w:rPr>
        <w:t>IBC,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IBC shall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hold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good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  <w:tab w:pos="665" w:val="left" w:leader="none"/>
        </w:tabs>
        <w:spacing w:line="240" w:lineRule="auto" w:before="90" w:after="0"/>
        <w:ind w:left="664" w:right="0" w:hanging="541"/>
        <w:jc w:val="left"/>
        <w:rPr>
          <w:sz w:val="31"/>
        </w:rPr>
      </w:pPr>
      <w:r>
        <w:rPr>
          <w:color w:val="4F576A"/>
          <w:sz w:val="31"/>
        </w:rPr>
        <w:t>The</w:t>
      </w:r>
      <w:r>
        <w:rPr>
          <w:color w:val="4F576A"/>
          <w:spacing w:val="6"/>
          <w:sz w:val="31"/>
        </w:rPr>
        <w:t> </w:t>
      </w:r>
      <w:r>
        <w:rPr>
          <w:color w:val="4F576A"/>
          <w:sz w:val="31"/>
        </w:rPr>
        <w:t>admission</w:t>
      </w:r>
      <w:r>
        <w:rPr>
          <w:color w:val="4F576A"/>
          <w:spacing w:val="3"/>
          <w:sz w:val="31"/>
        </w:rPr>
        <w:t> </w:t>
      </w:r>
      <w:r>
        <w:rPr>
          <w:color w:val="4F576A"/>
          <w:sz w:val="31"/>
        </w:rPr>
        <w:t>of</w:t>
      </w:r>
      <w:r>
        <w:rPr>
          <w:color w:val="4F576A"/>
          <w:spacing w:val="3"/>
          <w:sz w:val="31"/>
        </w:rPr>
        <w:t> </w:t>
      </w:r>
      <w:r>
        <w:rPr>
          <w:color w:val="4F576A"/>
          <w:sz w:val="31"/>
        </w:rPr>
        <w:t>an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application</w:t>
      </w:r>
      <w:r>
        <w:rPr>
          <w:color w:val="4F576A"/>
          <w:spacing w:val="5"/>
          <w:sz w:val="31"/>
        </w:rPr>
        <w:t> </w:t>
      </w:r>
      <w:r>
        <w:rPr>
          <w:color w:val="4F576A"/>
          <w:sz w:val="31"/>
        </w:rPr>
        <w:t>under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section</w:t>
      </w:r>
      <w:r>
        <w:rPr>
          <w:color w:val="4F576A"/>
          <w:spacing w:val="5"/>
          <w:sz w:val="31"/>
        </w:rPr>
        <w:t> </w:t>
      </w:r>
      <w:r>
        <w:rPr>
          <w:color w:val="4F576A"/>
          <w:sz w:val="31"/>
        </w:rPr>
        <w:t>7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of</w:t>
      </w:r>
      <w:r>
        <w:rPr>
          <w:color w:val="4F576A"/>
          <w:spacing w:val="1"/>
          <w:sz w:val="31"/>
        </w:rPr>
        <w:t> </w:t>
      </w:r>
      <w:r>
        <w:rPr>
          <w:color w:val="4F576A"/>
          <w:sz w:val="31"/>
        </w:rPr>
        <w:t>IBC</w:t>
      </w:r>
      <w:r>
        <w:rPr>
          <w:color w:val="4F576A"/>
          <w:spacing w:val="4"/>
          <w:sz w:val="31"/>
        </w:rPr>
        <w:t> </w:t>
      </w:r>
      <w:r>
        <w:rPr>
          <w:color w:val="4F576A"/>
          <w:sz w:val="31"/>
        </w:rPr>
        <w:t>if</w:t>
      </w:r>
      <w:r>
        <w:rPr>
          <w:color w:val="4F576A"/>
          <w:spacing w:val="5"/>
          <w:sz w:val="31"/>
        </w:rPr>
        <w:t> </w:t>
      </w:r>
      <w:r>
        <w:rPr>
          <w:color w:val="4F576A"/>
          <w:sz w:val="31"/>
        </w:rPr>
        <w:t>it</w:t>
      </w:r>
      <w:r>
        <w:rPr>
          <w:color w:val="4F576A"/>
          <w:spacing w:val="2"/>
          <w:sz w:val="31"/>
        </w:rPr>
        <w:t> </w:t>
      </w:r>
      <w:r>
        <w:rPr>
          <w:color w:val="4F576A"/>
          <w:sz w:val="31"/>
        </w:rPr>
        <w:t>meets</w:t>
      </w:r>
      <w:r>
        <w:rPr>
          <w:color w:val="4F576A"/>
          <w:spacing w:val="5"/>
          <w:sz w:val="31"/>
        </w:rPr>
        <w:t> </w:t>
      </w:r>
      <w:r>
        <w:rPr>
          <w:color w:val="4F576A"/>
          <w:sz w:val="31"/>
        </w:rPr>
        <w:t>certain</w:t>
      </w:r>
    </w:p>
    <w:p>
      <w:pPr>
        <w:spacing w:before="90"/>
        <w:ind w:left="664" w:right="0" w:firstLine="0"/>
        <w:jc w:val="left"/>
        <w:rPr>
          <w:sz w:val="31"/>
        </w:rPr>
      </w:pPr>
      <w:r>
        <w:rPr>
          <w:color w:val="4F576A"/>
          <w:sz w:val="31"/>
        </w:rPr>
        <w:t>criteria</w:t>
      </w:r>
      <w:r>
        <w:rPr>
          <w:color w:val="4F576A"/>
          <w:spacing w:val="-4"/>
          <w:sz w:val="31"/>
        </w:rPr>
        <w:t> </w:t>
      </w:r>
      <w:r>
        <w:rPr>
          <w:color w:val="4F576A"/>
          <w:sz w:val="31"/>
        </w:rPr>
        <w:t>is</w:t>
      </w:r>
      <w:r>
        <w:rPr>
          <w:color w:val="4F576A"/>
          <w:spacing w:val="-2"/>
          <w:sz w:val="31"/>
        </w:rPr>
        <w:t> </w:t>
      </w:r>
      <w:r>
        <w:rPr>
          <w:color w:val="4F576A"/>
          <w:sz w:val="31"/>
        </w:rPr>
        <w:t>a</w:t>
      </w:r>
      <w:r>
        <w:rPr>
          <w:color w:val="4F576A"/>
          <w:spacing w:val="-3"/>
          <w:sz w:val="31"/>
        </w:rPr>
        <w:t> </w:t>
      </w:r>
      <w:r>
        <w:rPr>
          <w:color w:val="4F576A"/>
          <w:sz w:val="31"/>
        </w:rPr>
        <w:t>rule,</w:t>
      </w:r>
      <w:r>
        <w:rPr>
          <w:color w:val="4F576A"/>
          <w:spacing w:val="-2"/>
          <w:sz w:val="31"/>
        </w:rPr>
        <w:t> </w:t>
      </w:r>
      <w:r>
        <w:rPr>
          <w:color w:val="4F576A"/>
          <w:sz w:val="31"/>
        </w:rPr>
        <w:t>while</w:t>
      </w:r>
      <w:r>
        <w:rPr>
          <w:color w:val="4F576A"/>
          <w:spacing w:val="5"/>
          <w:sz w:val="31"/>
        </w:rPr>
        <w:t> </w:t>
      </w:r>
      <w:r>
        <w:rPr>
          <w:color w:val="4F576A"/>
          <w:sz w:val="31"/>
        </w:rPr>
        <w:t>rejecting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such</w:t>
      </w:r>
      <w:r>
        <w:rPr>
          <w:color w:val="4F576A"/>
          <w:spacing w:val="-4"/>
          <w:sz w:val="31"/>
        </w:rPr>
        <w:t> </w:t>
      </w:r>
      <w:r>
        <w:rPr>
          <w:color w:val="4F576A"/>
          <w:sz w:val="31"/>
        </w:rPr>
        <w:t>an application</w:t>
      </w:r>
      <w:r>
        <w:rPr>
          <w:color w:val="4F576A"/>
          <w:spacing w:val="-3"/>
          <w:sz w:val="31"/>
        </w:rPr>
        <w:t> </w:t>
      </w:r>
      <w:r>
        <w:rPr>
          <w:color w:val="4F576A"/>
          <w:sz w:val="31"/>
        </w:rPr>
        <w:t>is</w:t>
      </w:r>
      <w:r>
        <w:rPr>
          <w:color w:val="4F576A"/>
          <w:spacing w:val="-2"/>
          <w:sz w:val="31"/>
        </w:rPr>
        <w:t> </w:t>
      </w:r>
      <w:r>
        <w:rPr>
          <w:color w:val="4F576A"/>
          <w:sz w:val="31"/>
        </w:rPr>
        <w:t>an</w:t>
      </w:r>
      <w:r>
        <w:rPr>
          <w:color w:val="4F576A"/>
          <w:spacing w:val="-3"/>
          <w:sz w:val="31"/>
        </w:rPr>
        <w:t> </w:t>
      </w:r>
      <w:r>
        <w:rPr>
          <w:color w:val="4F576A"/>
          <w:sz w:val="31"/>
        </w:rPr>
        <w:t>exception.</w:t>
      </w:r>
    </w:p>
    <w:p>
      <w:pPr>
        <w:pStyle w:val="BodyText"/>
        <w:spacing w:before="7"/>
        <w:rPr>
          <w:sz w:val="46"/>
        </w:rPr>
      </w:pPr>
    </w:p>
    <w:p>
      <w:pPr>
        <w:spacing w:before="0"/>
        <w:ind w:left="12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color w:val="4F576A"/>
          <w:sz w:val="31"/>
        </w:rPr>
        <w:t>Securities</w:t>
      </w:r>
      <w:r>
        <w:rPr>
          <w:rFonts w:ascii="Arial"/>
          <w:b/>
          <w:color w:val="4F576A"/>
          <w:spacing w:val="-4"/>
          <w:sz w:val="31"/>
        </w:rPr>
        <w:t> </w:t>
      </w:r>
      <w:r>
        <w:rPr>
          <w:rFonts w:ascii="Arial"/>
          <w:b/>
          <w:color w:val="4F576A"/>
          <w:sz w:val="31"/>
        </w:rPr>
        <w:t>Law</w:t>
      </w:r>
    </w:p>
    <w:p>
      <w:pPr>
        <w:tabs>
          <w:tab w:pos="664" w:val="left" w:leader="none"/>
        </w:tabs>
        <w:spacing w:line="300" w:lineRule="auto" w:before="90"/>
        <w:ind w:left="664" w:right="121" w:hanging="540"/>
        <w:jc w:val="left"/>
        <w:rPr>
          <w:sz w:val="31"/>
        </w:rPr>
      </w:pPr>
      <w:r>
        <w:rPr>
          <w:color w:val="4F576A"/>
          <w:sz w:val="31"/>
        </w:rPr>
        <w:t>1.</w:t>
        <w:tab/>
        <w:t>SEBI</w:t>
      </w:r>
      <w:r>
        <w:rPr>
          <w:color w:val="4F576A"/>
          <w:spacing w:val="35"/>
          <w:sz w:val="31"/>
        </w:rPr>
        <w:t> </w:t>
      </w:r>
      <w:r>
        <w:rPr>
          <w:color w:val="4F576A"/>
          <w:sz w:val="31"/>
        </w:rPr>
        <w:t>states</w:t>
      </w:r>
      <w:r>
        <w:rPr>
          <w:color w:val="4F576A"/>
          <w:spacing w:val="38"/>
          <w:sz w:val="31"/>
        </w:rPr>
        <w:t> </w:t>
      </w:r>
      <w:r>
        <w:rPr>
          <w:color w:val="4F576A"/>
          <w:sz w:val="31"/>
        </w:rPr>
        <w:t>while</w:t>
      </w:r>
      <w:r>
        <w:rPr>
          <w:color w:val="4F576A"/>
          <w:spacing w:val="37"/>
          <w:sz w:val="31"/>
        </w:rPr>
        <w:t> </w:t>
      </w:r>
      <w:r>
        <w:rPr>
          <w:color w:val="4F576A"/>
          <w:sz w:val="31"/>
        </w:rPr>
        <w:t>Company</w:t>
      </w:r>
      <w:r>
        <w:rPr>
          <w:color w:val="4F576A"/>
          <w:spacing w:val="34"/>
          <w:sz w:val="31"/>
        </w:rPr>
        <w:t> </w:t>
      </w:r>
      <w:r>
        <w:rPr>
          <w:color w:val="4F576A"/>
          <w:sz w:val="31"/>
        </w:rPr>
        <w:t>Has</w:t>
      </w:r>
      <w:r>
        <w:rPr>
          <w:color w:val="4F576A"/>
          <w:spacing w:val="37"/>
          <w:sz w:val="31"/>
        </w:rPr>
        <w:t> </w:t>
      </w:r>
      <w:r>
        <w:rPr>
          <w:color w:val="4F576A"/>
          <w:sz w:val="31"/>
        </w:rPr>
        <w:t>MD,</w:t>
      </w:r>
      <w:r>
        <w:rPr>
          <w:color w:val="4F576A"/>
          <w:spacing w:val="35"/>
          <w:sz w:val="31"/>
        </w:rPr>
        <w:t> </w:t>
      </w:r>
      <w:r>
        <w:rPr>
          <w:color w:val="4F576A"/>
          <w:sz w:val="31"/>
        </w:rPr>
        <w:t>Non-Executive</w:t>
      </w:r>
      <w:r>
        <w:rPr>
          <w:color w:val="4F576A"/>
          <w:spacing w:val="38"/>
          <w:sz w:val="31"/>
        </w:rPr>
        <w:t> </w:t>
      </w:r>
      <w:r>
        <w:rPr>
          <w:color w:val="4F576A"/>
          <w:sz w:val="31"/>
        </w:rPr>
        <w:t>Director</w:t>
      </w:r>
      <w:r>
        <w:rPr>
          <w:color w:val="4F576A"/>
          <w:spacing w:val="36"/>
          <w:sz w:val="31"/>
        </w:rPr>
        <w:t> </w:t>
      </w:r>
      <w:r>
        <w:rPr>
          <w:color w:val="4F576A"/>
          <w:sz w:val="31"/>
        </w:rPr>
        <w:t>Can’t</w:t>
      </w:r>
      <w:r>
        <w:rPr>
          <w:color w:val="4F576A"/>
          <w:spacing w:val="34"/>
          <w:sz w:val="31"/>
        </w:rPr>
        <w:t> </w:t>
      </w:r>
      <w:r>
        <w:rPr>
          <w:color w:val="4F576A"/>
          <w:sz w:val="31"/>
        </w:rPr>
        <w:t>Be</w:t>
      </w:r>
      <w:r>
        <w:rPr>
          <w:color w:val="4F576A"/>
          <w:spacing w:val="-83"/>
          <w:sz w:val="31"/>
        </w:rPr>
        <w:t> </w:t>
      </w:r>
      <w:r>
        <w:rPr>
          <w:color w:val="4F576A"/>
          <w:sz w:val="31"/>
        </w:rPr>
        <w:t>Person In</w:t>
      </w:r>
      <w:r>
        <w:rPr>
          <w:color w:val="4F576A"/>
          <w:spacing w:val="-4"/>
          <w:sz w:val="31"/>
        </w:rPr>
        <w:t> </w:t>
      </w:r>
      <w:r>
        <w:rPr>
          <w:color w:val="4F576A"/>
          <w:sz w:val="31"/>
        </w:rPr>
        <w:t>Default.</w:t>
      </w:r>
    </w:p>
    <w:p>
      <w:pPr>
        <w:pStyle w:val="BodyText"/>
        <w:rPr>
          <w:sz w:val="39"/>
        </w:rPr>
      </w:pPr>
    </w:p>
    <w:p>
      <w:pPr>
        <w:spacing w:before="0"/>
        <w:ind w:left="12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color w:val="4F576A"/>
          <w:sz w:val="31"/>
          <w:u w:val="thick" w:color="4F576A"/>
        </w:rPr>
        <w:t>Other</w:t>
      </w:r>
      <w:r>
        <w:rPr>
          <w:rFonts w:ascii="Arial"/>
          <w:b/>
          <w:color w:val="4F576A"/>
          <w:spacing w:val="-3"/>
          <w:sz w:val="31"/>
          <w:u w:val="thick" w:color="4F576A"/>
        </w:rPr>
        <w:t> </w:t>
      </w:r>
      <w:r>
        <w:rPr>
          <w:rFonts w:ascii="Arial"/>
          <w:b/>
          <w:color w:val="4F576A"/>
          <w:sz w:val="31"/>
          <w:u w:val="thick" w:color="4F576A"/>
        </w:rPr>
        <w:t>Updates: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  <w:tab w:pos="665" w:val="left" w:leader="none"/>
        </w:tabs>
        <w:spacing w:line="300" w:lineRule="auto" w:before="90" w:after="0"/>
        <w:ind w:left="664" w:right="121" w:hanging="540"/>
        <w:jc w:val="left"/>
        <w:rPr>
          <w:sz w:val="31"/>
        </w:rPr>
      </w:pPr>
      <w:r>
        <w:rPr>
          <w:color w:val="4F576A"/>
          <w:sz w:val="31"/>
        </w:rPr>
        <w:t>NCLAT</w:t>
      </w:r>
      <w:r>
        <w:rPr>
          <w:color w:val="4F576A"/>
          <w:spacing w:val="16"/>
          <w:sz w:val="31"/>
        </w:rPr>
        <w:t> </w:t>
      </w:r>
      <w:r>
        <w:rPr>
          <w:color w:val="4F576A"/>
          <w:sz w:val="31"/>
        </w:rPr>
        <w:t>issues</w:t>
      </w:r>
      <w:r>
        <w:rPr>
          <w:color w:val="4F576A"/>
          <w:spacing w:val="17"/>
          <w:sz w:val="31"/>
        </w:rPr>
        <w:t> </w:t>
      </w:r>
      <w:r>
        <w:rPr>
          <w:color w:val="4F576A"/>
          <w:sz w:val="31"/>
        </w:rPr>
        <w:t>checklists</w:t>
      </w:r>
      <w:r>
        <w:rPr>
          <w:color w:val="4F576A"/>
          <w:spacing w:val="19"/>
          <w:sz w:val="31"/>
        </w:rPr>
        <w:t> </w:t>
      </w:r>
      <w:r>
        <w:rPr>
          <w:color w:val="4F576A"/>
          <w:sz w:val="31"/>
        </w:rPr>
        <w:t>for</w:t>
      </w:r>
      <w:r>
        <w:rPr>
          <w:color w:val="4F576A"/>
          <w:spacing w:val="15"/>
          <w:sz w:val="31"/>
        </w:rPr>
        <w:t> </w:t>
      </w:r>
      <w:r>
        <w:rPr>
          <w:color w:val="4F576A"/>
          <w:sz w:val="31"/>
        </w:rPr>
        <w:t>filling</w:t>
      </w:r>
      <w:r>
        <w:rPr>
          <w:color w:val="4F576A"/>
          <w:spacing w:val="17"/>
          <w:sz w:val="31"/>
        </w:rPr>
        <w:t> </w:t>
      </w:r>
      <w:r>
        <w:rPr>
          <w:color w:val="4F576A"/>
          <w:sz w:val="31"/>
        </w:rPr>
        <w:t>appeals</w:t>
      </w:r>
      <w:r>
        <w:rPr>
          <w:color w:val="4F576A"/>
          <w:spacing w:val="17"/>
          <w:sz w:val="31"/>
        </w:rPr>
        <w:t> </w:t>
      </w:r>
      <w:r>
        <w:rPr>
          <w:color w:val="4F576A"/>
          <w:sz w:val="31"/>
        </w:rPr>
        <w:t>under</w:t>
      </w:r>
      <w:r>
        <w:rPr>
          <w:color w:val="4F576A"/>
          <w:spacing w:val="16"/>
          <w:sz w:val="31"/>
        </w:rPr>
        <w:t> </w:t>
      </w:r>
      <w:r>
        <w:rPr>
          <w:color w:val="4F576A"/>
          <w:sz w:val="31"/>
        </w:rPr>
        <w:t>Companies,</w:t>
      </w:r>
      <w:r>
        <w:rPr>
          <w:color w:val="4F576A"/>
          <w:spacing w:val="16"/>
          <w:sz w:val="31"/>
        </w:rPr>
        <w:t> </w:t>
      </w:r>
      <w:r>
        <w:rPr>
          <w:color w:val="4F576A"/>
          <w:sz w:val="31"/>
        </w:rPr>
        <w:t>Act,</w:t>
      </w:r>
      <w:r>
        <w:rPr>
          <w:color w:val="4F576A"/>
          <w:spacing w:val="17"/>
          <w:sz w:val="31"/>
        </w:rPr>
        <w:t> </w:t>
      </w:r>
      <w:r>
        <w:rPr>
          <w:color w:val="4F576A"/>
          <w:sz w:val="31"/>
        </w:rPr>
        <w:t>2013</w:t>
      </w:r>
      <w:r>
        <w:rPr>
          <w:color w:val="4F576A"/>
          <w:spacing w:val="-83"/>
          <w:sz w:val="31"/>
        </w:rPr>
        <w:t> </w:t>
      </w:r>
      <w:r>
        <w:rPr>
          <w:color w:val="4F576A"/>
          <w:sz w:val="31"/>
        </w:rPr>
        <w:t>and</w:t>
      </w:r>
      <w:r>
        <w:rPr>
          <w:color w:val="4F576A"/>
          <w:spacing w:val="-2"/>
          <w:sz w:val="31"/>
        </w:rPr>
        <w:t> </w:t>
      </w:r>
      <w:r>
        <w:rPr>
          <w:color w:val="4F576A"/>
          <w:sz w:val="31"/>
        </w:rPr>
        <w:t>Insolvency</w:t>
      </w:r>
      <w:r>
        <w:rPr>
          <w:color w:val="4F576A"/>
          <w:spacing w:val="-4"/>
          <w:sz w:val="31"/>
        </w:rPr>
        <w:t> </w:t>
      </w:r>
      <w:r>
        <w:rPr>
          <w:color w:val="4F576A"/>
          <w:sz w:val="31"/>
        </w:rPr>
        <w:t>and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Bankruptcy</w:t>
      </w:r>
      <w:r>
        <w:rPr>
          <w:color w:val="4F576A"/>
          <w:spacing w:val="-5"/>
          <w:sz w:val="31"/>
        </w:rPr>
        <w:t> </w:t>
      </w:r>
      <w:r>
        <w:rPr>
          <w:color w:val="4F576A"/>
          <w:sz w:val="31"/>
        </w:rPr>
        <w:t>Code,</w:t>
      </w:r>
      <w:r>
        <w:rPr>
          <w:color w:val="4F576A"/>
          <w:spacing w:val="-1"/>
          <w:sz w:val="31"/>
        </w:rPr>
        <w:t> </w:t>
      </w:r>
      <w:r>
        <w:rPr>
          <w:color w:val="4F576A"/>
          <w:sz w:val="31"/>
        </w:rPr>
        <w:t>2016.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  <w:tab w:pos="665" w:val="left" w:leader="none"/>
        </w:tabs>
        <w:spacing w:line="240" w:lineRule="auto" w:before="1" w:after="0"/>
        <w:ind w:left="664" w:right="0" w:hanging="541"/>
        <w:jc w:val="left"/>
        <w:rPr>
          <w:sz w:val="31"/>
        </w:rPr>
      </w:pPr>
      <w:r>
        <w:rPr>
          <w:color w:val="4F576A"/>
          <w:sz w:val="31"/>
        </w:rPr>
        <w:t>Income</w:t>
      </w:r>
      <w:r>
        <w:rPr>
          <w:color w:val="4F576A"/>
          <w:spacing w:val="-5"/>
          <w:sz w:val="31"/>
        </w:rPr>
        <w:t> </w:t>
      </w:r>
      <w:r>
        <w:rPr>
          <w:color w:val="4F576A"/>
          <w:sz w:val="31"/>
        </w:rPr>
        <w:t>Tax Department</w:t>
      </w:r>
      <w:r>
        <w:rPr>
          <w:color w:val="4F576A"/>
          <w:spacing w:val="-3"/>
          <w:sz w:val="31"/>
        </w:rPr>
        <w:t> </w:t>
      </w:r>
      <w:r>
        <w:rPr>
          <w:color w:val="4F576A"/>
          <w:sz w:val="31"/>
        </w:rPr>
        <w:t>clarifies</w:t>
      </w:r>
      <w:r>
        <w:rPr>
          <w:color w:val="4F576A"/>
          <w:spacing w:val="-4"/>
          <w:sz w:val="31"/>
        </w:rPr>
        <w:t> </w:t>
      </w:r>
      <w:r>
        <w:rPr>
          <w:color w:val="4F576A"/>
          <w:sz w:val="31"/>
        </w:rPr>
        <w:t>on</w:t>
      </w:r>
      <w:r>
        <w:rPr>
          <w:color w:val="4F576A"/>
          <w:spacing w:val="-3"/>
          <w:sz w:val="31"/>
        </w:rPr>
        <w:t> </w:t>
      </w:r>
      <w:r>
        <w:rPr>
          <w:color w:val="4F576A"/>
          <w:sz w:val="31"/>
        </w:rPr>
        <w:t>Inoperation</w:t>
      </w:r>
      <w:r>
        <w:rPr>
          <w:color w:val="4F576A"/>
          <w:spacing w:val="-7"/>
          <w:sz w:val="31"/>
        </w:rPr>
        <w:t> </w:t>
      </w:r>
      <w:r>
        <w:rPr>
          <w:color w:val="4F576A"/>
          <w:sz w:val="31"/>
        </w:rPr>
        <w:t>of</w:t>
      </w:r>
      <w:r>
        <w:rPr>
          <w:color w:val="4F576A"/>
          <w:spacing w:val="-2"/>
          <w:sz w:val="31"/>
        </w:rPr>
        <w:t> </w:t>
      </w:r>
      <w:r>
        <w:rPr>
          <w:color w:val="4F576A"/>
          <w:sz w:val="31"/>
        </w:rPr>
        <w:t>PAN</w:t>
      </w:r>
      <w:r>
        <w:rPr>
          <w:color w:val="4F576A"/>
          <w:spacing w:val="1"/>
          <w:sz w:val="31"/>
        </w:rPr>
        <w:t> </w:t>
      </w:r>
      <w:r>
        <w:rPr>
          <w:color w:val="4F576A"/>
          <w:sz w:val="31"/>
        </w:rPr>
        <w:t>of</w:t>
      </w:r>
      <w:r>
        <w:rPr>
          <w:color w:val="4F576A"/>
          <w:spacing w:val="-3"/>
          <w:sz w:val="31"/>
        </w:rPr>
        <w:t> </w:t>
      </w:r>
      <w:r>
        <w:rPr>
          <w:color w:val="4F576A"/>
          <w:sz w:val="31"/>
        </w:rPr>
        <w:t>NRIs/OCIs</w:t>
      </w:r>
    </w:p>
    <w:p>
      <w:pPr>
        <w:pStyle w:val="BodyText"/>
        <w:spacing w:before="8"/>
        <w:rPr>
          <w:sz w:val="46"/>
        </w:rPr>
      </w:pPr>
    </w:p>
    <w:p>
      <w:pPr>
        <w:spacing w:before="0"/>
        <w:ind w:left="124" w:right="0" w:firstLine="0"/>
        <w:jc w:val="left"/>
        <w:rPr>
          <w:rFonts w:ascii="Arial"/>
          <w:b/>
          <w:sz w:val="31"/>
        </w:rPr>
      </w:pPr>
      <w:r>
        <w:rPr/>
        <w:pict>
          <v:group style="position:absolute;margin-left:0pt;margin-top:101.248642pt;width:539.950pt;height:20.4pt;mso-position-horizontal-relative:page;mso-position-vertical-relative:paragraph;z-index:15730688" coordorigin="0,2025" coordsize="10799,408">
            <v:rect style="position:absolute;left:0;top:2024;width:10799;height:408" filled="true" fillcolor="#36394f" stroked="false">
              <v:fill type="solid"/>
            </v:rect>
            <v:shape style="position:absolute;left:117;top:2049;width:1623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28"/>
                      </w:rPr>
                      <w:t>JULY</w:t>
                    </w:r>
                    <w:r>
                      <w:rPr>
                        <w:rFonts w:ascii="Arial"/>
                        <w:b/>
                        <w:color w:val="EBCF6A"/>
                        <w:spacing w:val="6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7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119;top:2049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15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4F576A"/>
          <w:sz w:val="31"/>
          <w:u w:val="thick" w:color="4F576A"/>
        </w:rPr>
        <w:t>Due Dates</w:t>
      </w:r>
    </w:p>
    <w:p>
      <w:pPr>
        <w:spacing w:after="0"/>
        <w:jc w:val="left"/>
        <w:rPr>
          <w:rFonts w:ascii="Arial"/>
          <w:sz w:val="31"/>
        </w:rPr>
        <w:sectPr>
          <w:type w:val="continuous"/>
          <w:pgSz w:w="10800" w:h="19200"/>
          <w:pgMar w:top="0" w:bottom="0" w:left="0" w:right="0"/>
        </w:sectPr>
      </w:pPr>
    </w:p>
    <w:p>
      <w:pPr>
        <w:tabs>
          <w:tab w:pos="4958" w:val="left" w:leader="none"/>
        </w:tabs>
        <w:spacing w:line="240" w:lineRule="auto"/>
        <w:ind w:left="350" w:right="0" w:firstLine="0"/>
        <w:rPr>
          <w:rFonts w:ascii="Arial"/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25088" filled="true" fillcolor="#fdfcf8" stroked="false">
            <v:fill type="solid"/>
            <w10:wrap type="none"/>
          </v:rect>
        </w:pict>
      </w:r>
      <w:r>
        <w:rPr>
          <w:rFonts w:ascii="Arial"/>
          <w:position w:val="18"/>
          <w:sz w:val="20"/>
        </w:rPr>
        <w:drawing>
          <wp:inline distT="0" distB="0" distL="0" distR="0">
            <wp:extent cx="2588712" cy="1536858"/>
            <wp:effectExtent l="0" t="0" r="0" b="0"/>
            <wp:docPr id="1" name="image2.jpe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712" cy="153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8"/>
          <w:sz w:val="20"/>
        </w:rPr>
      </w:r>
      <w:r>
        <w:rPr>
          <w:rFonts w:ascii="Arial"/>
          <w:position w:val="18"/>
          <w:sz w:val="20"/>
        </w:rPr>
        <w:tab/>
      </w:r>
      <w:r>
        <w:rPr>
          <w:rFonts w:ascii="Arial"/>
          <w:sz w:val="20"/>
        </w:rPr>
        <w:pict>
          <v:group style="width:275.3pt;height:153.25pt;mso-position-horizontal-relative:char;mso-position-vertical-relative:line" coordorigin="0,0" coordsize="5506,3065">
            <v:rect style="position:absolute;left:4164;top:0;width:860;height:2577" filled="true" fillcolor="#ebcf6a" stroked="false">
              <v:fill type="solid"/>
            </v:rect>
            <v:shape style="position:absolute;left:3523;top:323;width:1786;height:1798" type="#_x0000_t75" stroked="false">
              <v:imagedata r:id="rId5" o:title=""/>
            </v:shape>
            <v:shape style="position:absolute;left:0;top:2577;width:5506;height:488" type="#_x0000_t202" filled="true" fillcolor="#394558" stroked="false">
              <v:textbox inset="0,0,0,0">
                <w:txbxContent>
                  <w:p>
                    <w:pPr>
                      <w:spacing w:before="13"/>
                      <w:ind w:left="1139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2" w:id="2"/>
                    <w:bookmarkEnd w:id="2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SECURITIES</w:t>
                    </w:r>
                    <w:r>
                      <w:rPr>
                        <w:rFonts w:ascii="Arial"/>
                        <w:b/>
                        <w:color w:val="EBCF6A"/>
                        <w:spacing w:val="56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7"/>
        </w:rPr>
      </w:pPr>
    </w:p>
    <w:p>
      <w:pPr>
        <w:pStyle w:val="Heading3"/>
        <w:numPr>
          <w:ilvl w:val="1"/>
          <w:numId w:val="3"/>
        </w:numPr>
        <w:tabs>
          <w:tab w:pos="897" w:val="left" w:leader="none"/>
          <w:tab w:pos="899" w:val="left" w:leader="none"/>
        </w:tabs>
        <w:spacing w:line="249" w:lineRule="auto" w:before="90" w:after="0"/>
        <w:ind w:left="898" w:right="1266" w:hanging="540"/>
        <w:jc w:val="left"/>
      </w:pPr>
      <w:r>
        <w:rPr/>
        <w:pict>
          <v:rect style="position:absolute;margin-left:456.119995pt;margin-top:-23.254202pt;width:42.96pt;height:6.72pt;mso-position-horizontal-relative:page;mso-position-vertical-relative:paragraph;z-index:15732736" filled="true" fillcolor="#ebcf6a" stroked="false">
            <v:fill type="solid"/>
            <w10:wrap type="none"/>
          </v:rect>
        </w:pict>
      </w:r>
      <w:r>
        <w:rPr>
          <w:color w:val="4F576A"/>
        </w:rPr>
        <w:t>SEBI</w:t>
      </w:r>
      <w:r>
        <w:rPr>
          <w:color w:val="4F576A"/>
          <w:spacing w:val="-15"/>
        </w:rPr>
        <w:t> </w:t>
      </w:r>
      <w:r>
        <w:rPr>
          <w:color w:val="4F576A"/>
        </w:rPr>
        <w:t>Amends</w:t>
      </w:r>
      <w:r>
        <w:rPr>
          <w:color w:val="4F576A"/>
          <w:spacing w:val="4"/>
        </w:rPr>
        <w:t> </w:t>
      </w:r>
      <w:r>
        <w:rPr>
          <w:color w:val="4F576A"/>
        </w:rPr>
        <w:t>Credit</w:t>
      </w:r>
      <w:r>
        <w:rPr>
          <w:color w:val="4F576A"/>
          <w:spacing w:val="-2"/>
        </w:rPr>
        <w:t> </w:t>
      </w:r>
      <w:r>
        <w:rPr>
          <w:color w:val="4F576A"/>
        </w:rPr>
        <w:t>Rating</w:t>
      </w:r>
      <w:r>
        <w:rPr>
          <w:color w:val="4F576A"/>
          <w:spacing w:val="-18"/>
        </w:rPr>
        <w:t> </w:t>
      </w:r>
      <w:r>
        <w:rPr>
          <w:color w:val="4F576A"/>
        </w:rPr>
        <w:t>Agency</w:t>
      </w:r>
      <w:r>
        <w:rPr>
          <w:color w:val="4F576A"/>
          <w:spacing w:val="6"/>
        </w:rPr>
        <w:t> </w:t>
      </w:r>
      <w:r>
        <w:rPr>
          <w:color w:val="4F576A"/>
        </w:rPr>
        <w:t>Norms</w:t>
      </w:r>
      <w:r>
        <w:rPr>
          <w:color w:val="4F576A"/>
          <w:spacing w:val="-4"/>
        </w:rPr>
        <w:t> </w:t>
      </w:r>
      <w:r>
        <w:rPr>
          <w:color w:val="4F576A"/>
        </w:rPr>
        <w:t>to</w:t>
      </w:r>
      <w:r>
        <w:rPr>
          <w:color w:val="4F576A"/>
          <w:spacing w:val="-2"/>
        </w:rPr>
        <w:t> </w:t>
      </w:r>
      <w:r>
        <w:rPr>
          <w:color w:val="4F576A"/>
        </w:rPr>
        <w:t>Include</w:t>
      </w:r>
      <w:r>
        <w:rPr>
          <w:color w:val="4F576A"/>
          <w:spacing w:val="-91"/>
        </w:rPr>
        <w:t> </w:t>
      </w:r>
      <w:r>
        <w:rPr>
          <w:color w:val="4F576A"/>
        </w:rPr>
        <w:t>Provisions</w:t>
      </w:r>
      <w:r>
        <w:rPr>
          <w:color w:val="4F576A"/>
          <w:spacing w:val="7"/>
        </w:rPr>
        <w:t> </w:t>
      </w:r>
      <w:r>
        <w:rPr>
          <w:color w:val="4F576A"/>
        </w:rPr>
        <w:t>Relating</w:t>
      </w:r>
      <w:r>
        <w:rPr>
          <w:color w:val="4F576A"/>
          <w:spacing w:val="-1"/>
        </w:rPr>
        <w:t> </w:t>
      </w:r>
      <w:r>
        <w:rPr>
          <w:color w:val="4F576A"/>
        </w:rPr>
        <w:t>to ESG</w:t>
      </w:r>
      <w:r>
        <w:rPr>
          <w:color w:val="4F576A"/>
          <w:spacing w:val="-2"/>
        </w:rPr>
        <w:t> </w:t>
      </w:r>
      <w:r>
        <w:rPr>
          <w:color w:val="4F576A"/>
        </w:rPr>
        <w:t>Rating</w:t>
      </w:r>
      <w:r>
        <w:rPr>
          <w:color w:val="4F576A"/>
          <w:spacing w:val="-4"/>
        </w:rPr>
        <w:t> </w:t>
      </w:r>
      <w:r>
        <w:rPr>
          <w:color w:val="4F576A"/>
        </w:rPr>
        <w:t>Providers</w:t>
      </w:r>
    </w:p>
    <w:p>
      <w:pPr>
        <w:pStyle w:val="BodyText"/>
        <w:spacing w:before="8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49" w:lineRule="auto" w:before="0" w:after="0"/>
        <w:ind w:left="809" w:right="480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ESG rating services can only be provided by entities that have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been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certified</w:t>
      </w: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40" w:lineRule="auto" w:before="3" w:after="0"/>
        <w:ind w:left="809" w:right="0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Even</w:t>
      </w:r>
      <w:r>
        <w:rPr>
          <w:color w:val="4F576A"/>
          <w:spacing w:val="3"/>
          <w:sz w:val="34"/>
        </w:rPr>
        <w:t> </w:t>
      </w:r>
      <w:r>
        <w:rPr>
          <w:color w:val="4F576A"/>
          <w:sz w:val="34"/>
        </w:rPr>
        <w:t>foreign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agencies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require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SEBI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certification</w:t>
      </w: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49" w:lineRule="auto" w:before="17" w:after="0"/>
        <w:ind w:left="809" w:right="473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at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least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four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employees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specialised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across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areas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governance,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sustainability,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social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impact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or</w:t>
      </w:r>
      <w:r>
        <w:rPr>
          <w:color w:val="4F576A"/>
          <w:spacing w:val="95"/>
          <w:sz w:val="34"/>
        </w:rPr>
        <w:t> </w:t>
      </w:r>
      <w:r>
        <w:rPr>
          <w:color w:val="4F576A"/>
          <w:sz w:val="34"/>
        </w:rPr>
        <w:t>social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responsibility, data analytics, finance, information technology,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and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law</w:t>
      </w: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40" w:lineRule="auto" w:before="6" w:after="0"/>
        <w:ind w:left="809" w:right="0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Website to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be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maintained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with</w:t>
      </w:r>
      <w:r>
        <w:rPr>
          <w:color w:val="4F576A"/>
          <w:spacing w:val="4"/>
          <w:sz w:val="34"/>
        </w:rPr>
        <w:t> </w:t>
      </w:r>
      <w:r>
        <w:rPr>
          <w:color w:val="4F576A"/>
          <w:sz w:val="34"/>
        </w:rPr>
        <w:t>ratings and</w:t>
      </w:r>
      <w:r>
        <w:rPr>
          <w:color w:val="4F576A"/>
          <w:spacing w:val="4"/>
          <w:sz w:val="34"/>
        </w:rPr>
        <w:t> </w:t>
      </w:r>
      <w:r>
        <w:rPr>
          <w:color w:val="4F576A"/>
          <w:sz w:val="34"/>
        </w:rPr>
        <w:t>methodology</w:t>
      </w: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49" w:lineRule="auto" w:before="17" w:after="0"/>
        <w:ind w:left="809" w:right="478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an ESG rating provider should not directly or indirectly hold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10% or more shareholding or voting rights in any other ESG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rating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provider</w:t>
      </w: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40" w:lineRule="auto" w:before="4" w:after="0"/>
        <w:ind w:left="809" w:right="0" w:hanging="452"/>
        <w:jc w:val="both"/>
        <w:rPr>
          <w:color w:val="800080"/>
          <w:sz w:val="34"/>
        </w:rPr>
      </w:pPr>
      <w:hyperlink r:id="rId7">
        <w:r>
          <w:rPr>
            <w:color w:val="800080"/>
            <w:sz w:val="34"/>
            <w:u w:val="thick" w:color="800080"/>
          </w:rPr>
          <w:t>Click</w:t>
        </w:r>
        <w:r>
          <w:rPr>
            <w:color w:val="800080"/>
            <w:spacing w:val="-5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here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for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Notificatio</w:t>
        </w:r>
        <w:r>
          <w:rPr>
            <w:color w:val="4F576A"/>
            <w:sz w:val="34"/>
            <w:u w:val="thick" w:color="800080"/>
          </w:rPr>
          <w:t>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pStyle w:val="Heading3"/>
        <w:numPr>
          <w:ilvl w:val="1"/>
          <w:numId w:val="3"/>
        </w:numPr>
        <w:tabs>
          <w:tab w:pos="899" w:val="left" w:leader="none"/>
        </w:tabs>
        <w:spacing w:line="249" w:lineRule="auto" w:before="90" w:after="0"/>
        <w:ind w:left="898" w:right="477" w:hanging="540"/>
        <w:jc w:val="both"/>
      </w:pPr>
      <w:r>
        <w:rPr>
          <w:color w:val="4F576A"/>
        </w:rPr>
        <w:t>SEBI</w:t>
      </w:r>
      <w:r>
        <w:rPr>
          <w:color w:val="4F576A"/>
          <w:spacing w:val="1"/>
        </w:rPr>
        <w:t> </w:t>
      </w:r>
      <w:r>
        <w:rPr>
          <w:color w:val="4F576A"/>
        </w:rPr>
        <w:t>(Issue</w:t>
      </w:r>
      <w:r>
        <w:rPr>
          <w:color w:val="4F576A"/>
          <w:spacing w:val="1"/>
        </w:rPr>
        <w:t> </w:t>
      </w:r>
      <w:r>
        <w:rPr>
          <w:color w:val="4F576A"/>
        </w:rPr>
        <w:t>and</w:t>
      </w:r>
      <w:r>
        <w:rPr>
          <w:color w:val="4F576A"/>
          <w:spacing w:val="1"/>
        </w:rPr>
        <w:t> </w:t>
      </w:r>
      <w:r>
        <w:rPr>
          <w:color w:val="4F576A"/>
        </w:rPr>
        <w:t>Listing</w:t>
      </w:r>
      <w:r>
        <w:rPr>
          <w:color w:val="4F576A"/>
          <w:spacing w:val="1"/>
        </w:rPr>
        <w:t> </w:t>
      </w:r>
      <w:r>
        <w:rPr>
          <w:color w:val="4F576A"/>
        </w:rPr>
        <w:t>Of</w:t>
      </w:r>
      <w:r>
        <w:rPr>
          <w:color w:val="4F576A"/>
          <w:spacing w:val="1"/>
        </w:rPr>
        <w:t> </w:t>
      </w:r>
      <w:r>
        <w:rPr>
          <w:color w:val="4F576A"/>
        </w:rPr>
        <w:t>Non-convertible</w:t>
      </w:r>
      <w:r>
        <w:rPr>
          <w:color w:val="4F576A"/>
          <w:spacing w:val="1"/>
        </w:rPr>
        <w:t> </w:t>
      </w:r>
      <w:r>
        <w:rPr>
          <w:color w:val="4F576A"/>
        </w:rPr>
        <w:t>Securities)</w:t>
      </w:r>
      <w:r>
        <w:rPr>
          <w:color w:val="4F576A"/>
          <w:spacing w:val="-92"/>
        </w:rPr>
        <w:t> </w:t>
      </w:r>
      <w:r>
        <w:rPr>
          <w:color w:val="4F576A"/>
        </w:rPr>
        <w:t>(Second</w:t>
      </w:r>
      <w:r>
        <w:rPr>
          <w:color w:val="4F576A"/>
          <w:spacing w:val="-14"/>
        </w:rPr>
        <w:t> </w:t>
      </w:r>
      <w:r>
        <w:rPr>
          <w:color w:val="4F576A"/>
        </w:rPr>
        <w:t>Amendment)</w:t>
      </w:r>
      <w:r>
        <w:rPr>
          <w:color w:val="4F576A"/>
          <w:spacing w:val="1"/>
        </w:rPr>
        <w:t> </w:t>
      </w:r>
      <w:r>
        <w:rPr>
          <w:color w:val="4F576A"/>
        </w:rPr>
        <w:t>Regulations,</w:t>
      </w:r>
      <w:r>
        <w:rPr>
          <w:color w:val="4F576A"/>
          <w:spacing w:val="-1"/>
        </w:rPr>
        <w:t> </w:t>
      </w:r>
      <w:r>
        <w:rPr>
          <w:color w:val="4F576A"/>
        </w:rPr>
        <w:t>2023</w:t>
      </w:r>
    </w:p>
    <w:p>
      <w:pPr>
        <w:pStyle w:val="BodyText"/>
        <w:spacing w:before="8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49" w:lineRule="auto" w:before="0" w:after="0"/>
        <w:ind w:left="809" w:right="477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Information mentioned in placement memorandum divided into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general information documents and key information document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Mandatory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From</w:t>
      </w:r>
      <w:r>
        <w:rPr>
          <w:color w:val="4F576A"/>
          <w:spacing w:val="-2"/>
          <w:sz w:val="34"/>
        </w:rPr>
        <w:t> </w:t>
      </w:r>
      <w:r>
        <w:rPr>
          <w:color w:val="4F576A"/>
          <w:sz w:val="34"/>
        </w:rPr>
        <w:t>31st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March</w:t>
      </w:r>
      <w:r>
        <w:rPr>
          <w:color w:val="4F576A"/>
          <w:spacing w:val="-2"/>
          <w:sz w:val="34"/>
        </w:rPr>
        <w:t> </w:t>
      </w:r>
      <w:r>
        <w:rPr>
          <w:color w:val="4F576A"/>
          <w:sz w:val="34"/>
        </w:rPr>
        <w:t>2024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onwards</w:t>
      </w: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40" w:lineRule="auto" w:before="4" w:after="0"/>
        <w:ind w:left="809" w:right="0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New definition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of</w:t>
      </w:r>
      <w:r>
        <w:rPr>
          <w:color w:val="4F576A"/>
          <w:spacing w:val="4"/>
          <w:sz w:val="34"/>
        </w:rPr>
        <w:t> </w:t>
      </w:r>
      <w:r>
        <w:rPr>
          <w:color w:val="4F576A"/>
          <w:sz w:val="34"/>
        </w:rPr>
        <w:t>senior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management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is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also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added</w:t>
      </w: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40" w:lineRule="auto" w:before="17" w:after="0"/>
        <w:ind w:left="809" w:right="0" w:hanging="452"/>
        <w:jc w:val="both"/>
        <w:rPr>
          <w:color w:val="4F576A"/>
          <w:sz w:val="34"/>
        </w:rPr>
      </w:pPr>
      <w:hyperlink r:id="rId8">
        <w:r>
          <w:rPr>
            <w:color w:val="800080"/>
            <w:sz w:val="34"/>
            <w:u w:val="thick" w:color="800080"/>
          </w:rPr>
          <w:t>Click</w:t>
        </w:r>
        <w:r>
          <w:rPr>
            <w:color w:val="800080"/>
            <w:spacing w:val="-4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here</w:t>
        </w:r>
        <w:r>
          <w:rPr>
            <w:color w:val="800080"/>
            <w:spacing w:val="2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for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notification</w:t>
        </w:r>
      </w:hyperlink>
    </w:p>
    <w:p>
      <w:pPr>
        <w:pStyle w:val="BodyText"/>
        <w:rPr>
          <w:sz w:val="38"/>
        </w:rPr>
      </w:pPr>
    </w:p>
    <w:p>
      <w:pPr>
        <w:pStyle w:val="BodyText"/>
        <w:spacing w:before="6"/>
      </w:pPr>
    </w:p>
    <w:p>
      <w:pPr>
        <w:pStyle w:val="Heading3"/>
        <w:numPr>
          <w:ilvl w:val="1"/>
          <w:numId w:val="3"/>
        </w:numPr>
        <w:tabs>
          <w:tab w:pos="899" w:val="left" w:leader="none"/>
        </w:tabs>
        <w:spacing w:line="249" w:lineRule="auto" w:before="0" w:after="0"/>
        <w:ind w:left="898" w:right="475" w:hanging="540"/>
        <w:jc w:val="both"/>
      </w:pPr>
      <w:r>
        <w:rPr>
          <w:color w:val="4F576A"/>
        </w:rPr>
        <w:t>SEBI</w:t>
      </w:r>
      <w:r>
        <w:rPr>
          <w:color w:val="4F576A"/>
          <w:spacing w:val="1"/>
        </w:rPr>
        <w:t> </w:t>
      </w:r>
      <w:r>
        <w:rPr>
          <w:color w:val="4F576A"/>
        </w:rPr>
        <w:t>issues</w:t>
      </w:r>
      <w:r>
        <w:rPr>
          <w:color w:val="4F576A"/>
          <w:spacing w:val="1"/>
        </w:rPr>
        <w:t> </w:t>
      </w:r>
      <w:r>
        <w:rPr>
          <w:color w:val="4F576A"/>
        </w:rPr>
        <w:t>Master</w:t>
      </w:r>
      <w:r>
        <w:rPr>
          <w:color w:val="4F576A"/>
          <w:spacing w:val="1"/>
        </w:rPr>
        <w:t> </w:t>
      </w:r>
      <w:r>
        <w:rPr>
          <w:color w:val="4F576A"/>
        </w:rPr>
        <w:t>Circular</w:t>
      </w:r>
      <w:r>
        <w:rPr>
          <w:color w:val="4F576A"/>
          <w:spacing w:val="1"/>
        </w:rPr>
        <w:t> </w:t>
      </w:r>
      <w:r>
        <w:rPr>
          <w:color w:val="4F576A"/>
        </w:rPr>
        <w:t>for</w:t>
      </w:r>
      <w:r>
        <w:rPr>
          <w:color w:val="4F576A"/>
          <w:spacing w:val="1"/>
        </w:rPr>
        <w:t> </w:t>
      </w:r>
      <w:r>
        <w:rPr>
          <w:color w:val="4F576A"/>
        </w:rPr>
        <w:t>compliance</w:t>
      </w:r>
      <w:r>
        <w:rPr>
          <w:color w:val="4F576A"/>
          <w:spacing w:val="1"/>
        </w:rPr>
        <w:t> </w:t>
      </w:r>
      <w:r>
        <w:rPr>
          <w:color w:val="4F576A"/>
        </w:rPr>
        <w:t>with</w:t>
      </w:r>
      <w:r>
        <w:rPr>
          <w:color w:val="4F576A"/>
          <w:spacing w:val="1"/>
        </w:rPr>
        <w:t> </w:t>
      </w:r>
      <w:r>
        <w:rPr>
          <w:color w:val="4F576A"/>
        </w:rPr>
        <w:t>the</w:t>
      </w:r>
      <w:r>
        <w:rPr>
          <w:color w:val="4F576A"/>
          <w:spacing w:val="1"/>
        </w:rPr>
        <w:t> </w:t>
      </w:r>
      <w:r>
        <w:rPr>
          <w:color w:val="4F576A"/>
        </w:rPr>
        <w:t>provisions</w:t>
      </w:r>
      <w:r>
        <w:rPr>
          <w:color w:val="4F576A"/>
          <w:spacing w:val="7"/>
        </w:rPr>
        <w:t> </w:t>
      </w:r>
      <w:r>
        <w:rPr>
          <w:color w:val="4F576A"/>
        </w:rPr>
        <w:t>of</w:t>
      </w:r>
      <w:r>
        <w:rPr>
          <w:color w:val="4F576A"/>
          <w:spacing w:val="-2"/>
        </w:rPr>
        <w:t> </w:t>
      </w:r>
      <w:r>
        <w:rPr>
          <w:color w:val="4F576A"/>
        </w:rPr>
        <w:t>the</w:t>
      </w:r>
      <w:r>
        <w:rPr>
          <w:color w:val="4F576A"/>
          <w:spacing w:val="-1"/>
        </w:rPr>
        <w:t> </w:t>
      </w:r>
      <w:r>
        <w:rPr>
          <w:color w:val="4F576A"/>
        </w:rPr>
        <w:t>SEBI</w:t>
      </w:r>
      <w:r>
        <w:rPr>
          <w:color w:val="4F576A"/>
          <w:spacing w:val="-1"/>
        </w:rPr>
        <w:t> </w:t>
      </w:r>
      <w:r>
        <w:rPr>
          <w:color w:val="4F576A"/>
        </w:rPr>
        <w:t>(LODR)</w:t>
      </w:r>
      <w:r>
        <w:rPr>
          <w:color w:val="4F576A"/>
          <w:spacing w:val="-3"/>
        </w:rPr>
        <w:t> </w:t>
      </w:r>
      <w:r>
        <w:rPr>
          <w:color w:val="4F576A"/>
        </w:rPr>
        <w:t>Regulations,</w:t>
      </w:r>
      <w:r>
        <w:rPr>
          <w:color w:val="4F576A"/>
          <w:spacing w:val="-3"/>
        </w:rPr>
        <w:t> </w:t>
      </w:r>
      <w:r>
        <w:rPr>
          <w:color w:val="4F576A"/>
        </w:rPr>
        <w:t>2015.</w:t>
      </w:r>
    </w:p>
    <w:p>
      <w:pPr>
        <w:pStyle w:val="BodyText"/>
        <w:spacing w:before="8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  <w:tab w:pos="810" w:val="left" w:leader="none"/>
        </w:tabs>
        <w:spacing w:line="249" w:lineRule="auto" w:before="0" w:after="0"/>
        <w:ind w:left="809" w:right="479" w:hanging="452"/>
        <w:jc w:val="left"/>
        <w:rPr>
          <w:color w:val="4F576A"/>
          <w:sz w:val="34"/>
        </w:rPr>
      </w:pPr>
      <w:r>
        <w:rPr>
          <w:color w:val="4F576A"/>
          <w:sz w:val="34"/>
        </w:rPr>
        <w:t>All</w:t>
      </w:r>
      <w:r>
        <w:rPr>
          <w:color w:val="4F576A"/>
          <w:spacing w:val="31"/>
          <w:sz w:val="34"/>
        </w:rPr>
        <w:t> </w:t>
      </w:r>
      <w:r>
        <w:rPr>
          <w:color w:val="4F576A"/>
          <w:sz w:val="34"/>
        </w:rPr>
        <w:t>circulars</w:t>
      </w:r>
      <w:r>
        <w:rPr>
          <w:color w:val="4F576A"/>
          <w:spacing w:val="29"/>
          <w:sz w:val="34"/>
        </w:rPr>
        <w:t> </w:t>
      </w:r>
      <w:r>
        <w:rPr>
          <w:color w:val="4F576A"/>
          <w:sz w:val="34"/>
        </w:rPr>
        <w:t>issued</w:t>
      </w:r>
      <w:r>
        <w:rPr>
          <w:color w:val="4F576A"/>
          <w:spacing w:val="32"/>
          <w:sz w:val="34"/>
        </w:rPr>
        <w:t> </w:t>
      </w:r>
      <w:r>
        <w:rPr>
          <w:color w:val="4F576A"/>
          <w:sz w:val="34"/>
        </w:rPr>
        <w:t>till</w:t>
      </w:r>
      <w:r>
        <w:rPr>
          <w:color w:val="4F576A"/>
          <w:spacing w:val="34"/>
          <w:sz w:val="34"/>
        </w:rPr>
        <w:t> </w:t>
      </w:r>
      <w:r>
        <w:rPr>
          <w:color w:val="4F576A"/>
          <w:sz w:val="34"/>
        </w:rPr>
        <w:t>June</w:t>
      </w:r>
      <w:r>
        <w:rPr>
          <w:color w:val="4F576A"/>
          <w:spacing w:val="30"/>
          <w:sz w:val="34"/>
        </w:rPr>
        <w:t> </w:t>
      </w:r>
      <w:r>
        <w:rPr>
          <w:color w:val="4F576A"/>
          <w:sz w:val="34"/>
        </w:rPr>
        <w:t>30,</w:t>
      </w:r>
      <w:r>
        <w:rPr>
          <w:color w:val="4F576A"/>
          <w:spacing w:val="30"/>
          <w:sz w:val="34"/>
        </w:rPr>
        <w:t> </w:t>
      </w:r>
      <w:r>
        <w:rPr>
          <w:color w:val="4F576A"/>
          <w:sz w:val="34"/>
        </w:rPr>
        <w:t>2023,</w:t>
      </w:r>
      <w:r>
        <w:rPr>
          <w:color w:val="4F576A"/>
          <w:spacing w:val="30"/>
          <w:sz w:val="34"/>
        </w:rPr>
        <w:t> </w:t>
      </w:r>
      <w:r>
        <w:rPr>
          <w:color w:val="4F576A"/>
          <w:sz w:val="34"/>
        </w:rPr>
        <w:t>complied</w:t>
      </w:r>
      <w:r>
        <w:rPr>
          <w:color w:val="4F576A"/>
          <w:spacing w:val="33"/>
          <w:sz w:val="34"/>
        </w:rPr>
        <w:t> </w:t>
      </w:r>
      <w:r>
        <w:rPr>
          <w:color w:val="4F576A"/>
          <w:sz w:val="34"/>
        </w:rPr>
        <w:t>in</w:t>
      </w:r>
      <w:r>
        <w:rPr>
          <w:color w:val="4F576A"/>
          <w:spacing w:val="31"/>
          <w:sz w:val="34"/>
        </w:rPr>
        <w:t> </w:t>
      </w:r>
      <w:r>
        <w:rPr>
          <w:color w:val="4F576A"/>
          <w:sz w:val="34"/>
        </w:rPr>
        <w:t>one</w:t>
      </w:r>
      <w:r>
        <w:rPr>
          <w:color w:val="4F576A"/>
          <w:spacing w:val="30"/>
          <w:sz w:val="34"/>
        </w:rPr>
        <w:t> </w:t>
      </w:r>
      <w:r>
        <w:rPr>
          <w:color w:val="4F576A"/>
          <w:sz w:val="34"/>
        </w:rPr>
        <w:t>master</w:t>
      </w:r>
      <w:r>
        <w:rPr>
          <w:color w:val="4F576A"/>
          <w:spacing w:val="-91"/>
          <w:sz w:val="34"/>
        </w:rPr>
        <w:t> </w:t>
      </w:r>
      <w:r>
        <w:rPr>
          <w:color w:val="4F576A"/>
          <w:sz w:val="34"/>
        </w:rPr>
        <w:t>circular.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  <w:tab w:pos="810" w:val="left" w:leader="none"/>
        </w:tabs>
        <w:spacing w:line="240" w:lineRule="auto" w:before="3" w:after="0"/>
        <w:ind w:left="809" w:right="0" w:hanging="452"/>
        <w:jc w:val="left"/>
        <w:rPr>
          <w:color w:val="4F576A"/>
          <w:sz w:val="34"/>
        </w:rPr>
      </w:pPr>
      <w:r>
        <w:rPr>
          <w:color w:val="4F576A"/>
          <w:sz w:val="34"/>
        </w:rPr>
        <w:t>Certain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circulars</w:t>
      </w:r>
      <w:r>
        <w:rPr>
          <w:color w:val="4F576A"/>
          <w:spacing w:val="-2"/>
          <w:sz w:val="34"/>
        </w:rPr>
        <w:t> </w:t>
      </w:r>
      <w:r>
        <w:rPr>
          <w:color w:val="4F576A"/>
          <w:sz w:val="34"/>
        </w:rPr>
        <w:t>rescinded.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  <w:tab w:pos="810" w:val="left" w:leader="none"/>
        </w:tabs>
        <w:spacing w:line="240" w:lineRule="auto" w:before="17" w:after="0"/>
        <w:ind w:left="809" w:right="0" w:hanging="452"/>
        <w:jc w:val="left"/>
        <w:rPr>
          <w:color w:val="4F576A"/>
          <w:sz w:val="34"/>
        </w:rPr>
      </w:pPr>
      <w:r>
        <w:rPr/>
        <w:pict>
          <v:shape style="position:absolute;margin-left:11.448pt;margin-top:88.320694pt;width:517.7pt;height:17pt;mso-position-horizontal-relative:page;mso-position-vertical-relative:paragraph;z-index:-16025600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1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86.059616pt;width:539.950pt;height:20.4pt;mso-position-horizontal-relative:page;mso-position-vertical-relative:paragraph;z-index:15733248" coordorigin="0,1721" coordsize="10799,408">
            <v:rect style="position:absolute;left:0;top:1721;width:10799;height:408" filled="true" fillcolor="#36394f" stroked="false">
              <v:fill type="solid"/>
            </v:rect>
            <v:shape style="position:absolute;left:117;top:1745;width:1647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28"/>
                      </w:rPr>
                      <w:t>JULY</w:t>
                    </w:r>
                    <w:r>
                      <w:rPr>
                        <w:rFonts w:ascii="Arial"/>
                        <w:b/>
                        <w:color w:val="EBCF6A"/>
                        <w:spacing w:val="6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103;top:1745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15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9">
        <w:r>
          <w:rPr>
            <w:color w:val="800080"/>
            <w:sz w:val="34"/>
            <w:u w:val="thick" w:color="800080"/>
          </w:rPr>
          <w:t>Click</w:t>
        </w:r>
        <w:r>
          <w:rPr>
            <w:color w:val="800080"/>
            <w:spacing w:val="-4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here</w:t>
        </w:r>
        <w:r>
          <w:rPr>
            <w:color w:val="800080"/>
            <w:spacing w:val="2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for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Master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Circular</w:t>
        </w:r>
      </w:hyperlink>
    </w:p>
    <w:p>
      <w:pPr>
        <w:spacing w:after="0" w:line="240" w:lineRule="auto"/>
        <w:jc w:val="left"/>
        <w:rPr>
          <w:sz w:val="34"/>
        </w:rPr>
        <w:sectPr>
          <w:pgSz w:w="10800" w:h="19200"/>
          <w:pgMar w:top="0" w:bottom="0" w:left="0" w:right="0"/>
        </w:sectPr>
      </w:pPr>
    </w:p>
    <w:p>
      <w:pPr>
        <w:tabs>
          <w:tab w:pos="5198" w:val="left" w:leader="none"/>
        </w:tabs>
        <w:spacing w:line="240" w:lineRule="auto"/>
        <w:ind w:left="818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22528" filled="true" fillcolor="#fdfcf8" stroked="false">
            <v:fill type="solid"/>
            <w10:wrap type="none"/>
          </v:rect>
        </w:pict>
      </w:r>
      <w:r>
        <w:rPr>
          <w:position w:val="11"/>
          <w:sz w:val="20"/>
        </w:rPr>
        <w:drawing>
          <wp:inline distT="0" distB="0" distL="0" distR="0">
            <wp:extent cx="2590228" cy="1536858"/>
            <wp:effectExtent l="0" t="0" r="0" b="0"/>
            <wp:docPr id="3" name="image2.jpe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228" cy="153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</w:r>
      <w:r>
        <w:rPr>
          <w:position w:val="11"/>
          <w:sz w:val="20"/>
        </w:rPr>
        <w:tab/>
      </w:r>
      <w:r>
        <w:rPr>
          <w:sz w:val="20"/>
        </w:rPr>
        <w:pict>
          <v:group style="width:275.3pt;height:161.25pt;mso-position-horizontal-relative:char;mso-position-vertical-relative:line" coordorigin="0,0" coordsize="5506,3225">
            <v:rect style="position:absolute;left:3924;top:0;width:860;height:2738" filled="true" fillcolor="#ebcf6a" stroked="false">
              <v:fill type="solid"/>
            </v:rect>
            <v:shape style="position:absolute;left:3283;top:323;width:1786;height:1798" type="#_x0000_t75" stroked="false">
              <v:imagedata r:id="rId5" o:title=""/>
            </v:shape>
            <v:shape style="position:absolute;left:0;top:2737;width:5506;height:488" type="#_x0000_t202" filled="true" fillcolor="#394558" stroked="false">
              <v:textbox inset="0,0,0,0">
                <w:txbxContent>
                  <w:p>
                    <w:pPr>
                      <w:spacing w:before="13"/>
                      <w:ind w:left="1139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3" w:id="3"/>
                    <w:bookmarkEnd w:id="3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SECURITIES</w:t>
                    </w:r>
                    <w:r>
                      <w:rPr>
                        <w:rFonts w:ascii="Arial"/>
                        <w:b/>
                        <w:color w:val="EBCF6A"/>
                        <w:spacing w:val="56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3"/>
        <w:numPr>
          <w:ilvl w:val="1"/>
          <w:numId w:val="3"/>
        </w:numPr>
        <w:tabs>
          <w:tab w:pos="841" w:val="left" w:leader="none"/>
        </w:tabs>
        <w:spacing w:line="249" w:lineRule="auto" w:before="90" w:after="0"/>
        <w:ind w:left="840" w:right="338" w:hanging="540"/>
        <w:jc w:val="both"/>
      </w:pPr>
      <w:r>
        <w:rPr>
          <w:color w:val="4F576A"/>
        </w:rPr>
        <w:t>SEBI notifies circular for Disclosure of material events /</w:t>
      </w:r>
      <w:r>
        <w:rPr>
          <w:color w:val="4F576A"/>
          <w:spacing w:val="1"/>
        </w:rPr>
        <w:t> </w:t>
      </w:r>
      <w:r>
        <w:rPr>
          <w:color w:val="4F576A"/>
        </w:rPr>
        <w:t>information</w:t>
      </w:r>
      <w:r>
        <w:rPr>
          <w:color w:val="4F576A"/>
          <w:spacing w:val="1"/>
        </w:rPr>
        <w:t> </w:t>
      </w:r>
      <w:r>
        <w:rPr>
          <w:color w:val="4F576A"/>
        </w:rPr>
        <w:t>by</w:t>
      </w:r>
      <w:r>
        <w:rPr>
          <w:color w:val="4F576A"/>
          <w:spacing w:val="1"/>
        </w:rPr>
        <w:t> </w:t>
      </w:r>
      <w:r>
        <w:rPr>
          <w:color w:val="4F576A"/>
        </w:rPr>
        <w:t>listed</w:t>
      </w:r>
      <w:r>
        <w:rPr>
          <w:color w:val="4F576A"/>
          <w:spacing w:val="1"/>
        </w:rPr>
        <w:t> </w:t>
      </w:r>
      <w:r>
        <w:rPr>
          <w:color w:val="4F576A"/>
        </w:rPr>
        <w:t>entities</w:t>
      </w:r>
      <w:r>
        <w:rPr>
          <w:color w:val="4F576A"/>
          <w:spacing w:val="1"/>
        </w:rPr>
        <w:t> </w:t>
      </w:r>
      <w:r>
        <w:rPr>
          <w:color w:val="4F576A"/>
        </w:rPr>
        <w:t>under</w:t>
      </w:r>
      <w:r>
        <w:rPr>
          <w:color w:val="4F576A"/>
          <w:spacing w:val="1"/>
        </w:rPr>
        <w:t> </w:t>
      </w:r>
      <w:r>
        <w:rPr>
          <w:color w:val="4F576A"/>
        </w:rPr>
        <w:t>SEBI</w:t>
      </w:r>
      <w:r>
        <w:rPr>
          <w:color w:val="4F576A"/>
          <w:spacing w:val="1"/>
        </w:rPr>
        <w:t> </w:t>
      </w:r>
      <w:r>
        <w:rPr>
          <w:color w:val="4F576A"/>
        </w:rPr>
        <w:t>(LODR)</w:t>
      </w:r>
      <w:r>
        <w:rPr>
          <w:color w:val="4F576A"/>
          <w:spacing w:val="1"/>
        </w:rPr>
        <w:t> </w:t>
      </w:r>
      <w:r>
        <w:rPr>
          <w:color w:val="4F576A"/>
        </w:rPr>
        <w:t>Regulations,</w:t>
      </w:r>
      <w:r>
        <w:rPr>
          <w:color w:val="4F576A"/>
          <w:spacing w:val="-1"/>
        </w:rPr>
        <w:t> </w:t>
      </w:r>
      <w:r>
        <w:rPr>
          <w:color w:val="4F576A"/>
        </w:rPr>
        <w:t>2015</w:t>
      </w:r>
    </w:p>
    <w:p>
      <w:pPr>
        <w:pStyle w:val="BodyText"/>
        <w:spacing w:before="10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4"/>
        </w:numPr>
        <w:tabs>
          <w:tab w:pos="752" w:val="left" w:leader="none"/>
        </w:tabs>
        <w:spacing w:line="249" w:lineRule="auto" w:before="0" w:after="0"/>
        <w:ind w:left="751" w:right="337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Guidance provided on details to be mentioned for disclosure of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events of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Para</w:t>
      </w:r>
      <w:r>
        <w:rPr>
          <w:color w:val="4F576A"/>
          <w:spacing w:val="-20"/>
          <w:sz w:val="34"/>
        </w:rPr>
        <w:t> </w:t>
      </w:r>
      <w:r>
        <w:rPr>
          <w:color w:val="4F576A"/>
          <w:sz w:val="34"/>
        </w:rPr>
        <w:t>A</w:t>
      </w:r>
      <w:r>
        <w:rPr>
          <w:color w:val="4F576A"/>
          <w:spacing w:val="-16"/>
          <w:sz w:val="34"/>
        </w:rPr>
        <w:t> </w:t>
      </w:r>
      <w:r>
        <w:rPr>
          <w:color w:val="4F576A"/>
          <w:sz w:val="34"/>
        </w:rPr>
        <w:t>&amp;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Para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B of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Part</w:t>
      </w:r>
      <w:r>
        <w:rPr>
          <w:color w:val="4F576A"/>
          <w:spacing w:val="-19"/>
          <w:sz w:val="34"/>
        </w:rPr>
        <w:t> </w:t>
      </w:r>
      <w:r>
        <w:rPr>
          <w:color w:val="4F576A"/>
          <w:sz w:val="34"/>
        </w:rPr>
        <w:t>A</w:t>
      </w:r>
      <w:r>
        <w:rPr>
          <w:color w:val="4F576A"/>
          <w:spacing w:val="-19"/>
          <w:sz w:val="34"/>
        </w:rPr>
        <w:t> </w:t>
      </w:r>
      <w:r>
        <w:rPr>
          <w:color w:val="4F576A"/>
          <w:sz w:val="34"/>
        </w:rPr>
        <w:t>of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Schedule</w:t>
      </w:r>
      <w:r>
        <w:rPr>
          <w:color w:val="4F576A"/>
          <w:spacing w:val="-2"/>
          <w:sz w:val="34"/>
        </w:rPr>
        <w:t> </w:t>
      </w:r>
      <w:r>
        <w:rPr>
          <w:color w:val="4F576A"/>
          <w:sz w:val="34"/>
        </w:rPr>
        <w:t>III</w:t>
      </w:r>
    </w:p>
    <w:p>
      <w:pPr>
        <w:pStyle w:val="ListParagraph"/>
        <w:numPr>
          <w:ilvl w:val="0"/>
          <w:numId w:val="4"/>
        </w:numPr>
        <w:tabs>
          <w:tab w:pos="752" w:val="left" w:leader="none"/>
        </w:tabs>
        <w:spacing w:line="249" w:lineRule="auto" w:before="3" w:after="0"/>
        <w:ind w:left="751" w:right="339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Timeline provided for disclosure of events of Part A of Schedule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III</w:t>
      </w:r>
    </w:p>
    <w:p>
      <w:pPr>
        <w:pStyle w:val="ListParagraph"/>
        <w:numPr>
          <w:ilvl w:val="0"/>
          <w:numId w:val="4"/>
        </w:numPr>
        <w:tabs>
          <w:tab w:pos="751" w:val="left" w:leader="none"/>
          <w:tab w:pos="752" w:val="left" w:leader="none"/>
        </w:tabs>
        <w:spacing w:line="240" w:lineRule="auto" w:before="3" w:after="0"/>
        <w:ind w:left="751" w:right="0" w:hanging="452"/>
        <w:jc w:val="left"/>
        <w:rPr>
          <w:color w:val="4F576A"/>
          <w:sz w:val="34"/>
        </w:rPr>
      </w:pPr>
      <w:r>
        <w:rPr>
          <w:color w:val="4F576A"/>
          <w:sz w:val="34"/>
        </w:rPr>
        <w:t>Guidance</w:t>
      </w:r>
      <w:r>
        <w:rPr>
          <w:color w:val="4F576A"/>
          <w:spacing w:val="3"/>
          <w:sz w:val="34"/>
        </w:rPr>
        <w:t> </w:t>
      </w:r>
      <w:r>
        <w:rPr>
          <w:color w:val="4F576A"/>
          <w:sz w:val="34"/>
        </w:rPr>
        <w:t>on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what</w:t>
      </w:r>
      <w:r>
        <w:rPr>
          <w:color w:val="4F576A"/>
          <w:spacing w:val="4"/>
          <w:sz w:val="34"/>
        </w:rPr>
        <w:t> </w:t>
      </w:r>
      <w:r>
        <w:rPr>
          <w:color w:val="4F576A"/>
          <w:sz w:val="34"/>
        </w:rPr>
        <w:t>all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is</w:t>
      </w:r>
      <w:r>
        <w:rPr>
          <w:color w:val="4F576A"/>
          <w:spacing w:val="-3"/>
          <w:sz w:val="34"/>
        </w:rPr>
        <w:t> </w:t>
      </w:r>
      <w:r>
        <w:rPr>
          <w:color w:val="4F576A"/>
          <w:sz w:val="34"/>
        </w:rPr>
        <w:t>covered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for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disclosure</w:t>
      </w:r>
      <w:r>
        <w:rPr>
          <w:color w:val="4F576A"/>
          <w:spacing w:val="-2"/>
          <w:sz w:val="34"/>
        </w:rPr>
        <w:t> </w:t>
      </w:r>
      <w:r>
        <w:rPr>
          <w:color w:val="4F576A"/>
          <w:sz w:val="34"/>
        </w:rPr>
        <w:t>under</w:t>
      </w:r>
      <w:r>
        <w:rPr>
          <w:color w:val="4F576A"/>
          <w:spacing w:val="4"/>
          <w:sz w:val="34"/>
        </w:rPr>
        <w:t> </w:t>
      </w:r>
      <w:r>
        <w:rPr>
          <w:color w:val="4F576A"/>
          <w:sz w:val="34"/>
        </w:rPr>
        <w:t>Reg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30</w:t>
      </w:r>
    </w:p>
    <w:p>
      <w:pPr>
        <w:pStyle w:val="ListParagraph"/>
        <w:numPr>
          <w:ilvl w:val="0"/>
          <w:numId w:val="4"/>
        </w:numPr>
        <w:tabs>
          <w:tab w:pos="751" w:val="left" w:leader="none"/>
          <w:tab w:pos="752" w:val="left" w:leader="none"/>
        </w:tabs>
        <w:spacing w:line="240" w:lineRule="auto" w:before="17" w:after="0"/>
        <w:ind w:left="751" w:right="0" w:hanging="452"/>
        <w:jc w:val="left"/>
        <w:rPr>
          <w:color w:val="4F576A"/>
          <w:sz w:val="34"/>
        </w:rPr>
      </w:pPr>
      <w:r>
        <w:rPr>
          <w:color w:val="4F576A"/>
          <w:sz w:val="34"/>
        </w:rPr>
        <w:t>Guidance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on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materiality</w:t>
      </w:r>
      <w:r>
        <w:rPr>
          <w:color w:val="4F576A"/>
          <w:spacing w:val="-3"/>
          <w:sz w:val="34"/>
        </w:rPr>
        <w:t> </w:t>
      </w:r>
      <w:r>
        <w:rPr>
          <w:color w:val="4F576A"/>
          <w:sz w:val="34"/>
        </w:rPr>
        <w:t>of</w:t>
      </w:r>
      <w:r>
        <w:rPr>
          <w:color w:val="4F576A"/>
          <w:spacing w:val="3"/>
          <w:sz w:val="34"/>
        </w:rPr>
        <w:t> </w:t>
      </w:r>
      <w:r>
        <w:rPr>
          <w:color w:val="4F576A"/>
          <w:sz w:val="34"/>
        </w:rPr>
        <w:t>events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or information</w:t>
      </w:r>
    </w:p>
    <w:p>
      <w:pPr>
        <w:pStyle w:val="ListParagraph"/>
        <w:numPr>
          <w:ilvl w:val="0"/>
          <w:numId w:val="4"/>
        </w:numPr>
        <w:tabs>
          <w:tab w:pos="751" w:val="left" w:leader="none"/>
          <w:tab w:pos="752" w:val="left" w:leader="none"/>
        </w:tabs>
        <w:spacing w:line="240" w:lineRule="auto" w:before="17" w:after="0"/>
        <w:ind w:left="751" w:right="0" w:hanging="452"/>
        <w:jc w:val="left"/>
        <w:rPr>
          <w:color w:val="4F576A"/>
          <w:sz w:val="34"/>
        </w:rPr>
      </w:pPr>
      <w:hyperlink r:id="rId10">
        <w:r>
          <w:rPr>
            <w:color w:val="800080"/>
            <w:sz w:val="34"/>
            <w:u w:val="thick" w:color="800080"/>
          </w:rPr>
          <w:t>Click</w:t>
        </w:r>
        <w:r>
          <w:rPr>
            <w:color w:val="800080"/>
            <w:spacing w:val="-4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here</w:t>
        </w:r>
        <w:r>
          <w:rPr>
            <w:color w:val="800080"/>
            <w:spacing w:val="2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for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Circulars</w:t>
        </w:r>
      </w:hyperlink>
    </w:p>
    <w:p>
      <w:pPr>
        <w:pStyle w:val="BodyText"/>
        <w:spacing w:before="11"/>
        <w:rPr>
          <w:sz w:val="36"/>
        </w:rPr>
      </w:pPr>
    </w:p>
    <w:p>
      <w:pPr>
        <w:pStyle w:val="Heading3"/>
        <w:numPr>
          <w:ilvl w:val="1"/>
          <w:numId w:val="3"/>
        </w:numPr>
        <w:tabs>
          <w:tab w:pos="840" w:val="left" w:leader="none"/>
          <w:tab w:pos="841" w:val="left" w:leader="none"/>
        </w:tabs>
        <w:spacing w:line="240" w:lineRule="auto" w:before="0" w:after="0"/>
        <w:ind w:left="840" w:right="0" w:hanging="541"/>
        <w:jc w:val="left"/>
      </w:pPr>
      <w:r>
        <w:rPr>
          <w:color w:val="4F576A"/>
        </w:rPr>
        <w:t>Trading</w:t>
      </w:r>
      <w:r>
        <w:rPr>
          <w:color w:val="4F576A"/>
          <w:spacing w:val="-2"/>
        </w:rPr>
        <w:t> </w:t>
      </w:r>
      <w:r>
        <w:rPr>
          <w:color w:val="4F576A"/>
        </w:rPr>
        <w:t>Window</w:t>
      </w:r>
      <w:r>
        <w:rPr>
          <w:color w:val="4F576A"/>
          <w:spacing w:val="2"/>
        </w:rPr>
        <w:t> </w:t>
      </w:r>
      <w:r>
        <w:rPr>
          <w:color w:val="4F576A"/>
        </w:rPr>
        <w:t>Closure</w:t>
      </w:r>
      <w:r>
        <w:rPr>
          <w:color w:val="4F576A"/>
          <w:spacing w:val="-8"/>
        </w:rPr>
        <w:t> </w:t>
      </w:r>
      <w:r>
        <w:rPr>
          <w:color w:val="4F576A"/>
        </w:rPr>
        <w:t>period</w:t>
      </w:r>
      <w:r>
        <w:rPr>
          <w:color w:val="4F576A"/>
          <w:spacing w:val="-2"/>
        </w:rPr>
        <w:t> </w:t>
      </w:r>
      <w:r>
        <w:rPr>
          <w:color w:val="4F576A"/>
        </w:rPr>
        <w:t>extended</w:t>
      </w:r>
      <w:r>
        <w:rPr>
          <w:color w:val="4F576A"/>
          <w:spacing w:val="-1"/>
        </w:rPr>
        <w:t> </w:t>
      </w:r>
      <w:r>
        <w:rPr>
          <w:color w:val="4F576A"/>
        </w:rPr>
        <w:t>to</w:t>
      </w:r>
      <w:r>
        <w:rPr>
          <w:color w:val="4F576A"/>
          <w:spacing w:val="-2"/>
        </w:rPr>
        <w:t> </w:t>
      </w:r>
      <w:r>
        <w:rPr>
          <w:color w:val="4F576A"/>
        </w:rPr>
        <w:t>all</w:t>
      </w:r>
      <w:r>
        <w:rPr>
          <w:color w:val="4F576A"/>
          <w:spacing w:val="1"/>
        </w:rPr>
        <w:t> </w:t>
      </w:r>
      <w:r>
        <w:rPr>
          <w:color w:val="4F576A"/>
        </w:rPr>
        <w:t>companies</w:t>
      </w:r>
    </w:p>
    <w:p>
      <w:pPr>
        <w:pStyle w:val="BodyText"/>
        <w:rPr>
          <w:rFonts w:ascii="Arial"/>
          <w:b/>
          <w:sz w:val="37"/>
        </w:rPr>
      </w:pPr>
    </w:p>
    <w:p>
      <w:pPr>
        <w:pStyle w:val="ListParagraph"/>
        <w:numPr>
          <w:ilvl w:val="0"/>
          <w:numId w:val="4"/>
        </w:numPr>
        <w:tabs>
          <w:tab w:pos="752" w:val="left" w:leader="none"/>
        </w:tabs>
        <w:spacing w:line="249" w:lineRule="auto" w:before="0" w:after="0"/>
        <w:ind w:left="751" w:right="338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PAN Numbers of Designated Persons shall freeze for top 1000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companies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by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1st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October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2023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Next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1000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companies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by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January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1,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2024</w:t>
      </w:r>
    </w:p>
    <w:p>
      <w:pPr>
        <w:pStyle w:val="ListParagraph"/>
        <w:numPr>
          <w:ilvl w:val="0"/>
          <w:numId w:val="4"/>
        </w:numPr>
        <w:tabs>
          <w:tab w:pos="752" w:val="left" w:leader="none"/>
        </w:tabs>
        <w:spacing w:line="249" w:lineRule="auto" w:before="4" w:after="0"/>
        <w:ind w:left="751" w:right="341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Remaining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companies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listed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on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BSE,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NSE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and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Metropolitan</w:t>
      </w:r>
      <w:r>
        <w:rPr>
          <w:color w:val="4F576A"/>
          <w:spacing w:val="-92"/>
          <w:sz w:val="34"/>
        </w:rPr>
        <w:t> </w:t>
      </w:r>
      <w:r>
        <w:rPr>
          <w:color w:val="4F576A"/>
          <w:sz w:val="34"/>
        </w:rPr>
        <w:t>Stock exchanges by 1st April 2024 Companies getting listed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freshly-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1st day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from the</w:t>
      </w:r>
      <w:r>
        <w:rPr>
          <w:color w:val="4F576A"/>
          <w:spacing w:val="4"/>
          <w:sz w:val="34"/>
        </w:rPr>
        <w:t> </w:t>
      </w:r>
      <w:r>
        <w:rPr>
          <w:color w:val="4F576A"/>
          <w:sz w:val="34"/>
        </w:rPr>
        <w:t>2nd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quarter</w:t>
      </w:r>
    </w:p>
    <w:p>
      <w:pPr>
        <w:pStyle w:val="ListParagraph"/>
        <w:numPr>
          <w:ilvl w:val="0"/>
          <w:numId w:val="4"/>
        </w:numPr>
        <w:tabs>
          <w:tab w:pos="752" w:val="left" w:leader="none"/>
        </w:tabs>
        <w:spacing w:line="240" w:lineRule="auto" w:before="4" w:after="0"/>
        <w:ind w:left="751" w:right="0" w:hanging="452"/>
        <w:jc w:val="both"/>
        <w:rPr>
          <w:color w:val="4F576A"/>
          <w:sz w:val="34"/>
        </w:rPr>
      </w:pPr>
      <w:hyperlink r:id="rId11">
        <w:r>
          <w:rPr>
            <w:color w:val="800080"/>
            <w:sz w:val="34"/>
            <w:u w:val="thick" w:color="800080"/>
          </w:rPr>
          <w:t>Click</w:t>
        </w:r>
        <w:r>
          <w:rPr>
            <w:color w:val="800080"/>
            <w:spacing w:val="-4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here</w:t>
        </w:r>
        <w:r>
          <w:rPr>
            <w:color w:val="800080"/>
            <w:spacing w:val="2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for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Circular</w:t>
        </w:r>
      </w:hyperlink>
    </w:p>
    <w:p>
      <w:pPr>
        <w:pStyle w:val="BodyText"/>
        <w:rPr>
          <w:sz w:val="37"/>
        </w:rPr>
      </w:pPr>
    </w:p>
    <w:p>
      <w:pPr>
        <w:pStyle w:val="Heading3"/>
        <w:numPr>
          <w:ilvl w:val="1"/>
          <w:numId w:val="3"/>
        </w:numPr>
        <w:tabs>
          <w:tab w:pos="841" w:val="left" w:leader="none"/>
        </w:tabs>
        <w:spacing w:line="240" w:lineRule="auto" w:before="0" w:after="0"/>
        <w:ind w:left="840" w:right="0" w:hanging="541"/>
        <w:jc w:val="both"/>
      </w:pPr>
      <w:r>
        <w:rPr>
          <w:color w:val="4F576A"/>
        </w:rPr>
        <w:t>SEBI</w:t>
      </w:r>
      <w:r>
        <w:rPr>
          <w:color w:val="4F576A"/>
          <w:spacing w:val="26"/>
        </w:rPr>
        <w:t> </w:t>
      </w:r>
      <w:r>
        <w:rPr>
          <w:color w:val="4F576A"/>
        </w:rPr>
        <w:t>Introduces</w:t>
      </w:r>
      <w:r>
        <w:rPr>
          <w:color w:val="4F576A"/>
          <w:spacing w:val="121"/>
        </w:rPr>
        <w:t> </w:t>
      </w:r>
      <w:r>
        <w:rPr>
          <w:color w:val="4F576A"/>
        </w:rPr>
        <w:t>BRSR</w:t>
      </w:r>
      <w:r>
        <w:rPr>
          <w:color w:val="4F576A"/>
          <w:spacing w:val="122"/>
        </w:rPr>
        <w:t> </w:t>
      </w:r>
      <w:r>
        <w:rPr>
          <w:color w:val="4F576A"/>
        </w:rPr>
        <w:t>Core</w:t>
      </w:r>
      <w:r>
        <w:rPr>
          <w:color w:val="4F576A"/>
          <w:spacing w:val="121"/>
        </w:rPr>
        <w:t> </w:t>
      </w:r>
      <w:r>
        <w:rPr>
          <w:color w:val="4F576A"/>
        </w:rPr>
        <w:t>Regulatory</w:t>
      </w:r>
      <w:r>
        <w:rPr>
          <w:color w:val="4F576A"/>
          <w:spacing w:val="123"/>
        </w:rPr>
        <w:t> </w:t>
      </w:r>
      <w:r>
        <w:rPr>
          <w:color w:val="4F576A"/>
        </w:rPr>
        <w:t>Framework</w:t>
      </w:r>
      <w:r>
        <w:rPr>
          <w:color w:val="4F576A"/>
          <w:spacing w:val="121"/>
        </w:rPr>
        <w:t> </w:t>
      </w:r>
      <w:r>
        <w:rPr>
          <w:color w:val="4F576A"/>
        </w:rPr>
        <w:t>for</w:t>
      </w:r>
    </w:p>
    <w:p>
      <w:pPr>
        <w:spacing w:before="17"/>
        <w:ind w:left="840" w:right="0" w:firstLine="0"/>
        <w:jc w:val="left"/>
        <w:rPr>
          <w:rFonts w:ascii="Arial"/>
          <w:b/>
          <w:sz w:val="34"/>
        </w:rPr>
      </w:pPr>
      <w:r>
        <w:rPr>
          <w:rFonts w:ascii="Arial"/>
          <w:b/>
          <w:color w:val="4F576A"/>
          <w:sz w:val="34"/>
        </w:rPr>
        <w:t>ESG</w:t>
      </w:r>
    </w:p>
    <w:p>
      <w:pPr>
        <w:pStyle w:val="BodyText"/>
        <w:rPr>
          <w:rFonts w:ascii="Arial"/>
          <w:b/>
          <w:sz w:val="37"/>
        </w:rPr>
      </w:pPr>
    </w:p>
    <w:p>
      <w:pPr>
        <w:pStyle w:val="ListParagraph"/>
        <w:numPr>
          <w:ilvl w:val="0"/>
          <w:numId w:val="4"/>
        </w:numPr>
        <w:tabs>
          <w:tab w:pos="752" w:val="left" w:leader="none"/>
        </w:tabs>
        <w:spacing w:line="249" w:lineRule="auto" w:before="0" w:after="0"/>
        <w:ind w:left="751" w:right="338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SEBI</w:t>
      </w:r>
      <w:r>
        <w:rPr>
          <w:color w:val="4F576A"/>
          <w:spacing w:val="56"/>
          <w:sz w:val="34"/>
        </w:rPr>
        <w:t> </w:t>
      </w:r>
      <w:r>
        <w:rPr>
          <w:color w:val="4F576A"/>
          <w:sz w:val="34"/>
        </w:rPr>
        <w:t>has</w:t>
      </w:r>
      <w:r>
        <w:rPr>
          <w:color w:val="4F576A"/>
          <w:spacing w:val="58"/>
          <w:sz w:val="34"/>
        </w:rPr>
        <w:t> </w:t>
      </w:r>
      <w:r>
        <w:rPr>
          <w:color w:val="4F576A"/>
          <w:sz w:val="34"/>
        </w:rPr>
        <w:t>introduced</w:t>
      </w:r>
      <w:r>
        <w:rPr>
          <w:color w:val="4F576A"/>
          <w:spacing w:val="58"/>
          <w:sz w:val="34"/>
        </w:rPr>
        <w:t> </w:t>
      </w:r>
      <w:r>
        <w:rPr>
          <w:color w:val="4F576A"/>
          <w:sz w:val="34"/>
        </w:rPr>
        <w:t>a</w:t>
      </w:r>
      <w:r>
        <w:rPr>
          <w:color w:val="4F576A"/>
          <w:spacing w:val="61"/>
          <w:sz w:val="34"/>
        </w:rPr>
        <w:t> </w:t>
      </w:r>
      <w:r>
        <w:rPr>
          <w:color w:val="4F576A"/>
          <w:sz w:val="34"/>
        </w:rPr>
        <w:t>regulatory</w:t>
      </w:r>
      <w:r>
        <w:rPr>
          <w:color w:val="4F576A"/>
          <w:spacing w:val="58"/>
          <w:sz w:val="34"/>
        </w:rPr>
        <w:t> </w:t>
      </w:r>
      <w:r>
        <w:rPr>
          <w:color w:val="4F576A"/>
          <w:sz w:val="34"/>
        </w:rPr>
        <w:t>framework</w:t>
      </w:r>
      <w:r>
        <w:rPr>
          <w:color w:val="4F576A"/>
          <w:spacing w:val="58"/>
          <w:sz w:val="34"/>
        </w:rPr>
        <w:t> </w:t>
      </w:r>
      <w:r>
        <w:rPr>
          <w:color w:val="4F576A"/>
          <w:sz w:val="34"/>
        </w:rPr>
        <w:t>for</w:t>
      </w:r>
      <w:r>
        <w:rPr>
          <w:color w:val="4F576A"/>
          <w:spacing w:val="58"/>
          <w:sz w:val="34"/>
        </w:rPr>
        <w:t> </w:t>
      </w:r>
      <w:r>
        <w:rPr>
          <w:color w:val="4F576A"/>
          <w:sz w:val="34"/>
        </w:rPr>
        <w:t>listed</w:t>
      </w:r>
      <w:r>
        <w:rPr>
          <w:color w:val="4F576A"/>
          <w:spacing w:val="59"/>
          <w:sz w:val="34"/>
        </w:rPr>
        <w:t> </w:t>
      </w:r>
      <w:r>
        <w:rPr>
          <w:color w:val="4F576A"/>
          <w:sz w:val="34"/>
        </w:rPr>
        <w:t>entities</w:t>
      </w:r>
      <w:r>
        <w:rPr>
          <w:color w:val="4F576A"/>
          <w:spacing w:val="-92"/>
          <w:sz w:val="34"/>
        </w:rPr>
        <w:t> </w:t>
      </w:r>
      <w:r>
        <w:rPr>
          <w:color w:val="4F576A"/>
          <w:sz w:val="34"/>
        </w:rPr>
        <w:t>on ESG disclosures for the value chain and assurance, as per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BRSR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code.</w:t>
      </w:r>
    </w:p>
    <w:p>
      <w:pPr>
        <w:pStyle w:val="ListParagraph"/>
        <w:numPr>
          <w:ilvl w:val="0"/>
          <w:numId w:val="4"/>
        </w:numPr>
        <w:tabs>
          <w:tab w:pos="752" w:val="left" w:leader="none"/>
        </w:tabs>
        <w:spacing w:line="249" w:lineRule="auto" w:before="4" w:after="0"/>
        <w:ind w:left="751" w:right="339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Further the applicability for reporting of BRSR and Reasonable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assurance of the BRSR Core is also prescribed for the top listed</w:t>
      </w:r>
      <w:r>
        <w:rPr>
          <w:color w:val="4F576A"/>
          <w:spacing w:val="-92"/>
          <w:sz w:val="34"/>
        </w:rPr>
        <w:t> </w:t>
      </w:r>
      <w:r>
        <w:rPr>
          <w:color w:val="4F576A"/>
          <w:sz w:val="34"/>
        </w:rPr>
        <w:t>entities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(by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market capitalisation).</w:t>
      </w:r>
    </w:p>
    <w:p>
      <w:pPr>
        <w:pStyle w:val="ListParagraph"/>
        <w:numPr>
          <w:ilvl w:val="0"/>
          <w:numId w:val="4"/>
        </w:numPr>
        <w:tabs>
          <w:tab w:pos="752" w:val="left" w:leader="none"/>
        </w:tabs>
        <w:spacing w:line="240" w:lineRule="auto" w:before="4" w:after="0"/>
        <w:ind w:left="751" w:right="0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The</w:t>
      </w:r>
      <w:r>
        <w:rPr>
          <w:color w:val="4F576A"/>
          <w:spacing w:val="33"/>
          <w:sz w:val="34"/>
        </w:rPr>
        <w:t> </w:t>
      </w:r>
      <w:r>
        <w:rPr>
          <w:color w:val="4F576A"/>
          <w:sz w:val="34"/>
        </w:rPr>
        <w:t>revised</w:t>
      </w:r>
      <w:r>
        <w:rPr>
          <w:color w:val="4F576A"/>
          <w:spacing w:val="35"/>
          <w:sz w:val="34"/>
        </w:rPr>
        <w:t> </w:t>
      </w:r>
      <w:r>
        <w:rPr>
          <w:color w:val="4F576A"/>
          <w:sz w:val="34"/>
        </w:rPr>
        <w:t>format</w:t>
      </w:r>
      <w:r>
        <w:rPr>
          <w:color w:val="4F576A"/>
          <w:spacing w:val="34"/>
          <w:sz w:val="34"/>
        </w:rPr>
        <w:t> </w:t>
      </w:r>
      <w:r>
        <w:rPr>
          <w:color w:val="4F576A"/>
          <w:sz w:val="34"/>
        </w:rPr>
        <w:t>for</w:t>
      </w:r>
      <w:r>
        <w:rPr>
          <w:color w:val="4F576A"/>
          <w:spacing w:val="33"/>
          <w:sz w:val="34"/>
        </w:rPr>
        <w:t> </w:t>
      </w:r>
      <w:r>
        <w:rPr>
          <w:color w:val="4F576A"/>
          <w:sz w:val="34"/>
        </w:rPr>
        <w:t>BRSR</w:t>
      </w:r>
      <w:r>
        <w:rPr>
          <w:color w:val="4F576A"/>
          <w:spacing w:val="32"/>
          <w:sz w:val="34"/>
        </w:rPr>
        <w:t> </w:t>
      </w:r>
      <w:r>
        <w:rPr>
          <w:color w:val="4F576A"/>
          <w:sz w:val="34"/>
        </w:rPr>
        <w:t>and</w:t>
      </w:r>
      <w:r>
        <w:rPr>
          <w:color w:val="4F576A"/>
          <w:spacing w:val="36"/>
          <w:sz w:val="34"/>
        </w:rPr>
        <w:t> </w:t>
      </w:r>
      <w:r>
        <w:rPr>
          <w:color w:val="4F576A"/>
          <w:sz w:val="34"/>
        </w:rPr>
        <w:t>the</w:t>
      </w:r>
      <w:r>
        <w:rPr>
          <w:color w:val="4F576A"/>
          <w:spacing w:val="36"/>
          <w:sz w:val="34"/>
        </w:rPr>
        <w:t> </w:t>
      </w:r>
      <w:r>
        <w:rPr>
          <w:color w:val="4F576A"/>
          <w:sz w:val="34"/>
        </w:rPr>
        <w:t>format</w:t>
      </w:r>
      <w:r>
        <w:rPr>
          <w:color w:val="4F576A"/>
          <w:spacing w:val="37"/>
          <w:sz w:val="34"/>
        </w:rPr>
        <w:t> </w:t>
      </w:r>
      <w:r>
        <w:rPr>
          <w:color w:val="4F576A"/>
          <w:sz w:val="34"/>
        </w:rPr>
        <w:t>of</w:t>
      </w:r>
      <w:r>
        <w:rPr>
          <w:color w:val="4F576A"/>
          <w:spacing w:val="32"/>
          <w:sz w:val="34"/>
        </w:rPr>
        <w:t> </w:t>
      </w:r>
      <w:r>
        <w:rPr>
          <w:color w:val="4F576A"/>
          <w:sz w:val="34"/>
        </w:rPr>
        <w:t>BRSR</w:t>
      </w:r>
      <w:r>
        <w:rPr>
          <w:color w:val="4F576A"/>
          <w:spacing w:val="36"/>
          <w:sz w:val="34"/>
        </w:rPr>
        <w:t> </w:t>
      </w:r>
      <w:r>
        <w:rPr>
          <w:color w:val="4F576A"/>
          <w:sz w:val="34"/>
        </w:rPr>
        <w:t>core</w:t>
      </w:r>
      <w:r>
        <w:rPr>
          <w:color w:val="4F576A"/>
          <w:spacing w:val="32"/>
          <w:sz w:val="34"/>
        </w:rPr>
        <w:t> </w:t>
      </w:r>
      <w:r>
        <w:rPr>
          <w:color w:val="4F576A"/>
          <w:sz w:val="34"/>
        </w:rPr>
        <w:t>for</w:t>
      </w:r>
    </w:p>
    <w:p>
      <w:pPr>
        <w:pStyle w:val="BodyText"/>
        <w:spacing w:before="17"/>
        <w:ind w:left="751"/>
        <w:jc w:val="both"/>
      </w:pPr>
      <w:r>
        <w:rPr>
          <w:color w:val="4F576A"/>
        </w:rPr>
        <w:t>reasonable</w:t>
      </w:r>
      <w:r>
        <w:rPr>
          <w:color w:val="4F576A"/>
          <w:spacing w:val="3"/>
        </w:rPr>
        <w:t> </w:t>
      </w:r>
      <w:r>
        <w:rPr>
          <w:color w:val="4F576A"/>
        </w:rPr>
        <w:t>assurance</w:t>
      </w:r>
      <w:r>
        <w:rPr>
          <w:color w:val="4F576A"/>
          <w:spacing w:val="1"/>
        </w:rPr>
        <w:t> </w:t>
      </w:r>
      <w:r>
        <w:rPr>
          <w:color w:val="4F576A"/>
        </w:rPr>
        <w:t>have</w:t>
      </w:r>
      <w:r>
        <w:rPr>
          <w:color w:val="4F576A"/>
          <w:spacing w:val="1"/>
        </w:rPr>
        <w:t> </w:t>
      </w:r>
      <w:r>
        <w:rPr>
          <w:color w:val="4F576A"/>
        </w:rPr>
        <w:t>also</w:t>
      </w:r>
      <w:r>
        <w:rPr>
          <w:color w:val="4F576A"/>
          <w:spacing w:val="1"/>
        </w:rPr>
        <w:t> </w:t>
      </w:r>
      <w:r>
        <w:rPr>
          <w:color w:val="4F576A"/>
        </w:rPr>
        <w:t>been</w:t>
      </w:r>
      <w:r>
        <w:rPr>
          <w:color w:val="4F576A"/>
          <w:spacing w:val="5"/>
        </w:rPr>
        <w:t> </w:t>
      </w:r>
      <w:r>
        <w:rPr>
          <w:color w:val="4F576A"/>
        </w:rPr>
        <w:t>specified.</w:t>
      </w:r>
    </w:p>
    <w:p>
      <w:pPr>
        <w:pStyle w:val="ListParagraph"/>
        <w:numPr>
          <w:ilvl w:val="0"/>
          <w:numId w:val="4"/>
        </w:numPr>
        <w:tabs>
          <w:tab w:pos="752" w:val="left" w:leader="none"/>
        </w:tabs>
        <w:spacing w:line="240" w:lineRule="auto" w:before="18" w:after="0"/>
        <w:ind w:left="751" w:right="0" w:hanging="452"/>
        <w:jc w:val="both"/>
        <w:rPr>
          <w:color w:val="4F576A"/>
          <w:sz w:val="34"/>
        </w:rPr>
      </w:pPr>
      <w:r>
        <w:rPr/>
        <w:pict>
          <v:shape style="position:absolute;margin-left:11.448pt;margin-top:79.730698pt;width:517.7pt;height:17pt;mso-position-horizontal-relative:page;mso-position-vertical-relative:paragraph;z-index:-16023040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1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77.469620pt;width:539.950pt;height:20.4pt;mso-position-horizontal-relative:page;mso-position-vertical-relative:paragraph;z-index:15735296" coordorigin="0,1549" coordsize="10799,408">
            <v:rect style="position:absolute;left:0;top:1549;width:10799;height:408" filled="true" fillcolor="#36394f" stroked="false">
              <v:fill type="solid"/>
            </v:rect>
            <v:shape style="position:absolute;left:117;top:1573;width:1647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28"/>
                      </w:rPr>
                      <w:t>JULY</w:t>
                    </w:r>
                    <w:r>
                      <w:rPr>
                        <w:rFonts w:ascii="Arial"/>
                        <w:b/>
                        <w:color w:val="EBCF6A"/>
                        <w:spacing w:val="6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103;top:1573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15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2">
        <w:r>
          <w:rPr>
            <w:color w:val="800080"/>
            <w:sz w:val="34"/>
            <w:u w:val="thick" w:color="800080"/>
          </w:rPr>
          <w:t>Click</w:t>
        </w:r>
        <w:r>
          <w:rPr>
            <w:color w:val="800080"/>
            <w:spacing w:val="-4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here</w:t>
        </w:r>
        <w:r>
          <w:rPr>
            <w:color w:val="800080"/>
            <w:spacing w:val="2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for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Circular</w:t>
        </w:r>
      </w:hyperlink>
    </w:p>
    <w:p>
      <w:pPr>
        <w:spacing w:after="0" w:line="240" w:lineRule="auto"/>
        <w:jc w:val="both"/>
        <w:rPr>
          <w:sz w:val="34"/>
        </w:rPr>
        <w:sectPr>
          <w:pgSz w:w="10800" w:h="192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20992" filled="true" fillcolor="#fdfcf8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56"/>
        <w:ind w:left="295" w:right="0" w:firstLine="0"/>
        <w:jc w:val="left"/>
        <w:rPr>
          <w:rFonts w:ascii="Arial"/>
          <w:b/>
          <w:sz w:val="34"/>
        </w:rPr>
      </w:pPr>
      <w:r>
        <w:rPr/>
        <w:pict>
          <v:rect style="position:absolute;margin-left:452.160004pt;margin-top:-35.054218pt;width:42.829pt;height:4.350pt;mso-position-horizontal-relative:page;mso-position-vertical-relative:paragraph;z-index:15736832" filled="true" fillcolor="#ebcf6a" stroked="false">
            <v:fill type="solid"/>
            <w10:wrap type="none"/>
          </v:rect>
        </w:pict>
      </w:r>
      <w:r>
        <w:rPr/>
        <w:pict>
          <v:group style="position:absolute;margin-left:424.079987pt;margin-top:-183.864212pt;width:89.3pt;height:118.15pt;mso-position-horizontal-relative:page;mso-position-vertical-relative:paragraph;z-index:15737344" coordorigin="8482,-3677" coordsize="1786,2363">
            <v:rect style="position:absolute;left:9043;top:-3678;width:857;height:2363" filled="true" fillcolor="#ebcf6a" stroked="false">
              <v:fill type="solid"/>
            </v:rect>
            <v:shape style="position:absolute;left:8481;top:-3377;width:1786;height:1798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338327</wp:posOffset>
            </wp:positionH>
            <wp:positionV relativeFrom="paragraph">
              <wp:posOffset>-1869747</wp:posOffset>
            </wp:positionV>
            <wp:extent cx="2774876" cy="1800701"/>
            <wp:effectExtent l="0" t="0" r="0" b="0"/>
            <wp:wrapNone/>
            <wp:docPr id="5" name="image3.jpeg" descr="A picture containing text, indoor, tool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876" cy="1800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62.320007pt;margin-top:-65.741219pt;width:270pt;height:32.9pt;mso-position-horizontal-relative:page;mso-position-vertical-relative:paragraph;z-index:15738880" type="#_x0000_t202" filled="true" fillcolor="#36394f" stroked="false">
            <v:textbox inset="0,0,0,0">
              <w:txbxContent>
                <w:p>
                  <w:pPr>
                    <w:spacing w:before="13"/>
                    <w:ind w:left="1614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CASE</w:t>
                  </w:r>
                  <w:r>
                    <w:rPr>
                      <w:rFonts w:ascii="Arial"/>
                      <w:b/>
                      <w:color w:val="EBCF6A"/>
                      <w:spacing w:val="-10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LAWS</w:t>
                  </w:r>
                </w:p>
              </w:txbxContent>
            </v:textbox>
            <v:fill type="solid"/>
            <w10:wrap type="none"/>
          </v:shape>
        </w:pict>
      </w:r>
      <w:bookmarkStart w:name="Slide 4" w:id="4"/>
      <w:bookmarkEnd w:id="4"/>
      <w:r>
        <w:rPr/>
      </w:r>
      <w:r>
        <w:rPr>
          <w:rFonts w:ascii="Arial"/>
          <w:b/>
          <w:color w:val="4F576A"/>
          <w:sz w:val="34"/>
          <w:u w:val="thick" w:color="4F576A"/>
        </w:rPr>
        <w:t>Insolvency</w:t>
      </w:r>
      <w:r>
        <w:rPr>
          <w:rFonts w:ascii="Arial"/>
          <w:b/>
          <w:color w:val="4F576A"/>
          <w:spacing w:val="2"/>
          <w:sz w:val="34"/>
          <w:u w:val="thick" w:color="4F576A"/>
        </w:rPr>
        <w:t> </w:t>
      </w:r>
      <w:r>
        <w:rPr>
          <w:rFonts w:ascii="Arial"/>
          <w:b/>
          <w:color w:val="4F576A"/>
          <w:sz w:val="34"/>
          <w:u w:val="thick" w:color="4F576A"/>
        </w:rPr>
        <w:t>law</w:t>
      </w:r>
    </w:p>
    <w:p>
      <w:pPr>
        <w:pStyle w:val="BodyText"/>
        <w:rPr>
          <w:rFonts w:ascii="Arial"/>
          <w:b/>
          <w:sz w:val="37"/>
        </w:rPr>
      </w:pPr>
    </w:p>
    <w:p>
      <w:pPr>
        <w:pStyle w:val="ListParagraph"/>
        <w:numPr>
          <w:ilvl w:val="0"/>
          <w:numId w:val="5"/>
        </w:numPr>
        <w:tabs>
          <w:tab w:pos="836" w:val="left" w:leader="none"/>
        </w:tabs>
        <w:spacing w:line="249" w:lineRule="auto" w:before="0" w:after="0"/>
        <w:ind w:left="835" w:right="603" w:hanging="540"/>
        <w:jc w:val="both"/>
        <w:rPr>
          <w:rFonts w:ascii="Arial"/>
          <w:b/>
          <w:sz w:val="34"/>
        </w:rPr>
      </w:pPr>
      <w:r>
        <w:rPr>
          <w:rFonts w:ascii="Arial"/>
          <w:b/>
          <w:color w:val="4F576A"/>
          <w:sz w:val="34"/>
        </w:rPr>
        <w:t>In case of conflict in RBI directions and IBC, IBC shall</w:t>
      </w:r>
      <w:r>
        <w:rPr>
          <w:rFonts w:ascii="Arial"/>
          <w:b/>
          <w:color w:val="4F576A"/>
          <w:spacing w:val="1"/>
          <w:sz w:val="34"/>
        </w:rPr>
        <w:t> </w:t>
      </w:r>
      <w:r>
        <w:rPr>
          <w:rFonts w:ascii="Arial"/>
          <w:b/>
          <w:color w:val="4F576A"/>
          <w:sz w:val="34"/>
        </w:rPr>
        <w:t>hold good</w:t>
      </w:r>
    </w:p>
    <w:p>
      <w:pPr>
        <w:pStyle w:val="BodyText"/>
        <w:spacing w:before="8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0" w:after="0"/>
        <w:ind w:left="746" w:right="600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The financial creditor along with other sanctioned loans to the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corporate debtor &amp; entered into an inter-creditor agreement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(ICA) pursuant to the RBI directions wherein the CD undertook</w:t>
      </w:r>
      <w:r>
        <w:rPr>
          <w:color w:val="4F576A"/>
          <w:spacing w:val="-92"/>
          <w:sz w:val="34"/>
        </w:rPr>
        <w:t> </w:t>
      </w:r>
      <w:r>
        <w:rPr>
          <w:color w:val="4F576A"/>
          <w:sz w:val="34"/>
        </w:rPr>
        <w:t>to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repay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facilities</w:t>
      </w:r>
      <w:r>
        <w:rPr>
          <w:color w:val="4F576A"/>
          <w:spacing w:val="-2"/>
          <w:sz w:val="34"/>
        </w:rPr>
        <w:t> </w:t>
      </w:r>
      <w:r>
        <w:rPr>
          <w:color w:val="4F576A"/>
          <w:sz w:val="34"/>
        </w:rPr>
        <w:t>availed</w:t>
      </w:r>
      <w:r>
        <w:rPr>
          <w:color w:val="4F576A"/>
          <w:spacing w:val="-2"/>
          <w:sz w:val="34"/>
        </w:rPr>
        <w:t> </w:t>
      </w:r>
      <w:r>
        <w:rPr>
          <w:color w:val="4F576A"/>
          <w:sz w:val="34"/>
        </w:rPr>
        <w:t>in quarterly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instalments.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6" w:after="0"/>
        <w:ind w:left="746" w:right="595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Due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to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default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by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CD,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financial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creditor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filed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an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application u/s 7 of the IBC and the same was admitted by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NCLT.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5" w:after="0"/>
        <w:ind w:left="746" w:right="599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Dissatisfied by the impugned order, the CD filed an instant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appeal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contending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that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agreement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is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entered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by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lenders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pursuant to RBI directions &amp; no lender could initiate any legal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action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in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a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premature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manner.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5" w:after="0"/>
        <w:ind w:left="746" w:right="600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NCLAT held that IBC would have an overriding effect and RBI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circular</w:t>
      </w:r>
      <w:r>
        <w:rPr>
          <w:color w:val="4F576A"/>
          <w:spacing w:val="-3"/>
          <w:sz w:val="34"/>
        </w:rPr>
        <w:t> </w:t>
      </w:r>
      <w:r>
        <w:rPr>
          <w:color w:val="4F576A"/>
          <w:sz w:val="34"/>
        </w:rPr>
        <w:t>could not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come in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way</w:t>
      </w:r>
      <w:r>
        <w:rPr>
          <w:color w:val="4F576A"/>
          <w:spacing w:val="5"/>
          <w:sz w:val="34"/>
        </w:rPr>
        <w:t> </w:t>
      </w:r>
      <w:r>
        <w:rPr>
          <w:color w:val="4F576A"/>
          <w:sz w:val="34"/>
        </w:rPr>
        <w:t>of a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financial</w:t>
      </w:r>
      <w:r>
        <w:rPr>
          <w:color w:val="4F576A"/>
          <w:spacing w:val="-3"/>
          <w:sz w:val="34"/>
        </w:rPr>
        <w:t> </w:t>
      </w:r>
      <w:r>
        <w:rPr>
          <w:color w:val="4F576A"/>
          <w:sz w:val="34"/>
        </w:rPr>
        <w:t>creditor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0" w:lineRule="auto" w:before="4" w:after="0"/>
        <w:ind w:left="746" w:right="0" w:hanging="452"/>
        <w:jc w:val="both"/>
        <w:rPr>
          <w:color w:val="800080"/>
          <w:sz w:val="34"/>
        </w:rPr>
      </w:pPr>
      <w:hyperlink r:id="rId14">
        <w:r>
          <w:rPr>
            <w:color w:val="800080"/>
            <w:sz w:val="34"/>
            <w:u w:val="thick" w:color="800080"/>
          </w:rPr>
          <w:t>Click</w:t>
        </w:r>
        <w:r>
          <w:rPr>
            <w:color w:val="800080"/>
            <w:spacing w:val="-5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here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for Orde</w:t>
        </w:r>
        <w:r>
          <w:rPr>
            <w:color w:val="4F576A"/>
            <w:sz w:val="34"/>
            <w:u w:val="thick" w:color="800080"/>
          </w:rPr>
          <w:t>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3"/>
        <w:numPr>
          <w:ilvl w:val="0"/>
          <w:numId w:val="5"/>
        </w:numPr>
        <w:tabs>
          <w:tab w:pos="836" w:val="left" w:leader="none"/>
        </w:tabs>
        <w:spacing w:line="249" w:lineRule="auto" w:before="90" w:after="0"/>
        <w:ind w:left="835" w:right="598" w:hanging="540"/>
        <w:jc w:val="both"/>
      </w:pPr>
      <w:r>
        <w:rPr>
          <w:color w:val="4F576A"/>
        </w:rPr>
        <w:t>The admission of an application under section 7 of IBC if</w:t>
      </w:r>
      <w:r>
        <w:rPr>
          <w:color w:val="4F576A"/>
          <w:spacing w:val="1"/>
        </w:rPr>
        <w:t> </w:t>
      </w:r>
      <w:r>
        <w:rPr>
          <w:color w:val="4F576A"/>
        </w:rPr>
        <w:t>it meets certain criteria is a rule, while rejecting such an</w:t>
      </w:r>
      <w:r>
        <w:rPr>
          <w:color w:val="4F576A"/>
          <w:spacing w:val="1"/>
        </w:rPr>
        <w:t> </w:t>
      </w:r>
      <w:r>
        <w:rPr>
          <w:color w:val="4F576A"/>
        </w:rPr>
        <w:t>application</w:t>
      </w:r>
      <w:r>
        <w:rPr>
          <w:color w:val="4F576A"/>
          <w:spacing w:val="3"/>
        </w:rPr>
        <w:t> </w:t>
      </w:r>
      <w:r>
        <w:rPr>
          <w:color w:val="4F576A"/>
        </w:rPr>
        <w:t>is</w:t>
      </w:r>
      <w:r>
        <w:rPr>
          <w:color w:val="4F576A"/>
          <w:spacing w:val="1"/>
        </w:rPr>
        <w:t> </w:t>
      </w:r>
      <w:r>
        <w:rPr>
          <w:color w:val="4F576A"/>
        </w:rPr>
        <w:t>an</w:t>
      </w:r>
      <w:r>
        <w:rPr>
          <w:color w:val="4F576A"/>
          <w:spacing w:val="-1"/>
        </w:rPr>
        <w:t> </w:t>
      </w:r>
      <w:r>
        <w:rPr>
          <w:color w:val="4F576A"/>
        </w:rPr>
        <w:t>exception.</w:t>
      </w:r>
    </w:p>
    <w:p>
      <w:pPr>
        <w:pStyle w:val="BodyText"/>
        <w:spacing w:before="9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0" w:after="0"/>
        <w:ind w:left="746" w:right="600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In the case of Mukesh Kumar Vs. Ambrance India Pvt Ltd and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Other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NCLAT</w:t>
      </w:r>
      <w:r>
        <w:rPr>
          <w:color w:val="4F576A"/>
          <w:spacing w:val="-9"/>
          <w:sz w:val="34"/>
        </w:rPr>
        <w:t> </w:t>
      </w:r>
      <w:r>
        <w:rPr>
          <w:color w:val="4F576A"/>
          <w:sz w:val="34"/>
        </w:rPr>
        <w:t>held</w:t>
      </w:r>
      <w:r>
        <w:rPr>
          <w:color w:val="4F576A"/>
          <w:spacing w:val="-6"/>
          <w:sz w:val="34"/>
        </w:rPr>
        <w:t> </w:t>
      </w:r>
      <w:r>
        <w:rPr>
          <w:color w:val="4F576A"/>
          <w:sz w:val="34"/>
        </w:rPr>
        <w:t>that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: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3" w:after="0"/>
        <w:ind w:left="746" w:right="600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When admitting a petition under Article 7 of the IBC, there are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certain relevant criteria that must be met and there must be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debt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and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default.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5" w:after="0"/>
        <w:ind w:left="746" w:right="599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If the Adjudicating Authority is going to dismiss the application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as per provisions contained Section 7 of the IBC reasons are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mandatory.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0" w:lineRule="auto" w:before="4" w:after="0"/>
        <w:ind w:left="746" w:right="0" w:hanging="452"/>
        <w:jc w:val="both"/>
        <w:rPr>
          <w:color w:val="4F576A"/>
          <w:sz w:val="34"/>
        </w:rPr>
      </w:pPr>
      <w:r>
        <w:rPr/>
        <w:pict>
          <v:shape style="position:absolute;margin-left:9.648pt;margin-top:69.022697pt;width:519.5pt;height:18.6pt;mso-position-horizontal-relative:page;mso-position-vertical-relative:paragraph;z-index:-16021504" type="#_x0000_t202" filled="false" stroked="false">
            <v:textbox inset="0,0,0,0">
              <w:txbxContent>
                <w:p>
                  <w:pPr>
                    <w:tabs>
                      <w:tab w:pos="7332" w:val="left" w:leader="none"/>
                    </w:tabs>
                    <w:spacing w:line="37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30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68.585617pt;width:539.950pt;height:20.4pt;mso-position-horizontal-relative:page;mso-position-vertical-relative:paragraph;z-index:15737856" coordorigin="0,1372" coordsize="10799,408">
            <v:rect style="position:absolute;left:0;top:1371;width:10799;height:408" filled="true" fillcolor="#36394f" stroked="false">
              <v:fill type="solid"/>
            </v:rect>
            <v:shape style="position:absolute;left:117;top:1396;width:1623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28"/>
                      </w:rPr>
                      <w:t>JULY</w:t>
                    </w:r>
                    <w:r>
                      <w:rPr>
                        <w:rFonts w:ascii="Arial"/>
                        <w:b/>
                        <w:color w:val="EBCF6A"/>
                        <w:spacing w:val="6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7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016;top:1396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5">
        <w:r>
          <w:rPr>
            <w:color w:val="800080"/>
            <w:sz w:val="34"/>
            <w:u w:val="thick" w:color="800080"/>
          </w:rPr>
          <w:t>Click</w:t>
        </w:r>
        <w:r>
          <w:rPr>
            <w:color w:val="800080"/>
            <w:spacing w:val="-5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here</w:t>
        </w:r>
        <w:r>
          <w:rPr>
            <w:color w:val="800080"/>
            <w:spacing w:val="2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for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order</w:t>
        </w:r>
      </w:hyperlink>
    </w:p>
    <w:p>
      <w:pPr>
        <w:spacing w:after="0" w:line="240" w:lineRule="auto"/>
        <w:jc w:val="both"/>
        <w:rPr>
          <w:sz w:val="34"/>
        </w:rPr>
        <w:sectPr>
          <w:pgSz w:w="10800" w:h="19200"/>
          <w:pgMar w:top="2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17408" filled="true" fillcolor="#fdfcf8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56"/>
        <w:ind w:left="295" w:right="0" w:firstLine="0"/>
        <w:jc w:val="left"/>
        <w:rPr>
          <w:rFonts w:ascii="Arial"/>
          <w:b/>
          <w:sz w:val="34"/>
        </w:rPr>
      </w:pPr>
      <w:r>
        <w:rPr/>
        <w:pict>
          <v:rect style="position:absolute;margin-left:452.160004pt;margin-top:-35.054218pt;width:42.829pt;height:4.350pt;mso-position-horizontal-relative:page;mso-position-vertical-relative:paragraph;z-index:15740416" filled="true" fillcolor="#ebcf6a" stroked="false">
            <v:fill type="solid"/>
            <w10:wrap type="none"/>
          </v:rect>
        </w:pict>
      </w:r>
      <w:r>
        <w:rPr/>
        <w:pict>
          <v:group style="position:absolute;margin-left:424.079987pt;margin-top:-183.864212pt;width:89.3pt;height:118.15pt;mso-position-horizontal-relative:page;mso-position-vertical-relative:paragraph;z-index:15740928" coordorigin="8482,-3677" coordsize="1786,2363">
            <v:rect style="position:absolute;left:9043;top:-3678;width:857;height:2363" filled="true" fillcolor="#ebcf6a" stroked="false">
              <v:fill type="solid"/>
            </v:rect>
            <v:shape style="position:absolute;left:8481;top:-3377;width:1786;height:1798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338327</wp:posOffset>
            </wp:positionH>
            <wp:positionV relativeFrom="paragraph">
              <wp:posOffset>-1869747</wp:posOffset>
            </wp:positionV>
            <wp:extent cx="2774876" cy="1800701"/>
            <wp:effectExtent l="0" t="0" r="0" b="0"/>
            <wp:wrapNone/>
            <wp:docPr id="7" name="image3.jpeg" descr="A picture containing text, indoor, tool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876" cy="1800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62.320007pt;margin-top:-65.741219pt;width:270pt;height:32.9pt;mso-position-horizontal-relative:page;mso-position-vertical-relative:paragraph;z-index:15742976" type="#_x0000_t202" filled="true" fillcolor="#36394f" stroked="false">
            <v:textbox inset="0,0,0,0">
              <w:txbxContent>
                <w:p>
                  <w:pPr>
                    <w:spacing w:before="13"/>
                    <w:ind w:left="1614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CASE</w:t>
                  </w:r>
                  <w:r>
                    <w:rPr>
                      <w:rFonts w:ascii="Arial"/>
                      <w:b/>
                      <w:color w:val="EBCF6A"/>
                      <w:spacing w:val="-10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LAWS</w:t>
                  </w:r>
                </w:p>
              </w:txbxContent>
            </v:textbox>
            <v:fill type="solid"/>
            <w10:wrap type="none"/>
          </v:shape>
        </w:pict>
      </w:r>
      <w:bookmarkStart w:name="Slide 5" w:id="5"/>
      <w:bookmarkEnd w:id="5"/>
      <w:r>
        <w:rPr/>
      </w:r>
      <w:r>
        <w:rPr>
          <w:rFonts w:ascii="Arial"/>
          <w:b/>
          <w:color w:val="4F576A"/>
          <w:sz w:val="34"/>
          <w:u w:val="thick" w:color="4F576A"/>
        </w:rPr>
        <w:t>Securities</w:t>
      </w:r>
      <w:r>
        <w:rPr>
          <w:rFonts w:ascii="Arial"/>
          <w:b/>
          <w:color w:val="4F576A"/>
          <w:spacing w:val="5"/>
          <w:sz w:val="34"/>
          <w:u w:val="thick" w:color="4F576A"/>
        </w:rPr>
        <w:t> </w:t>
      </w:r>
      <w:r>
        <w:rPr>
          <w:rFonts w:ascii="Arial"/>
          <w:b/>
          <w:color w:val="4F576A"/>
          <w:sz w:val="34"/>
          <w:u w:val="thick" w:color="4F576A"/>
        </w:rPr>
        <w:t>law</w:t>
      </w:r>
    </w:p>
    <w:p>
      <w:pPr>
        <w:pStyle w:val="BodyText"/>
        <w:rPr>
          <w:rFonts w:ascii="Arial"/>
          <w:b/>
          <w:sz w:val="37"/>
        </w:rPr>
      </w:pPr>
    </w:p>
    <w:p>
      <w:pPr>
        <w:spacing w:line="249" w:lineRule="auto" w:before="0"/>
        <w:ind w:left="835" w:right="605" w:hanging="540"/>
        <w:jc w:val="both"/>
        <w:rPr>
          <w:rFonts w:ascii="Arial" w:hAnsi="Arial"/>
          <w:b/>
          <w:sz w:val="34"/>
        </w:rPr>
      </w:pPr>
      <w:r>
        <w:rPr>
          <w:rFonts w:ascii="Arial" w:hAnsi="Arial"/>
          <w:b/>
          <w:color w:val="4F576A"/>
          <w:sz w:val="34"/>
        </w:rPr>
        <w:t>1.</w:t>
      </w:r>
      <w:r>
        <w:rPr>
          <w:rFonts w:ascii="Arial" w:hAnsi="Arial"/>
          <w:b/>
          <w:color w:val="4F576A"/>
          <w:spacing w:val="1"/>
          <w:sz w:val="34"/>
        </w:rPr>
        <w:t> </w:t>
      </w:r>
      <w:r>
        <w:rPr>
          <w:rFonts w:ascii="Arial" w:hAnsi="Arial"/>
          <w:b/>
          <w:color w:val="4F576A"/>
          <w:sz w:val="34"/>
        </w:rPr>
        <w:t>SEBI</w:t>
      </w:r>
      <w:r>
        <w:rPr>
          <w:rFonts w:ascii="Arial" w:hAnsi="Arial"/>
          <w:b/>
          <w:color w:val="4F576A"/>
          <w:spacing w:val="1"/>
          <w:sz w:val="34"/>
        </w:rPr>
        <w:t> </w:t>
      </w:r>
      <w:r>
        <w:rPr>
          <w:rFonts w:ascii="Arial" w:hAnsi="Arial"/>
          <w:b/>
          <w:color w:val="4F576A"/>
          <w:sz w:val="34"/>
        </w:rPr>
        <w:t>states</w:t>
      </w:r>
      <w:r>
        <w:rPr>
          <w:rFonts w:ascii="Arial" w:hAnsi="Arial"/>
          <w:b/>
          <w:color w:val="4F576A"/>
          <w:spacing w:val="1"/>
          <w:sz w:val="34"/>
        </w:rPr>
        <w:t> </w:t>
      </w:r>
      <w:r>
        <w:rPr>
          <w:rFonts w:ascii="Arial" w:hAnsi="Arial"/>
          <w:b/>
          <w:color w:val="4F576A"/>
          <w:sz w:val="34"/>
        </w:rPr>
        <w:t>while</w:t>
      </w:r>
      <w:r>
        <w:rPr>
          <w:rFonts w:ascii="Arial" w:hAnsi="Arial"/>
          <w:b/>
          <w:color w:val="4F576A"/>
          <w:spacing w:val="1"/>
          <w:sz w:val="34"/>
        </w:rPr>
        <w:t> </w:t>
      </w:r>
      <w:r>
        <w:rPr>
          <w:rFonts w:ascii="Arial" w:hAnsi="Arial"/>
          <w:b/>
          <w:color w:val="4F576A"/>
          <w:sz w:val="34"/>
        </w:rPr>
        <w:t>Company</w:t>
      </w:r>
      <w:r>
        <w:rPr>
          <w:rFonts w:ascii="Arial" w:hAnsi="Arial"/>
          <w:b/>
          <w:color w:val="4F576A"/>
          <w:spacing w:val="1"/>
          <w:sz w:val="34"/>
        </w:rPr>
        <w:t> </w:t>
      </w:r>
      <w:r>
        <w:rPr>
          <w:rFonts w:ascii="Arial" w:hAnsi="Arial"/>
          <w:b/>
          <w:color w:val="4F576A"/>
          <w:sz w:val="34"/>
        </w:rPr>
        <w:t>Has</w:t>
      </w:r>
      <w:r>
        <w:rPr>
          <w:rFonts w:ascii="Arial" w:hAnsi="Arial"/>
          <w:b/>
          <w:color w:val="4F576A"/>
          <w:spacing w:val="1"/>
          <w:sz w:val="34"/>
        </w:rPr>
        <w:t> </w:t>
      </w:r>
      <w:r>
        <w:rPr>
          <w:rFonts w:ascii="Arial" w:hAnsi="Arial"/>
          <w:b/>
          <w:color w:val="4F576A"/>
          <w:sz w:val="34"/>
        </w:rPr>
        <w:t>MD,</w:t>
      </w:r>
      <w:r>
        <w:rPr>
          <w:rFonts w:ascii="Arial" w:hAnsi="Arial"/>
          <w:b/>
          <w:color w:val="4F576A"/>
          <w:spacing w:val="1"/>
          <w:sz w:val="34"/>
        </w:rPr>
        <w:t> </w:t>
      </w:r>
      <w:r>
        <w:rPr>
          <w:rFonts w:ascii="Arial" w:hAnsi="Arial"/>
          <w:b/>
          <w:color w:val="4F576A"/>
          <w:sz w:val="34"/>
        </w:rPr>
        <w:t>Non-Executive</w:t>
      </w:r>
      <w:r>
        <w:rPr>
          <w:rFonts w:ascii="Arial" w:hAnsi="Arial"/>
          <w:b/>
          <w:color w:val="4F576A"/>
          <w:spacing w:val="1"/>
          <w:sz w:val="34"/>
        </w:rPr>
        <w:t> </w:t>
      </w:r>
      <w:r>
        <w:rPr>
          <w:rFonts w:ascii="Arial" w:hAnsi="Arial"/>
          <w:b/>
          <w:color w:val="4F576A"/>
          <w:sz w:val="34"/>
        </w:rPr>
        <w:t>Director Can’t</w:t>
      </w:r>
      <w:r>
        <w:rPr>
          <w:rFonts w:ascii="Arial" w:hAnsi="Arial"/>
          <w:b/>
          <w:color w:val="4F576A"/>
          <w:spacing w:val="-2"/>
          <w:sz w:val="34"/>
        </w:rPr>
        <w:t> </w:t>
      </w:r>
      <w:r>
        <w:rPr>
          <w:rFonts w:ascii="Arial" w:hAnsi="Arial"/>
          <w:b/>
          <w:color w:val="4F576A"/>
          <w:sz w:val="34"/>
        </w:rPr>
        <w:t>Be</w:t>
      </w:r>
      <w:r>
        <w:rPr>
          <w:rFonts w:ascii="Arial" w:hAnsi="Arial"/>
          <w:b/>
          <w:color w:val="4F576A"/>
          <w:spacing w:val="-1"/>
          <w:sz w:val="34"/>
        </w:rPr>
        <w:t> </w:t>
      </w:r>
      <w:r>
        <w:rPr>
          <w:rFonts w:ascii="Arial" w:hAnsi="Arial"/>
          <w:b/>
          <w:color w:val="4F576A"/>
          <w:sz w:val="34"/>
        </w:rPr>
        <w:t>Person</w:t>
      </w:r>
      <w:r>
        <w:rPr>
          <w:rFonts w:ascii="Arial" w:hAnsi="Arial"/>
          <w:b/>
          <w:color w:val="4F576A"/>
          <w:spacing w:val="1"/>
          <w:sz w:val="34"/>
        </w:rPr>
        <w:t> </w:t>
      </w:r>
      <w:r>
        <w:rPr>
          <w:rFonts w:ascii="Arial" w:hAnsi="Arial"/>
          <w:b/>
          <w:color w:val="4F576A"/>
          <w:sz w:val="34"/>
        </w:rPr>
        <w:t>In</w:t>
      </w:r>
      <w:r>
        <w:rPr>
          <w:rFonts w:ascii="Arial" w:hAnsi="Arial"/>
          <w:b/>
          <w:color w:val="4F576A"/>
          <w:spacing w:val="-1"/>
          <w:sz w:val="34"/>
        </w:rPr>
        <w:t> </w:t>
      </w:r>
      <w:r>
        <w:rPr>
          <w:rFonts w:ascii="Arial" w:hAnsi="Arial"/>
          <w:b/>
          <w:color w:val="4F576A"/>
          <w:sz w:val="34"/>
        </w:rPr>
        <w:t>Default.</w:t>
      </w:r>
    </w:p>
    <w:p>
      <w:pPr>
        <w:pStyle w:val="BodyText"/>
        <w:spacing w:before="8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0" w:after="0"/>
        <w:ind w:left="746" w:right="598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In the recent order of SEBI Alchemist Holdings Limited &amp; its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directors were held liable for non-compliance with public issue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norms and was sought to initiate proceedings against certain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non-executive</w:t>
      </w:r>
      <w:r>
        <w:rPr>
          <w:color w:val="4F576A"/>
          <w:spacing w:val="4"/>
          <w:sz w:val="34"/>
        </w:rPr>
        <w:t> </w:t>
      </w:r>
      <w:r>
        <w:rPr>
          <w:color w:val="4F576A"/>
          <w:sz w:val="34"/>
        </w:rPr>
        <w:t>directors.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6" w:after="0"/>
        <w:ind w:left="746" w:right="589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It further held that no liability could be imposed on a non-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executive director in his capacity as ‘officer who is in default’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where a company had a managing director or a whole time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Director</w:t>
      </w:r>
      <w:r>
        <w:rPr>
          <w:color w:val="4F576A"/>
          <w:spacing w:val="-4"/>
          <w:sz w:val="34"/>
        </w:rPr>
        <w:t> </w:t>
      </w:r>
      <w:r>
        <w:rPr>
          <w:color w:val="4F576A"/>
          <w:sz w:val="34"/>
        </w:rPr>
        <w:t>or manager.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6" w:after="0"/>
        <w:ind w:left="746" w:right="599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It was observed that there are no documents or evidence,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Consequently,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it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is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not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possible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to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hold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non-executive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director</w:t>
      </w:r>
      <w:r>
        <w:rPr>
          <w:color w:val="4F576A"/>
          <w:spacing w:val="-2"/>
          <w:sz w:val="34"/>
        </w:rPr>
        <w:t> </w:t>
      </w:r>
      <w:r>
        <w:rPr>
          <w:color w:val="4F576A"/>
          <w:sz w:val="34"/>
        </w:rPr>
        <w:t>as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an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officer</w:t>
      </w:r>
      <w:r>
        <w:rPr>
          <w:color w:val="4F576A"/>
          <w:spacing w:val="3"/>
          <w:sz w:val="34"/>
        </w:rPr>
        <w:t> </w:t>
      </w:r>
      <w:r>
        <w:rPr>
          <w:color w:val="4F576A"/>
          <w:sz w:val="34"/>
        </w:rPr>
        <w:t>in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default.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0" w:lineRule="auto" w:before="4" w:after="0"/>
        <w:ind w:left="746" w:right="0" w:hanging="452"/>
        <w:jc w:val="both"/>
        <w:rPr>
          <w:color w:val="4F576A"/>
          <w:sz w:val="34"/>
        </w:rPr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338327</wp:posOffset>
            </wp:positionH>
            <wp:positionV relativeFrom="paragraph">
              <wp:posOffset>286458</wp:posOffset>
            </wp:positionV>
            <wp:extent cx="2753868" cy="1664207"/>
            <wp:effectExtent l="0" t="0" r="0" b="0"/>
            <wp:wrapNone/>
            <wp:docPr id="9" name="image4.jpeg" descr="A picture containing toy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3868" cy="1664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7">
        <w:r>
          <w:rPr>
            <w:color w:val="800080"/>
            <w:sz w:val="34"/>
            <w:u w:val="thick" w:color="800080"/>
          </w:rPr>
          <w:t>Click</w:t>
        </w:r>
        <w:r>
          <w:rPr>
            <w:color w:val="800080"/>
            <w:spacing w:val="-5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here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for</w:t>
        </w:r>
        <w:r>
          <w:rPr>
            <w:color w:val="800080"/>
            <w:spacing w:val="1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Order</w:t>
        </w:r>
      </w:hyperlink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7"/>
        </w:rPr>
      </w:pPr>
    </w:p>
    <w:p>
      <w:pPr>
        <w:pStyle w:val="Heading1"/>
        <w:tabs>
          <w:tab w:pos="6177" w:val="left" w:leader="none"/>
          <w:tab w:pos="10415" w:val="left" w:leader="none"/>
        </w:tabs>
        <w:spacing w:before="1"/>
        <w:ind w:left="5188"/>
      </w:pPr>
      <w:r>
        <w:rPr>
          <w:color w:val="EBCF6A"/>
          <w:w w:val="100"/>
          <w:shd w:fill="36394F" w:color="auto" w:val="clear"/>
        </w:rPr>
        <w:t> </w:t>
      </w:r>
      <w:r>
        <w:rPr>
          <w:color w:val="EBCF6A"/>
          <w:shd w:fill="36394F" w:color="auto" w:val="clear"/>
        </w:rPr>
        <w:tab/>
      </w:r>
      <w:r>
        <w:rPr>
          <w:color w:val="EBCF6A"/>
          <w:spacing w:val="-2"/>
          <w:shd w:fill="36394F" w:color="auto" w:val="clear"/>
        </w:rPr>
        <w:t>OTHER</w:t>
      </w:r>
      <w:r>
        <w:rPr>
          <w:color w:val="EBCF6A"/>
          <w:spacing w:val="-25"/>
          <w:shd w:fill="36394F" w:color="auto" w:val="clear"/>
        </w:rPr>
        <w:t> </w:t>
      </w:r>
      <w:r>
        <w:rPr>
          <w:color w:val="EBCF6A"/>
          <w:spacing w:val="-1"/>
          <w:shd w:fill="36394F" w:color="auto" w:val="clear"/>
        </w:rPr>
        <w:t>UPDATES</w:t>
        <w:tab/>
      </w:r>
    </w:p>
    <w:p>
      <w:pPr>
        <w:pStyle w:val="BodyText"/>
        <w:rPr>
          <w:rFonts w:ascii="Arial"/>
          <w:b/>
          <w:sz w:val="44"/>
        </w:rPr>
      </w:pPr>
    </w:p>
    <w:p>
      <w:pPr>
        <w:pStyle w:val="BodyText"/>
        <w:spacing w:before="8"/>
        <w:rPr>
          <w:rFonts w:ascii="Arial"/>
          <w:b/>
          <w:sz w:val="35"/>
        </w:rPr>
      </w:pPr>
    </w:p>
    <w:p>
      <w:pPr>
        <w:pStyle w:val="Heading3"/>
        <w:numPr>
          <w:ilvl w:val="0"/>
          <w:numId w:val="7"/>
        </w:numPr>
        <w:tabs>
          <w:tab w:pos="836" w:val="left" w:leader="none"/>
        </w:tabs>
        <w:spacing w:line="249" w:lineRule="auto" w:before="0" w:after="0"/>
        <w:ind w:left="835" w:right="597" w:hanging="540"/>
        <w:jc w:val="both"/>
      </w:pPr>
      <w:r>
        <w:rPr>
          <w:color w:val="4F576A"/>
        </w:rPr>
        <w:t>NCLAT</w:t>
      </w:r>
      <w:r>
        <w:rPr>
          <w:color w:val="4F576A"/>
          <w:spacing w:val="1"/>
        </w:rPr>
        <w:t> </w:t>
      </w:r>
      <w:r>
        <w:rPr>
          <w:color w:val="4F576A"/>
        </w:rPr>
        <w:t>issues</w:t>
      </w:r>
      <w:r>
        <w:rPr>
          <w:color w:val="4F576A"/>
          <w:spacing w:val="1"/>
        </w:rPr>
        <w:t> </w:t>
      </w:r>
      <w:r>
        <w:rPr>
          <w:color w:val="4F576A"/>
        </w:rPr>
        <w:t>checklists</w:t>
      </w:r>
      <w:r>
        <w:rPr>
          <w:color w:val="4F576A"/>
          <w:spacing w:val="1"/>
        </w:rPr>
        <w:t> </w:t>
      </w:r>
      <w:r>
        <w:rPr>
          <w:color w:val="4F576A"/>
        </w:rPr>
        <w:t>for</w:t>
      </w:r>
      <w:r>
        <w:rPr>
          <w:color w:val="4F576A"/>
          <w:spacing w:val="1"/>
        </w:rPr>
        <w:t> </w:t>
      </w:r>
      <w:r>
        <w:rPr>
          <w:color w:val="4F576A"/>
        </w:rPr>
        <w:t>filling</w:t>
      </w:r>
      <w:r>
        <w:rPr>
          <w:color w:val="4F576A"/>
          <w:spacing w:val="1"/>
        </w:rPr>
        <w:t> </w:t>
      </w:r>
      <w:r>
        <w:rPr>
          <w:color w:val="4F576A"/>
        </w:rPr>
        <w:t>appeals</w:t>
      </w:r>
      <w:r>
        <w:rPr>
          <w:color w:val="4F576A"/>
          <w:spacing w:val="1"/>
        </w:rPr>
        <w:t> </w:t>
      </w:r>
      <w:r>
        <w:rPr>
          <w:color w:val="4F576A"/>
        </w:rPr>
        <w:t>under</w:t>
      </w:r>
      <w:r>
        <w:rPr>
          <w:color w:val="4F576A"/>
          <w:spacing w:val="1"/>
        </w:rPr>
        <w:t> </w:t>
      </w:r>
      <w:r>
        <w:rPr>
          <w:color w:val="4F576A"/>
        </w:rPr>
        <w:t>Companies,</w:t>
      </w:r>
      <w:r>
        <w:rPr>
          <w:color w:val="4F576A"/>
          <w:spacing w:val="1"/>
        </w:rPr>
        <w:t> </w:t>
      </w:r>
      <w:r>
        <w:rPr>
          <w:color w:val="4F576A"/>
        </w:rPr>
        <w:t>Act,</w:t>
      </w:r>
      <w:r>
        <w:rPr>
          <w:color w:val="4F576A"/>
          <w:spacing w:val="1"/>
        </w:rPr>
        <w:t> </w:t>
      </w:r>
      <w:r>
        <w:rPr>
          <w:color w:val="4F576A"/>
        </w:rPr>
        <w:t>2013</w:t>
      </w:r>
      <w:r>
        <w:rPr>
          <w:color w:val="4F576A"/>
          <w:spacing w:val="1"/>
        </w:rPr>
        <w:t> </w:t>
      </w:r>
      <w:r>
        <w:rPr>
          <w:color w:val="4F576A"/>
        </w:rPr>
        <w:t>and</w:t>
      </w:r>
      <w:r>
        <w:rPr>
          <w:color w:val="4F576A"/>
          <w:spacing w:val="1"/>
        </w:rPr>
        <w:t> </w:t>
      </w:r>
      <w:r>
        <w:rPr>
          <w:color w:val="4F576A"/>
        </w:rPr>
        <w:t>Insolvency</w:t>
      </w:r>
      <w:r>
        <w:rPr>
          <w:color w:val="4F576A"/>
          <w:spacing w:val="1"/>
        </w:rPr>
        <w:t> </w:t>
      </w:r>
      <w:r>
        <w:rPr>
          <w:color w:val="4F576A"/>
        </w:rPr>
        <w:t>and</w:t>
      </w:r>
      <w:r>
        <w:rPr>
          <w:color w:val="4F576A"/>
          <w:spacing w:val="1"/>
        </w:rPr>
        <w:t> </w:t>
      </w:r>
      <w:r>
        <w:rPr>
          <w:color w:val="4F576A"/>
        </w:rPr>
        <w:t>Bankruptcy</w:t>
      </w:r>
      <w:r>
        <w:rPr>
          <w:color w:val="4F576A"/>
          <w:spacing w:val="-92"/>
        </w:rPr>
        <w:t> </w:t>
      </w:r>
      <w:r>
        <w:rPr>
          <w:color w:val="4F576A"/>
        </w:rPr>
        <w:t>Code,</w:t>
      </w:r>
      <w:r>
        <w:rPr>
          <w:color w:val="4F576A"/>
          <w:spacing w:val="-3"/>
        </w:rPr>
        <w:t> </w:t>
      </w:r>
      <w:r>
        <w:rPr>
          <w:color w:val="4F576A"/>
        </w:rPr>
        <w:t>2016.</w:t>
      </w:r>
    </w:p>
    <w:p>
      <w:pPr>
        <w:pStyle w:val="BodyText"/>
        <w:spacing w:before="10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0" w:after="0"/>
        <w:ind w:left="746" w:right="599" w:hanging="452"/>
        <w:jc w:val="both"/>
        <w:rPr>
          <w:color w:val="4F576A"/>
          <w:sz w:val="34"/>
        </w:rPr>
      </w:pPr>
      <w:r>
        <w:rPr>
          <w:color w:val="4F576A"/>
          <w:sz w:val="34"/>
        </w:rPr>
        <w:t>Every Appeals shall be presented in Form NCLAT-1 along with</w:t>
      </w:r>
      <w:r>
        <w:rPr>
          <w:color w:val="4F576A"/>
          <w:spacing w:val="-92"/>
          <w:sz w:val="34"/>
        </w:rPr>
        <w:t> </w:t>
      </w:r>
      <w:r>
        <w:rPr>
          <w:color w:val="4F576A"/>
          <w:sz w:val="34"/>
        </w:rPr>
        <w:t>an affidavit in Form NCLAT-4 of the National Company Law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Appellate</w:t>
      </w:r>
      <w:r>
        <w:rPr>
          <w:color w:val="4F576A"/>
          <w:spacing w:val="-4"/>
          <w:sz w:val="34"/>
        </w:rPr>
        <w:t> </w:t>
      </w:r>
      <w:r>
        <w:rPr>
          <w:color w:val="4F576A"/>
          <w:sz w:val="34"/>
        </w:rPr>
        <w:t>Tribunal</w:t>
      </w:r>
      <w:r>
        <w:rPr>
          <w:color w:val="4F576A"/>
          <w:spacing w:val="-4"/>
          <w:sz w:val="34"/>
        </w:rPr>
        <w:t> </w:t>
      </w:r>
      <w:r>
        <w:rPr>
          <w:color w:val="4F576A"/>
          <w:sz w:val="34"/>
        </w:rPr>
        <w:t>Rules,</w:t>
      </w:r>
      <w:r>
        <w:rPr>
          <w:color w:val="4F576A"/>
          <w:spacing w:val="-4"/>
          <w:sz w:val="34"/>
        </w:rPr>
        <w:t> </w:t>
      </w:r>
      <w:r>
        <w:rPr>
          <w:color w:val="4F576A"/>
          <w:sz w:val="34"/>
        </w:rPr>
        <w:t>2016</w:t>
      </w:r>
      <w:r>
        <w:rPr>
          <w:color w:val="4F576A"/>
          <w:spacing w:val="4"/>
          <w:sz w:val="34"/>
        </w:rPr>
        <w:t> </w:t>
      </w:r>
      <w:r>
        <w:rPr>
          <w:color w:val="4F576A"/>
          <w:sz w:val="34"/>
        </w:rPr>
        <w:t>(Rules)</w:t>
      </w:r>
    </w:p>
    <w:p>
      <w:pPr>
        <w:pStyle w:val="ListParagraph"/>
        <w:numPr>
          <w:ilvl w:val="0"/>
          <w:numId w:val="6"/>
        </w:numPr>
        <w:tabs>
          <w:tab w:pos="746" w:val="left" w:leader="none"/>
          <w:tab w:pos="747" w:val="left" w:leader="none"/>
        </w:tabs>
        <w:spacing w:line="240" w:lineRule="auto" w:before="4" w:after="0"/>
        <w:ind w:left="746" w:right="0" w:hanging="452"/>
        <w:jc w:val="left"/>
        <w:rPr>
          <w:color w:val="4F576A"/>
          <w:sz w:val="34"/>
        </w:rPr>
      </w:pPr>
      <w:r>
        <w:rPr>
          <w:color w:val="4F576A"/>
          <w:sz w:val="34"/>
        </w:rPr>
        <w:t>Pagination to</w:t>
      </w:r>
      <w:r>
        <w:rPr>
          <w:color w:val="4F576A"/>
          <w:spacing w:val="3"/>
          <w:sz w:val="34"/>
        </w:rPr>
        <w:t> </w:t>
      </w:r>
      <w:r>
        <w:rPr>
          <w:color w:val="4F576A"/>
          <w:sz w:val="34"/>
        </w:rPr>
        <w:t>be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done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as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per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Index.</w:t>
      </w:r>
    </w:p>
    <w:p>
      <w:pPr>
        <w:pStyle w:val="ListParagraph"/>
        <w:numPr>
          <w:ilvl w:val="0"/>
          <w:numId w:val="6"/>
        </w:numPr>
        <w:tabs>
          <w:tab w:pos="746" w:val="left" w:leader="none"/>
          <w:tab w:pos="747" w:val="left" w:leader="none"/>
        </w:tabs>
        <w:spacing w:line="240" w:lineRule="auto" w:before="17" w:after="0"/>
        <w:ind w:left="746" w:right="0" w:hanging="452"/>
        <w:jc w:val="left"/>
        <w:rPr>
          <w:color w:val="4F576A"/>
          <w:sz w:val="34"/>
        </w:rPr>
      </w:pPr>
      <w:r>
        <w:rPr>
          <w:color w:val="4F576A"/>
          <w:sz w:val="34"/>
        </w:rPr>
        <w:t>Colour</w:t>
      </w:r>
      <w:r>
        <w:rPr>
          <w:color w:val="4F576A"/>
          <w:spacing w:val="-2"/>
          <w:sz w:val="34"/>
        </w:rPr>
        <w:t> </w:t>
      </w:r>
      <w:r>
        <w:rPr>
          <w:color w:val="4F576A"/>
          <w:sz w:val="34"/>
        </w:rPr>
        <w:t>scanned</w:t>
      </w:r>
      <w:r>
        <w:rPr>
          <w:color w:val="4F576A"/>
          <w:spacing w:val="4"/>
          <w:sz w:val="34"/>
        </w:rPr>
        <w:t> </w:t>
      </w:r>
      <w:r>
        <w:rPr>
          <w:color w:val="4F576A"/>
          <w:sz w:val="34"/>
        </w:rPr>
        <w:t>copies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to</w:t>
      </w:r>
      <w:r>
        <w:rPr>
          <w:color w:val="4F576A"/>
          <w:spacing w:val="6"/>
          <w:sz w:val="34"/>
        </w:rPr>
        <w:t> </w:t>
      </w:r>
      <w:r>
        <w:rPr>
          <w:color w:val="4F576A"/>
          <w:sz w:val="34"/>
        </w:rPr>
        <w:t>be</w:t>
      </w:r>
      <w:r>
        <w:rPr>
          <w:color w:val="4F576A"/>
          <w:spacing w:val="3"/>
          <w:sz w:val="34"/>
        </w:rPr>
        <w:t> </w:t>
      </w:r>
      <w:r>
        <w:rPr>
          <w:color w:val="4F576A"/>
          <w:sz w:val="34"/>
        </w:rPr>
        <w:t>uploaded</w:t>
      </w:r>
    </w:p>
    <w:p>
      <w:pPr>
        <w:pStyle w:val="ListParagraph"/>
        <w:numPr>
          <w:ilvl w:val="0"/>
          <w:numId w:val="6"/>
        </w:numPr>
        <w:tabs>
          <w:tab w:pos="746" w:val="left" w:leader="none"/>
          <w:tab w:pos="747" w:val="left" w:leader="none"/>
        </w:tabs>
        <w:spacing w:line="240" w:lineRule="auto" w:before="17" w:after="0"/>
        <w:ind w:left="746" w:right="0" w:hanging="452"/>
        <w:jc w:val="left"/>
        <w:rPr>
          <w:color w:val="4F576A"/>
          <w:sz w:val="34"/>
        </w:rPr>
      </w:pPr>
      <w:r>
        <w:rPr>
          <w:color w:val="4F576A"/>
          <w:sz w:val="34"/>
        </w:rPr>
        <w:t>Filing</w:t>
      </w:r>
      <w:r>
        <w:rPr>
          <w:color w:val="4F576A"/>
          <w:spacing w:val="-4"/>
          <w:sz w:val="34"/>
        </w:rPr>
        <w:t> </w:t>
      </w:r>
      <w:r>
        <w:rPr>
          <w:color w:val="4F576A"/>
          <w:sz w:val="34"/>
        </w:rPr>
        <w:t>fees</w:t>
      </w:r>
      <w:r>
        <w:rPr>
          <w:color w:val="4F576A"/>
          <w:spacing w:val="3"/>
          <w:sz w:val="34"/>
        </w:rPr>
        <w:t> </w:t>
      </w:r>
      <w:r>
        <w:rPr>
          <w:color w:val="4F576A"/>
          <w:sz w:val="34"/>
        </w:rPr>
        <w:t>to</w:t>
      </w:r>
      <w:r>
        <w:rPr>
          <w:color w:val="4F576A"/>
          <w:spacing w:val="5"/>
          <w:sz w:val="34"/>
        </w:rPr>
        <w:t> </w:t>
      </w:r>
      <w:r>
        <w:rPr>
          <w:color w:val="4F576A"/>
          <w:sz w:val="34"/>
        </w:rPr>
        <w:t>be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paid by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bharatkosh</w:t>
      </w:r>
      <w:r>
        <w:rPr>
          <w:color w:val="4F576A"/>
          <w:spacing w:val="3"/>
          <w:sz w:val="34"/>
        </w:rPr>
        <w:t> </w:t>
      </w:r>
      <w:r>
        <w:rPr>
          <w:color w:val="4F576A"/>
          <w:sz w:val="34"/>
        </w:rPr>
        <w:t>or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DD</w:t>
      </w:r>
    </w:p>
    <w:p>
      <w:pPr>
        <w:pStyle w:val="ListParagraph"/>
        <w:numPr>
          <w:ilvl w:val="0"/>
          <w:numId w:val="6"/>
        </w:numPr>
        <w:tabs>
          <w:tab w:pos="746" w:val="left" w:leader="none"/>
          <w:tab w:pos="747" w:val="left" w:leader="none"/>
        </w:tabs>
        <w:spacing w:line="240" w:lineRule="auto" w:before="17" w:after="0"/>
        <w:ind w:left="746" w:right="0" w:hanging="452"/>
        <w:jc w:val="left"/>
        <w:rPr>
          <w:color w:val="4F576A"/>
          <w:sz w:val="34"/>
        </w:rPr>
      </w:pPr>
      <w:r>
        <w:rPr/>
        <w:pict>
          <v:shape style="position:absolute;margin-left:9.648pt;margin-top:37.272701pt;width:519.5pt;height:18.6pt;mso-position-horizontal-relative:page;mso-position-vertical-relative:paragraph;z-index:-16017920" type="#_x0000_t202" filled="false" stroked="false">
            <v:textbox inset="0,0,0,0">
              <w:txbxContent>
                <w:p>
                  <w:pPr>
                    <w:tabs>
                      <w:tab w:pos="7332" w:val="left" w:leader="none"/>
                    </w:tabs>
                    <w:spacing w:line="37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30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36.835621pt;width:539.950pt;height:20.4pt;mso-position-horizontal-relative:page;mso-position-vertical-relative:paragraph;z-index:15741440" coordorigin="0,737" coordsize="10799,408">
            <v:rect style="position:absolute;left:0;top:736;width:10799;height:408" filled="true" fillcolor="#36394f" stroked="false">
              <v:fill type="solid"/>
            </v:rect>
            <v:shape style="position:absolute;left:117;top:761;width:1623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28"/>
                      </w:rPr>
                      <w:t>JULY</w:t>
                    </w:r>
                    <w:r>
                      <w:rPr>
                        <w:rFonts w:ascii="Arial"/>
                        <w:b/>
                        <w:color w:val="EBCF6A"/>
                        <w:spacing w:val="6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7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016;top:761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8">
        <w:r>
          <w:rPr>
            <w:color w:val="800080"/>
            <w:sz w:val="34"/>
            <w:u w:val="thick" w:color="800080"/>
          </w:rPr>
          <w:t>Click</w:t>
        </w:r>
        <w:r>
          <w:rPr>
            <w:color w:val="800080"/>
            <w:spacing w:val="-4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here</w:t>
        </w:r>
        <w:r>
          <w:rPr>
            <w:color w:val="800080"/>
            <w:spacing w:val="2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for</w:t>
        </w:r>
        <w:r>
          <w:rPr>
            <w:color w:val="800080"/>
            <w:spacing w:val="2"/>
            <w:sz w:val="34"/>
            <w:u w:val="thick" w:color="800080"/>
          </w:rPr>
          <w:t> </w:t>
        </w:r>
        <w:r>
          <w:rPr>
            <w:color w:val="800080"/>
            <w:sz w:val="34"/>
            <w:u w:val="thick" w:color="800080"/>
          </w:rPr>
          <w:t>Checklist</w:t>
        </w:r>
      </w:hyperlink>
    </w:p>
    <w:p>
      <w:pPr>
        <w:spacing w:after="0" w:line="240" w:lineRule="auto"/>
        <w:jc w:val="left"/>
        <w:rPr>
          <w:sz w:val="34"/>
        </w:rPr>
        <w:sectPr>
          <w:pgSz w:w="10800" w:h="19200"/>
          <w:pgMar w:top="2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13312" filled="true" fillcolor="#fdfcf8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3"/>
        <w:numPr>
          <w:ilvl w:val="0"/>
          <w:numId w:val="7"/>
        </w:numPr>
        <w:tabs>
          <w:tab w:pos="908" w:val="left" w:leader="none"/>
          <w:tab w:pos="909" w:val="left" w:leader="none"/>
        </w:tabs>
        <w:spacing w:line="249" w:lineRule="auto" w:before="90" w:after="0"/>
        <w:ind w:left="908" w:right="528" w:hanging="540"/>
        <w:jc w:val="left"/>
      </w:pPr>
      <w:r>
        <w:rPr/>
        <w:pict>
          <v:rect style="position:absolute;margin-left:452.160004pt;margin-top:-16.06418pt;width:42.829pt;height:4.350pt;mso-position-horizontal-relative:page;mso-position-vertical-relative:paragraph;z-index:15744512" filled="true" fillcolor="#ebcf6a" stroked="false">
            <v:fill type="solid"/>
            <w10:wrap type="none"/>
          </v:rect>
        </w:pict>
      </w:r>
      <w:r>
        <w:rPr/>
        <w:pict>
          <v:group style="position:absolute;margin-left:424.079987pt;margin-top:-164.874176pt;width:89.3pt;height:118.15pt;mso-position-horizontal-relative:page;mso-position-vertical-relative:paragraph;z-index:15745024" coordorigin="8482,-3297" coordsize="1786,2363">
            <v:rect style="position:absolute;left:9043;top:-3298;width:857;height:2363" filled="true" fillcolor="#ebcf6a" stroked="false">
              <v:fill type="solid"/>
            </v:rect>
            <v:shape style="position:absolute;left:8481;top:-2997;width:1786;height:1798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338327</wp:posOffset>
            </wp:positionH>
            <wp:positionV relativeFrom="paragraph">
              <wp:posOffset>-1902894</wp:posOffset>
            </wp:positionV>
            <wp:extent cx="2813861" cy="1663636"/>
            <wp:effectExtent l="0" t="0" r="0" b="0"/>
            <wp:wrapNone/>
            <wp:docPr id="11" name="image4.jpeg" descr="A picture containing toy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861" cy="1663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62.320007pt;margin-top:-46.751179pt;width:270pt;height:32.9pt;mso-position-horizontal-relative:page;mso-position-vertical-relative:paragraph;z-index:15747072" type="#_x0000_t202" filled="true" fillcolor="#36394f" stroked="false">
            <v:textbox inset="0,0,0,0">
              <w:txbxContent>
                <w:p>
                  <w:pPr>
                    <w:spacing w:before="22"/>
                    <w:ind w:left="1252" w:right="0" w:firstLine="0"/>
                    <w:jc w:val="left"/>
                    <w:rPr>
                      <w:rFonts w:ascii="Arial"/>
                      <w:b/>
                      <w:sz w:val="36"/>
                    </w:rPr>
                  </w:pPr>
                  <w:r>
                    <w:rPr>
                      <w:rFonts w:ascii="Arial"/>
                      <w:b/>
                      <w:color w:val="EBCF6A"/>
                      <w:spacing w:val="-3"/>
                      <w:sz w:val="36"/>
                    </w:rPr>
                    <w:t>OTHER</w:t>
                  </w:r>
                  <w:r>
                    <w:rPr>
                      <w:rFonts w:ascii="Arial"/>
                      <w:b/>
                      <w:color w:val="EBCF6A"/>
                      <w:spacing w:val="-22"/>
                      <w:sz w:val="36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3"/>
                      <w:sz w:val="36"/>
                    </w:rPr>
                    <w:t>UPDATES</w:t>
                  </w:r>
                </w:p>
              </w:txbxContent>
            </v:textbox>
            <v:fill type="solid"/>
            <w10:wrap type="none"/>
          </v:shape>
        </w:pict>
      </w:r>
      <w:bookmarkStart w:name="Slide 6" w:id="6"/>
      <w:bookmarkEnd w:id="6"/>
      <w:r>
        <w:rPr>
          <w:b w:val="0"/>
        </w:rPr>
      </w:r>
      <w:bookmarkStart w:name="Slide 6" w:id="7"/>
      <w:bookmarkEnd w:id="7"/>
      <w:r>
        <w:rPr>
          <w:color w:val="4F576A"/>
        </w:rPr>
        <w:t>I</w:t>
      </w:r>
      <w:r>
        <w:rPr>
          <w:color w:val="4F576A"/>
        </w:rPr>
        <w:t>ncome Tax</w:t>
      </w:r>
      <w:r>
        <w:rPr>
          <w:color w:val="4F576A"/>
          <w:spacing w:val="1"/>
        </w:rPr>
        <w:t> </w:t>
      </w:r>
      <w:r>
        <w:rPr>
          <w:color w:val="4F576A"/>
        </w:rPr>
        <w:t>Department</w:t>
      </w:r>
      <w:r>
        <w:rPr>
          <w:color w:val="4F576A"/>
          <w:spacing w:val="2"/>
        </w:rPr>
        <w:t> </w:t>
      </w:r>
      <w:r>
        <w:rPr>
          <w:color w:val="4F576A"/>
        </w:rPr>
        <w:t>clarifies</w:t>
      </w:r>
      <w:r>
        <w:rPr>
          <w:color w:val="4F576A"/>
          <w:spacing w:val="3"/>
        </w:rPr>
        <w:t> </w:t>
      </w:r>
      <w:r>
        <w:rPr>
          <w:color w:val="4F576A"/>
        </w:rPr>
        <w:t>on</w:t>
      </w:r>
      <w:r>
        <w:rPr>
          <w:color w:val="4F576A"/>
          <w:spacing w:val="1"/>
        </w:rPr>
        <w:t> </w:t>
      </w:r>
      <w:r>
        <w:rPr>
          <w:color w:val="4F576A"/>
        </w:rPr>
        <w:t>Inoperation</w:t>
      </w:r>
      <w:r>
        <w:rPr>
          <w:color w:val="4F576A"/>
          <w:spacing w:val="2"/>
        </w:rPr>
        <w:t> </w:t>
      </w:r>
      <w:r>
        <w:rPr>
          <w:color w:val="4F576A"/>
        </w:rPr>
        <w:t>of PAN</w:t>
      </w:r>
      <w:r>
        <w:rPr>
          <w:color w:val="4F576A"/>
          <w:spacing w:val="2"/>
        </w:rPr>
        <w:t> </w:t>
      </w:r>
      <w:r>
        <w:rPr>
          <w:color w:val="4F576A"/>
        </w:rPr>
        <w:t>of</w:t>
      </w:r>
      <w:r>
        <w:rPr>
          <w:color w:val="4F576A"/>
          <w:spacing w:val="-92"/>
        </w:rPr>
        <w:t> </w:t>
      </w:r>
      <w:r>
        <w:rPr>
          <w:color w:val="4F576A"/>
        </w:rPr>
        <w:t>NRIs/OCIs</w:t>
      </w:r>
    </w:p>
    <w:p>
      <w:pPr>
        <w:pStyle w:val="ListParagraph"/>
        <w:numPr>
          <w:ilvl w:val="0"/>
          <w:numId w:val="8"/>
        </w:numPr>
        <w:tabs>
          <w:tab w:pos="819" w:val="left" w:leader="none"/>
          <w:tab w:pos="820" w:val="left" w:leader="none"/>
        </w:tabs>
        <w:spacing w:line="240" w:lineRule="auto" w:before="3" w:after="0"/>
        <w:ind w:left="819" w:right="0" w:hanging="452"/>
        <w:jc w:val="left"/>
        <w:rPr>
          <w:sz w:val="34"/>
        </w:rPr>
      </w:pPr>
      <w:r>
        <w:rPr>
          <w:color w:val="4F576A"/>
          <w:sz w:val="34"/>
        </w:rPr>
        <w:t>Residential</w:t>
      </w:r>
      <w:r>
        <w:rPr>
          <w:color w:val="4F576A"/>
          <w:spacing w:val="50"/>
          <w:sz w:val="34"/>
        </w:rPr>
        <w:t> </w:t>
      </w:r>
      <w:r>
        <w:rPr>
          <w:color w:val="4F576A"/>
          <w:sz w:val="34"/>
        </w:rPr>
        <w:t>status</w:t>
      </w:r>
      <w:r>
        <w:rPr>
          <w:color w:val="4F576A"/>
          <w:spacing w:val="48"/>
          <w:sz w:val="34"/>
        </w:rPr>
        <w:t> </w:t>
      </w:r>
      <w:r>
        <w:rPr>
          <w:color w:val="4F576A"/>
          <w:sz w:val="34"/>
        </w:rPr>
        <w:t>of</w:t>
      </w:r>
      <w:r>
        <w:rPr>
          <w:color w:val="4F576A"/>
          <w:spacing w:val="49"/>
          <w:sz w:val="34"/>
        </w:rPr>
        <w:t> </w:t>
      </w:r>
      <w:r>
        <w:rPr>
          <w:color w:val="4F576A"/>
          <w:sz w:val="34"/>
        </w:rPr>
        <w:t>NRIs</w:t>
      </w:r>
      <w:r>
        <w:rPr>
          <w:color w:val="4F576A"/>
          <w:spacing w:val="48"/>
          <w:sz w:val="34"/>
        </w:rPr>
        <w:t> </w:t>
      </w:r>
      <w:r>
        <w:rPr>
          <w:color w:val="4F576A"/>
          <w:sz w:val="34"/>
        </w:rPr>
        <w:t>determined</w:t>
      </w:r>
      <w:r>
        <w:rPr>
          <w:color w:val="4F576A"/>
          <w:spacing w:val="50"/>
          <w:sz w:val="34"/>
        </w:rPr>
        <w:t> </w:t>
      </w:r>
      <w:r>
        <w:rPr>
          <w:color w:val="4F576A"/>
          <w:sz w:val="34"/>
        </w:rPr>
        <w:t>basis</w:t>
      </w:r>
      <w:r>
        <w:rPr>
          <w:color w:val="4F576A"/>
          <w:spacing w:val="48"/>
          <w:sz w:val="34"/>
        </w:rPr>
        <w:t> </w:t>
      </w:r>
      <w:r>
        <w:rPr>
          <w:color w:val="4F576A"/>
          <w:sz w:val="34"/>
        </w:rPr>
        <w:t>the</w:t>
      </w:r>
      <w:r>
        <w:rPr>
          <w:color w:val="4F576A"/>
          <w:spacing w:val="49"/>
          <w:sz w:val="34"/>
        </w:rPr>
        <w:t> </w:t>
      </w:r>
      <w:r>
        <w:rPr>
          <w:color w:val="4F576A"/>
          <w:sz w:val="34"/>
        </w:rPr>
        <w:t>last</w:t>
      </w:r>
      <w:r>
        <w:rPr>
          <w:color w:val="4F576A"/>
          <w:spacing w:val="49"/>
          <w:sz w:val="34"/>
        </w:rPr>
        <w:t> </w:t>
      </w:r>
      <w:r>
        <w:rPr>
          <w:color w:val="4F576A"/>
          <w:sz w:val="34"/>
        </w:rPr>
        <w:t>3</w:t>
      </w:r>
      <w:r>
        <w:rPr>
          <w:color w:val="4F576A"/>
          <w:spacing w:val="51"/>
          <w:sz w:val="34"/>
        </w:rPr>
        <w:t> </w:t>
      </w:r>
      <w:r>
        <w:rPr>
          <w:color w:val="4F576A"/>
          <w:sz w:val="34"/>
        </w:rPr>
        <w:t>years</w:t>
      </w:r>
    </w:p>
    <w:p>
      <w:pPr>
        <w:pStyle w:val="BodyText"/>
        <w:spacing w:before="17"/>
        <w:ind w:left="819"/>
      </w:pPr>
      <w:r>
        <w:rPr>
          <w:color w:val="4F576A"/>
        </w:rPr>
        <w:t>assessment</w:t>
      </w:r>
      <w:r>
        <w:rPr>
          <w:color w:val="4F576A"/>
          <w:spacing w:val="-2"/>
        </w:rPr>
        <w:t> </w:t>
      </w:r>
      <w:r>
        <w:rPr>
          <w:color w:val="4F576A"/>
        </w:rPr>
        <w:t>and</w:t>
      </w:r>
      <w:r>
        <w:rPr>
          <w:color w:val="4F576A"/>
          <w:spacing w:val="-1"/>
        </w:rPr>
        <w:t> </w:t>
      </w:r>
      <w:r>
        <w:rPr>
          <w:color w:val="4F576A"/>
        </w:rPr>
        <w:t>their PAN</w:t>
      </w:r>
      <w:r>
        <w:rPr>
          <w:color w:val="4F576A"/>
          <w:spacing w:val="-7"/>
        </w:rPr>
        <w:t> </w:t>
      </w:r>
      <w:r>
        <w:rPr>
          <w:color w:val="4F576A"/>
        </w:rPr>
        <w:t>is</w:t>
      </w:r>
      <w:r>
        <w:rPr>
          <w:color w:val="4F576A"/>
          <w:spacing w:val="-3"/>
        </w:rPr>
        <w:t> </w:t>
      </w:r>
      <w:r>
        <w:rPr>
          <w:color w:val="4F576A"/>
        </w:rPr>
        <w:t>made</w:t>
      </w:r>
      <w:r>
        <w:rPr>
          <w:color w:val="4F576A"/>
          <w:spacing w:val="-2"/>
        </w:rPr>
        <w:t> </w:t>
      </w:r>
      <w:r>
        <w:rPr>
          <w:color w:val="4F576A"/>
        </w:rPr>
        <w:t>inoperative.</w:t>
      </w:r>
    </w:p>
    <w:p>
      <w:pPr>
        <w:pStyle w:val="ListParagraph"/>
        <w:numPr>
          <w:ilvl w:val="0"/>
          <w:numId w:val="8"/>
        </w:numPr>
        <w:tabs>
          <w:tab w:pos="819" w:val="left" w:leader="none"/>
          <w:tab w:pos="820" w:val="left" w:leader="none"/>
        </w:tabs>
        <w:spacing w:line="249" w:lineRule="auto" w:before="17" w:after="0"/>
        <w:ind w:left="819" w:right="526" w:hanging="452"/>
        <w:jc w:val="left"/>
        <w:rPr>
          <w:sz w:val="34"/>
        </w:rPr>
      </w:pPr>
      <w:r>
        <w:rPr>
          <w:color w:val="4F576A"/>
          <w:sz w:val="34"/>
        </w:rPr>
        <w:t>NRIs/OCI/</w:t>
      </w:r>
      <w:r>
        <w:rPr>
          <w:color w:val="4F576A"/>
          <w:spacing w:val="61"/>
          <w:sz w:val="34"/>
        </w:rPr>
        <w:t> </w:t>
      </w:r>
      <w:r>
        <w:rPr>
          <w:color w:val="4F576A"/>
          <w:sz w:val="34"/>
        </w:rPr>
        <w:t>Foreign</w:t>
      </w:r>
      <w:r>
        <w:rPr>
          <w:color w:val="4F576A"/>
          <w:spacing w:val="60"/>
          <w:sz w:val="34"/>
        </w:rPr>
        <w:t> </w:t>
      </w:r>
      <w:r>
        <w:rPr>
          <w:color w:val="4F576A"/>
          <w:sz w:val="34"/>
        </w:rPr>
        <w:t>Citizens</w:t>
      </w:r>
      <w:r>
        <w:rPr>
          <w:color w:val="4F576A"/>
          <w:spacing w:val="61"/>
          <w:sz w:val="34"/>
        </w:rPr>
        <w:t> </w:t>
      </w:r>
      <w:r>
        <w:rPr>
          <w:color w:val="4F576A"/>
          <w:sz w:val="34"/>
        </w:rPr>
        <w:t>whose</w:t>
      </w:r>
      <w:r>
        <w:rPr>
          <w:color w:val="4F576A"/>
          <w:spacing w:val="59"/>
          <w:sz w:val="34"/>
        </w:rPr>
        <w:t> </w:t>
      </w:r>
      <w:r>
        <w:rPr>
          <w:color w:val="4F576A"/>
          <w:sz w:val="34"/>
        </w:rPr>
        <w:t>PAN</w:t>
      </w:r>
      <w:r>
        <w:rPr>
          <w:color w:val="4F576A"/>
          <w:spacing w:val="61"/>
          <w:sz w:val="34"/>
        </w:rPr>
        <w:t> </w:t>
      </w:r>
      <w:r>
        <w:rPr>
          <w:color w:val="4F576A"/>
          <w:sz w:val="34"/>
        </w:rPr>
        <w:t>is</w:t>
      </w:r>
      <w:r>
        <w:rPr>
          <w:color w:val="4F576A"/>
          <w:spacing w:val="59"/>
          <w:sz w:val="34"/>
        </w:rPr>
        <w:t> </w:t>
      </w:r>
      <w:r>
        <w:rPr>
          <w:color w:val="4F576A"/>
          <w:sz w:val="34"/>
        </w:rPr>
        <w:t>made</w:t>
      </w:r>
      <w:r>
        <w:rPr>
          <w:color w:val="4F576A"/>
          <w:spacing w:val="60"/>
          <w:sz w:val="34"/>
        </w:rPr>
        <w:t> </w:t>
      </w:r>
      <w:r>
        <w:rPr>
          <w:color w:val="4F576A"/>
          <w:sz w:val="34"/>
        </w:rPr>
        <w:t>inoperative</w:t>
      </w:r>
      <w:r>
        <w:rPr>
          <w:color w:val="4F576A"/>
          <w:spacing w:val="-92"/>
          <w:sz w:val="34"/>
        </w:rPr>
        <w:t> </w:t>
      </w:r>
      <w:r>
        <w:rPr>
          <w:color w:val="4F576A"/>
          <w:sz w:val="34"/>
        </w:rPr>
        <w:t>can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contact</w:t>
      </w:r>
      <w:r>
        <w:rPr>
          <w:color w:val="4F576A"/>
          <w:spacing w:val="2"/>
          <w:sz w:val="34"/>
        </w:rPr>
        <w:t> </w:t>
      </w:r>
      <w:r>
        <w:rPr>
          <w:color w:val="4F576A"/>
          <w:sz w:val="34"/>
        </w:rPr>
        <w:t>their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Jurisdictional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assessing</w:t>
      </w:r>
      <w:r>
        <w:rPr>
          <w:color w:val="4F576A"/>
          <w:spacing w:val="-1"/>
          <w:sz w:val="34"/>
        </w:rPr>
        <w:t> </w:t>
      </w:r>
      <w:r>
        <w:rPr>
          <w:color w:val="4F576A"/>
          <w:sz w:val="34"/>
        </w:rPr>
        <w:t>officer</w:t>
      </w:r>
    </w:p>
    <w:p>
      <w:pPr>
        <w:pStyle w:val="ListParagraph"/>
        <w:numPr>
          <w:ilvl w:val="0"/>
          <w:numId w:val="8"/>
        </w:numPr>
        <w:tabs>
          <w:tab w:pos="819" w:val="left" w:leader="none"/>
          <w:tab w:pos="820" w:val="left" w:leader="none"/>
        </w:tabs>
        <w:spacing w:line="240" w:lineRule="auto" w:before="3" w:after="0"/>
        <w:ind w:left="819" w:right="0" w:hanging="452"/>
        <w:jc w:val="left"/>
        <w:rPr>
          <w:sz w:val="34"/>
        </w:rPr>
      </w:pPr>
      <w:r>
        <w:rPr>
          <w:color w:val="4F576A"/>
          <w:sz w:val="34"/>
        </w:rPr>
        <w:t>Inoperative</w:t>
      </w:r>
      <w:r>
        <w:rPr>
          <w:color w:val="4F576A"/>
          <w:spacing w:val="1"/>
          <w:sz w:val="34"/>
        </w:rPr>
        <w:t> </w:t>
      </w:r>
      <w:r>
        <w:rPr>
          <w:color w:val="4F576A"/>
          <w:sz w:val="34"/>
        </w:rPr>
        <w:t>PAN</w:t>
      </w:r>
      <w:r>
        <w:rPr>
          <w:color w:val="4F576A"/>
          <w:spacing w:val="-8"/>
          <w:sz w:val="34"/>
        </w:rPr>
        <w:t> </w:t>
      </w:r>
      <w:r>
        <w:rPr>
          <w:color w:val="4F576A"/>
          <w:sz w:val="34"/>
        </w:rPr>
        <w:t>can</w:t>
      </w:r>
      <w:r>
        <w:rPr>
          <w:color w:val="4F576A"/>
          <w:spacing w:val="-2"/>
          <w:sz w:val="34"/>
        </w:rPr>
        <w:t> </w:t>
      </w:r>
      <w:r>
        <w:rPr>
          <w:color w:val="4F576A"/>
          <w:sz w:val="34"/>
        </w:rPr>
        <w:t>still</w:t>
      </w:r>
      <w:r>
        <w:rPr>
          <w:color w:val="4F576A"/>
          <w:spacing w:val="-6"/>
          <w:sz w:val="34"/>
        </w:rPr>
        <w:t> </w:t>
      </w:r>
      <w:r>
        <w:rPr>
          <w:color w:val="4F576A"/>
          <w:sz w:val="34"/>
        </w:rPr>
        <w:t>file</w:t>
      </w:r>
      <w:r>
        <w:rPr>
          <w:color w:val="4F576A"/>
          <w:spacing w:val="-3"/>
          <w:sz w:val="34"/>
        </w:rPr>
        <w:t> </w:t>
      </w:r>
      <w:r>
        <w:rPr>
          <w:color w:val="4F576A"/>
          <w:sz w:val="34"/>
        </w:rPr>
        <w:t>ITR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pStyle w:val="Heading1"/>
        <w:tabs>
          <w:tab w:pos="6597" w:val="left" w:leader="none"/>
          <w:tab w:pos="10353" w:val="left" w:leader="none"/>
        </w:tabs>
        <w:spacing w:before="88"/>
        <w:ind w:left="5155"/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213359</wp:posOffset>
            </wp:positionH>
            <wp:positionV relativeFrom="paragraph">
              <wp:posOffset>-1036322</wp:posOffset>
            </wp:positionV>
            <wp:extent cx="2697480" cy="1610867"/>
            <wp:effectExtent l="0" t="0" r="0" b="0"/>
            <wp:wrapNone/>
            <wp:docPr id="1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1610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100"/>
          <w:shd w:fill="394558" w:color="auto" w:val="clear"/>
        </w:rPr>
        <w:t> </w:t>
      </w:r>
      <w:r>
        <w:rPr>
          <w:color w:val="EBCF6A"/>
          <w:shd w:fill="394558" w:color="auto" w:val="clear"/>
        </w:rPr>
        <w:tab/>
      </w:r>
      <w:r>
        <w:rPr>
          <w:color w:val="EBCF6A"/>
          <w:shd w:fill="394558" w:color="auto" w:val="clear"/>
        </w:rPr>
        <w:t>DUE</w:t>
      </w:r>
      <w:r>
        <w:rPr>
          <w:color w:val="EBCF6A"/>
          <w:spacing w:val="22"/>
          <w:shd w:fill="394558" w:color="auto" w:val="clear"/>
        </w:rPr>
        <w:t> </w:t>
      </w:r>
      <w:r>
        <w:rPr>
          <w:color w:val="EBCF6A"/>
          <w:shd w:fill="394558" w:color="auto" w:val="clear"/>
        </w:rPr>
        <w:t>DATES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3"/>
        </w:rPr>
      </w:pPr>
    </w:p>
    <w:tbl>
      <w:tblPr>
        <w:tblW w:w="0" w:type="auto"/>
        <w:jc w:val="left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7"/>
        <w:gridCol w:w="1413"/>
        <w:gridCol w:w="1413"/>
        <w:gridCol w:w="1413"/>
        <w:gridCol w:w="1413"/>
        <w:gridCol w:w="1413"/>
        <w:gridCol w:w="1413"/>
      </w:tblGrid>
      <w:tr>
        <w:trPr>
          <w:trHeight w:val="727" w:hRule="atLeast"/>
        </w:trPr>
        <w:tc>
          <w:tcPr>
            <w:tcW w:w="1357" w:type="dxa"/>
            <w:shd w:val="clear" w:color="auto" w:fill="4F81BB"/>
          </w:tcPr>
          <w:p>
            <w:pPr>
              <w:pStyle w:val="TableParagraph"/>
              <w:spacing w:before="174"/>
              <w:ind w:left="434" w:right="27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28" w:right="2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50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9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right="391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31" w:right="25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8"/>
              <w:ind w:left="2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1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8"/>
              <w:ind w:left="2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2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8"/>
              <w:ind w:lef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3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8"/>
              <w:ind w:lef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4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75"/>
              <w:ind w:left="17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5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spacing w:before="175"/>
              <w:ind w:left="1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6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75"/>
              <w:ind w:left="1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7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75"/>
              <w:ind w:left="1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8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75"/>
              <w:ind w:left="1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9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spacing w:before="175"/>
              <w:ind w:left="62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75"/>
              <w:ind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spacing w:before="175"/>
              <w:ind w:left="431" w:right="2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ind w:left="432" w:right="27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413" w:type="dxa"/>
            <w:shd w:val="clear" w:color="auto" w:fill="C3D59B"/>
          </w:tcPr>
          <w:p>
            <w:pPr>
              <w:pStyle w:val="TableParagraph"/>
              <w:ind w:left="428" w:right="2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62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31" w:right="2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62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31" w:right="2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</w:tr>
      <w:tr>
        <w:trPr>
          <w:trHeight w:val="623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ind w:left="432" w:right="27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28" w:right="2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62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31" w:right="2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62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31" w:right="2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</w:tr>
      <w:tr>
        <w:trPr>
          <w:trHeight w:val="669" w:hRule="atLeast"/>
        </w:trPr>
        <w:tc>
          <w:tcPr>
            <w:tcW w:w="1357" w:type="dxa"/>
            <w:shd w:val="clear" w:color="auto" w:fill="FFFFFF"/>
          </w:tcPr>
          <w:p>
            <w:pPr>
              <w:pStyle w:val="TableParagraph"/>
              <w:ind w:left="432" w:right="27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28" w:right="2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62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29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31" w:right="2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30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62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31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</w:tbl>
    <w:p>
      <w:pPr>
        <w:tabs>
          <w:tab w:pos="10339" w:val="left" w:leader="none"/>
        </w:tabs>
        <w:spacing w:before="131"/>
        <w:ind w:left="47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EBCF6A"/>
          <w:w w:val="99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pacing w:val="-56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Due</w:t>
      </w:r>
      <w:r>
        <w:rPr>
          <w:rFonts w:ascii="Arial"/>
          <w:b/>
          <w:color w:val="EBCF6A"/>
          <w:spacing w:val="64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Dates</w:t>
      </w:r>
      <w:r>
        <w:rPr>
          <w:rFonts w:ascii="Arial"/>
          <w:b/>
          <w:color w:val="EBCF6A"/>
          <w:spacing w:val="73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under</w:t>
      </w:r>
      <w:r>
        <w:rPr>
          <w:rFonts w:ascii="Arial"/>
          <w:b/>
          <w:color w:val="EBCF6A"/>
          <w:spacing w:val="76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various</w:t>
      </w:r>
      <w:r>
        <w:rPr>
          <w:rFonts w:ascii="Arial"/>
          <w:b/>
          <w:color w:val="EBCF6A"/>
          <w:spacing w:val="87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laws</w:t>
        <w:tab/>
      </w:r>
    </w:p>
    <w:p>
      <w:pPr>
        <w:pStyle w:val="BodyText"/>
        <w:spacing w:before="8"/>
        <w:rPr>
          <w:rFonts w:ascii="Arial"/>
          <w:b/>
          <w:sz w:val="13"/>
        </w:rPr>
      </w:pPr>
    </w:p>
    <w:tbl>
      <w:tblPr>
        <w:tblW w:w="0" w:type="auto"/>
        <w:jc w:val="left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7"/>
        <w:gridCol w:w="7143"/>
      </w:tblGrid>
      <w:tr>
        <w:trPr>
          <w:trHeight w:val="796" w:hRule="atLeast"/>
        </w:trPr>
        <w:tc>
          <w:tcPr>
            <w:tcW w:w="2707" w:type="dxa"/>
            <w:shd w:val="clear" w:color="auto" w:fill="C3D59B"/>
          </w:tcPr>
          <w:p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0"/>
              <w:ind w:left="293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14</w:t>
            </w:r>
            <w:r>
              <w:rPr>
                <w:rFonts w:ascii="Arial MT"/>
                <w:position w:val="8"/>
                <w:sz w:val="18"/>
              </w:rPr>
              <w:t>th</w:t>
            </w:r>
            <w:r>
              <w:rPr>
                <w:rFonts w:ascii="Arial MT"/>
                <w:spacing w:val="27"/>
                <w:position w:val="8"/>
                <w:sz w:val="18"/>
              </w:rPr>
              <w:t> </w:t>
            </w:r>
            <w:r>
              <w:rPr>
                <w:rFonts w:ascii="Arial MT"/>
                <w:sz w:val="28"/>
              </w:rPr>
              <w:t>August</w:t>
            </w:r>
            <w:r>
              <w:rPr>
                <w:rFonts w:ascii="Arial MT"/>
                <w:spacing w:val="-3"/>
                <w:sz w:val="28"/>
              </w:rPr>
              <w:t> </w:t>
            </w:r>
            <w:r>
              <w:rPr>
                <w:rFonts w:ascii="Arial MT"/>
                <w:sz w:val="28"/>
              </w:rPr>
              <w:t>2023</w:t>
            </w:r>
          </w:p>
        </w:tc>
        <w:tc>
          <w:tcPr>
            <w:tcW w:w="7143" w:type="dxa"/>
            <w:shd w:val="clear" w:color="auto" w:fill="FDFCF8"/>
          </w:tcPr>
          <w:p>
            <w:pPr>
              <w:pStyle w:val="TableParagraph"/>
              <w:spacing w:line="340" w:lineRule="exact" w:before="58"/>
              <w:ind w:left="144"/>
              <w:rPr>
                <w:sz w:val="28"/>
              </w:rPr>
            </w:pPr>
            <w:r>
              <w:rPr>
                <w:sz w:val="28"/>
              </w:rPr>
              <w:t>Financial Results along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with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Limited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review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report/Auditor’s</w:t>
            </w:r>
          </w:p>
          <w:p>
            <w:pPr>
              <w:pStyle w:val="TableParagraph"/>
              <w:spacing w:line="340" w:lineRule="exact" w:before="0"/>
              <w:ind w:left="144"/>
              <w:rPr>
                <w:sz w:val="28"/>
              </w:rPr>
            </w:pPr>
            <w:r>
              <w:rPr>
                <w:sz w:val="28"/>
              </w:rPr>
              <w:t>report</w:t>
            </w:r>
            <w:r>
              <w:rPr>
                <w:spacing w:val="59"/>
                <w:sz w:val="28"/>
              </w:rPr>
              <w:t> </w:t>
            </w:r>
            <w:r>
              <w:rPr>
                <w:sz w:val="28"/>
              </w:rPr>
              <w:t>under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Reg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33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(3)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(a)</w:t>
            </w:r>
            <w:r>
              <w:rPr>
                <w:spacing w:val="59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SEBI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LODR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2015</w:t>
            </w:r>
          </w:p>
        </w:tc>
      </w:tr>
    </w:tbl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spacing w:before="303"/>
        <w:ind w:left="70" w:right="0" w:firstLine="0"/>
        <w:jc w:val="left"/>
        <w:rPr>
          <w:rFonts w:ascii="Arial"/>
          <w:b/>
          <w:i/>
          <w:sz w:val="22"/>
        </w:rPr>
      </w:pPr>
      <w:r>
        <w:rPr>
          <w:rFonts w:ascii="Arial"/>
          <w:b/>
          <w:i/>
          <w:color w:val="7C7C7C"/>
          <w:sz w:val="22"/>
        </w:rPr>
        <w:t>Disclaimer</w:t>
      </w:r>
    </w:p>
    <w:p>
      <w:pPr>
        <w:spacing w:line="249" w:lineRule="auto" w:before="11"/>
        <w:ind w:left="70" w:right="51" w:firstLine="0"/>
        <w:jc w:val="both"/>
        <w:rPr>
          <w:rFonts w:ascii="Arial"/>
          <w:b/>
          <w:i/>
          <w:sz w:val="22"/>
        </w:rPr>
      </w:pPr>
      <w:r>
        <w:rPr/>
        <w:pict>
          <v:shape style="position:absolute;margin-left:9.648pt;margin-top:59.448772pt;width:519.5pt;height:18.6pt;mso-position-horizontal-relative:page;mso-position-vertical-relative:paragraph;z-index:-16013824" type="#_x0000_t202" filled="false" stroked="false">
            <v:textbox inset="0,0,0,0">
              <w:txbxContent>
                <w:p>
                  <w:pPr>
                    <w:tabs>
                      <w:tab w:pos="7332" w:val="left" w:leader="none"/>
                    </w:tabs>
                    <w:spacing w:line="37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30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9.011692pt;width:539.950pt;height:20.4pt;mso-position-horizontal-relative:page;mso-position-vertical-relative:paragraph;z-index:15745536" coordorigin="0,1180" coordsize="10799,408">
            <v:rect style="position:absolute;left:0;top:1180;width:10799;height:408" filled="true" fillcolor="#36394f" stroked="false">
              <v:fill type="solid"/>
            </v:rect>
            <v:shape style="position:absolute;left:117;top:1204;width:1623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28"/>
                      </w:rPr>
                      <w:t>JULY</w:t>
                    </w:r>
                    <w:r>
                      <w:rPr>
                        <w:rFonts w:ascii="Arial"/>
                        <w:b/>
                        <w:color w:val="EBCF6A"/>
                        <w:spacing w:val="6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7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016;top:1204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i/>
          <w:color w:val="7C7C7C"/>
          <w:sz w:val="22"/>
        </w:rPr>
        <w:t>This newsletter is a compilation of updates prepared and circulated from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 academic point of view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only and are not intended to constitute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professional advice on any matter. The views and opinions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expressed in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this newsletter are those of the author of this document and are based on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 internal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research</w:t>
      </w:r>
      <w:r>
        <w:rPr>
          <w:rFonts w:ascii="Arial"/>
          <w:b/>
          <w:i/>
          <w:color w:val="7C7C7C"/>
          <w:spacing w:val="-7"/>
          <w:sz w:val="22"/>
        </w:rPr>
        <w:t> </w:t>
      </w:r>
      <w:r>
        <w:rPr>
          <w:rFonts w:ascii="Arial"/>
          <w:b/>
          <w:i/>
          <w:color w:val="7C7C7C"/>
          <w:sz w:val="22"/>
        </w:rPr>
        <w:t>done</w:t>
      </w:r>
      <w:r>
        <w:rPr>
          <w:rFonts w:ascii="Arial"/>
          <w:b/>
          <w:i/>
          <w:color w:val="7C7C7C"/>
          <w:spacing w:val="-12"/>
          <w:sz w:val="22"/>
        </w:rPr>
        <w:t> </w:t>
      </w:r>
      <w:r>
        <w:rPr>
          <w:rFonts w:ascii="Arial"/>
          <w:b/>
          <w:i/>
          <w:color w:val="7C7C7C"/>
          <w:sz w:val="22"/>
        </w:rPr>
        <w:t>by</w:t>
      </w:r>
      <w:r>
        <w:rPr>
          <w:rFonts w:ascii="Arial"/>
          <w:b/>
          <w:i/>
          <w:color w:val="7C7C7C"/>
          <w:spacing w:val="-9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</w:t>
      </w:r>
      <w:r>
        <w:rPr>
          <w:rFonts w:ascii="Arial"/>
          <w:b/>
          <w:i/>
          <w:color w:val="7C7C7C"/>
          <w:spacing w:val="-22"/>
          <w:sz w:val="22"/>
        </w:rPr>
        <w:t> </w:t>
      </w:r>
      <w:r>
        <w:rPr>
          <w:rFonts w:ascii="Arial"/>
          <w:b/>
          <w:i/>
          <w:color w:val="7C7C7C"/>
          <w:sz w:val="22"/>
        </w:rPr>
        <w:t>Author.</w:t>
      </w:r>
    </w:p>
    <w:sectPr>
      <w:pgSz w:w="10800" w:h="19200"/>
      <w:pgMar w:top="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•"/>
      <w:lvlJc w:val="left"/>
      <w:pPr>
        <w:ind w:left="819" w:hanging="452"/>
      </w:pPr>
      <w:rPr>
        <w:rFonts w:hint="default" w:ascii="Arial MT" w:hAnsi="Arial MT" w:eastAsia="Arial MT" w:cs="Arial MT"/>
        <w:color w:val="4F576A"/>
        <w:w w:val="100"/>
        <w:sz w:val="34"/>
        <w:szCs w:val="3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8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6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4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0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4" w:hanging="45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35" w:hanging="540"/>
        <w:jc w:val="right"/>
      </w:pPr>
      <w:rPr>
        <w:rFonts w:hint="default" w:ascii="Arial" w:hAnsi="Arial" w:eastAsia="Arial" w:cs="Arial"/>
        <w:b/>
        <w:bCs/>
        <w:color w:val="4F576A"/>
        <w:w w:val="100"/>
        <w:sz w:val="34"/>
        <w:szCs w:val="3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6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2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8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6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12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8" w:hanging="54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746" w:hanging="452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8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8" w:hanging="45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35" w:hanging="540"/>
        <w:jc w:val="left"/>
      </w:pPr>
      <w:rPr>
        <w:rFonts w:hint="default" w:ascii="Arial" w:hAnsi="Arial" w:eastAsia="Arial" w:cs="Arial"/>
        <w:b/>
        <w:bCs/>
        <w:color w:val="4F576A"/>
        <w:w w:val="100"/>
        <w:sz w:val="34"/>
        <w:szCs w:val="3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6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2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8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6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12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8" w:hanging="54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809" w:hanging="452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0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0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64" w:hanging="540"/>
        <w:jc w:val="left"/>
      </w:pPr>
      <w:rPr>
        <w:rFonts w:hint="default" w:ascii="Arial MT" w:hAnsi="Arial MT" w:eastAsia="Arial MT" w:cs="Arial MT"/>
        <w:color w:val="4F576A"/>
        <w:w w:val="99"/>
        <w:sz w:val="31"/>
        <w:szCs w:val="31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98" w:hanging="540"/>
        <w:jc w:val="left"/>
      </w:pPr>
      <w:rPr>
        <w:rFonts w:hint="default" w:ascii="Arial" w:hAnsi="Arial" w:eastAsia="Arial" w:cs="Arial"/>
        <w:b/>
        <w:bCs/>
        <w:color w:val="4F576A"/>
        <w:w w:val="100"/>
        <w:sz w:val="34"/>
        <w:szCs w:val="3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0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0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0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0" w:hanging="54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64" w:hanging="540"/>
        <w:jc w:val="left"/>
      </w:pPr>
      <w:rPr>
        <w:rFonts w:hint="default" w:ascii="Arial MT" w:hAnsi="Arial MT" w:eastAsia="Arial MT" w:cs="Arial MT"/>
        <w:color w:val="4F576A"/>
        <w:w w:val="99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2" w:hanging="5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64" w:hanging="540"/>
        <w:jc w:val="left"/>
      </w:pPr>
      <w:rPr>
        <w:rFonts w:hint="default" w:ascii="Arial MT" w:hAnsi="Arial MT" w:eastAsia="Arial MT" w:cs="Arial MT"/>
        <w:color w:val="4F576A"/>
        <w:w w:val="99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2" w:hanging="540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34"/>
      <w:szCs w:val="3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"/>
      <w:ind w:left="1614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2"/>
      <w:ind w:left="444"/>
      <w:outlineLvl w:val="2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835" w:hanging="540"/>
      <w:jc w:val="both"/>
      <w:outlineLvl w:val="3"/>
    </w:pPr>
    <w:rPr>
      <w:rFonts w:ascii="Arial" w:hAnsi="Arial" w:eastAsia="Arial" w:cs="Arial"/>
      <w:b/>
      <w:bCs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46" w:hanging="452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6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aracs.in/wp-content/uploads/2023/07/SEBI-ESG-Rating-Provider-Regulations-Notification_230709_174352.pdf" TargetMode="External"/><Relationship Id="rId8" Type="http://schemas.openxmlformats.org/officeDocument/2006/relationships/hyperlink" Target="https://aracs.in/wp-content/uploads/2023/08/SEBI-Notification.pdf" TargetMode="External"/><Relationship Id="rId9" Type="http://schemas.openxmlformats.org/officeDocument/2006/relationships/hyperlink" Target="https://www.sebi.gov.in/legal/master-circulars/jul-2023/master-circular-for-compliance-with-the-provisions-of-the-securities-and-exchange-board-of-india-listing-obligations-and-disclosure-requirements-regulations-2015-by-listed-entities_73795.html" TargetMode="External"/><Relationship Id="rId10" Type="http://schemas.openxmlformats.org/officeDocument/2006/relationships/hyperlink" Target="https://www.sebi.gov.in/legal/circulars/jul-2023/disclosure-of-material-events-information-by-listed-entities-under-regulations-30-and-30a-of-securities-and-exchange-board-of-india-listing-obligations-and-disclosure-requirements-regulations-201-_73910.html" TargetMode="External"/><Relationship Id="rId11" Type="http://schemas.openxmlformats.org/officeDocument/2006/relationships/hyperlink" Target="https://aracs.in/wp-content/uploads/2023/08/1689763678850-1.pdf" TargetMode="External"/><Relationship Id="rId12" Type="http://schemas.openxmlformats.org/officeDocument/2006/relationships/hyperlink" Target="https://aracs.in/wp-content/uploads/2023/08/BRSR.pdf" TargetMode="External"/><Relationship Id="rId13" Type="http://schemas.openxmlformats.org/officeDocument/2006/relationships/image" Target="media/image3.jpeg"/><Relationship Id="rId14" Type="http://schemas.openxmlformats.org/officeDocument/2006/relationships/hyperlink" Target="https://aracs.in/wp-content/uploads/2023/07/9805130020872022.pdf" TargetMode="External"/><Relationship Id="rId15" Type="http://schemas.openxmlformats.org/officeDocument/2006/relationships/hyperlink" Target="https://aracs.in/wp-content/uploads/2023/08/ea4a799f7e820fb793819e81f9dde3b4.pdf" TargetMode="External"/><Relationship Id="rId16" Type="http://schemas.openxmlformats.org/officeDocument/2006/relationships/image" Target="media/image4.jpeg"/><Relationship Id="rId17" Type="http://schemas.openxmlformats.org/officeDocument/2006/relationships/hyperlink" Target="https://aracs.in/wp-content/uploads/2023/07/sebi-482121.pdf" TargetMode="External"/><Relationship Id="rId18" Type="http://schemas.openxmlformats.org/officeDocument/2006/relationships/hyperlink" Target="https://aracs.in/wp-content/uploads/2023/07/Latest-checklist-of-e-filing-for-Companies-Act-2013-and-IBC-2016_0.pdf" TargetMode="External"/><Relationship Id="rId19" Type="http://schemas.openxmlformats.org/officeDocument/2006/relationships/image" Target="media/image5.jpe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Piyush Parmar</dc:creator>
  <dc:title>Akansha  Rathi &amp; Associates</dc:title>
  <dcterms:created xsi:type="dcterms:W3CDTF">2023-08-05T05:18:38Z</dcterms:created>
  <dcterms:modified xsi:type="dcterms:W3CDTF">2023-08-05T05:18:38Z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2023-08-05T00:00:00Z</vt:filetime>
  </property>
</Properties>
</file>