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0pt;margin-top:853.319885pt;width:539.950pt;height:106.7pt;mso-position-horizontal-relative:page;mso-position-vertical-relative:page;z-index:15730176" coordorigin="0,17066" coordsize="10799,2134">
            <v:shape style="position:absolute;left:7440;top:17066;width:1172;height:2134" type="#_x0000_t75" stroked="false">
              <v:imagedata r:id="rId5" o:title=""/>
            </v:shape>
            <v:rect style="position:absolute;left:0;top:18789;width:10799;height:408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9;top:18814;width:1587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0"/>
                        <w:sz w:val="30"/>
                      </w:rPr>
                      <w:t>AUG</w:t>
                    </w:r>
                    <w:r>
                      <w:rPr>
                        <w:rFonts w:ascii="Arial"/>
                        <w:b/>
                        <w:color w:val="EBCF6A"/>
                        <w:spacing w:val="51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400;top:18814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15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90"/>
        <w:ind w:left="0" w:right="288" w:firstLine="0"/>
        <w:jc w:val="right"/>
        <w:rPr>
          <w:rFonts w:ascii="Times New Roman" w:hAnsi="Times New Roman"/>
          <w:b/>
          <w:sz w:val="24"/>
        </w:rPr>
      </w:pPr>
      <w:r>
        <w:rPr/>
        <w:pict>
          <v:group style="position:absolute;margin-left:336pt;margin-top:-16.096863pt;width:179.85pt;height:160pt;mso-position-horizontal-relative:page;mso-position-vertical-relative:paragraph;z-index:-16103424" coordorigin="6720,-322" coordsize="3597,3200">
            <v:shape style="position:absolute;left:6720;top:-322;width:1892;height:3200" type="#_x0000_t75" stroked="false">
              <v:imagedata r:id="rId6" o:title=""/>
            </v:shape>
            <v:shape style="position:absolute;left:9100;top:-322;width:898;height:3161" type="#_x0000_t75" stroked="false">
              <v:imagedata r:id="rId7" o:title=""/>
            </v:shape>
            <v:rect style="position:absolute;left:9129;top:-322;width:860;height:3140" filled="true" fillcolor="#ebcf6a" stroked="false">
              <v:fill type="solid"/>
            </v:rect>
            <v:shape style="position:absolute;left:8656;top:148;width:1660;height:1708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11.64pt;margin-top:-5.776863pt;width:311.6pt;height:20.3pt;mso-position-horizontal-relative:page;mso-position-vertical-relative:paragraph;z-index:15730688" coordorigin="233,-116" coordsize="6232,406">
            <v:rect style="position:absolute;left:232;top:-116;width:6232;height:406" filled="true" fillcolor="#36394f" stroked="false">
              <v:fill type="solid"/>
            </v:rect>
            <v:shape style="position:absolute;left:251;top:-93;width:2604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>AUGUST</w:t>
                    </w:r>
                    <w:r>
                      <w:rPr>
                        <w:rFonts w:ascii="Arial"/>
                        <w:b/>
                        <w:color w:val="EBCF6A"/>
                        <w:spacing w:val="40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>2022 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</w:r>
                  </w:p>
                </w:txbxContent>
              </v:textbox>
              <w10:wrap type="none"/>
            </v:shape>
            <v:shape style="position:absolute;left:3213;top:-94;width:587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position w:val="-9"/>
                        <w:sz w:val="32"/>
                      </w:rPr>
                      <w:t>31</w:t>
                    </w:r>
                    <w:r>
                      <w:rPr>
                        <w:rFonts w:ascii="Arial"/>
                        <w:b/>
                        <w:color w:val="EBCF6A"/>
                        <w:sz w:val="21"/>
                      </w:rPr>
                      <w:t>st</w:t>
                    </w:r>
                  </w:p>
                </w:txbxContent>
              </v:textbox>
              <w10:wrap type="none"/>
            </v:shape>
            <v:shape style="position:absolute;left:3974;top:-93;width:1387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9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b/>
          <w:color w:val="1A1A1A"/>
          <w:w w:val="99"/>
          <w:sz w:val="24"/>
        </w:rPr>
        <w:t>®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21"/>
        </w:rPr>
      </w:pPr>
    </w:p>
    <w:p>
      <w:pPr>
        <w:spacing w:before="27"/>
        <w:ind w:left="532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394558"/>
          <w:sz w:val="36"/>
        </w:rPr>
        <w:t>In</w:t>
      </w:r>
      <w:r>
        <w:rPr>
          <w:rFonts w:ascii="Calibri"/>
          <w:b/>
          <w:color w:val="394558"/>
          <w:spacing w:val="-1"/>
          <w:sz w:val="36"/>
        </w:rPr>
        <w:t> </w:t>
      </w:r>
      <w:r>
        <w:rPr>
          <w:rFonts w:ascii="Calibri"/>
          <w:b/>
          <w:color w:val="394558"/>
          <w:sz w:val="36"/>
        </w:rPr>
        <w:t>this</w:t>
      </w:r>
      <w:r>
        <w:rPr>
          <w:rFonts w:ascii="Calibri"/>
          <w:b/>
          <w:color w:val="394558"/>
          <w:spacing w:val="-2"/>
          <w:sz w:val="36"/>
        </w:rPr>
        <w:t> </w:t>
      </w:r>
      <w:r>
        <w:rPr>
          <w:rFonts w:ascii="Calibri"/>
          <w:b/>
          <w:color w:val="394558"/>
          <w:sz w:val="36"/>
        </w:rPr>
        <w:t>Update: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7"/>
        <w:rPr>
          <w:rFonts w:ascii="Calibri"/>
          <w:b/>
          <w:sz w:val="10"/>
        </w:rPr>
      </w:pPr>
    </w:p>
    <w:tbl>
      <w:tblPr>
        <w:tblW w:w="0" w:type="auto"/>
        <w:jc w:val="left"/>
        <w:tblInd w:w="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2"/>
        <w:gridCol w:w="4838"/>
      </w:tblGrid>
      <w:tr>
        <w:trPr>
          <w:trHeight w:val="628" w:hRule="atLeast"/>
        </w:trPr>
        <w:tc>
          <w:tcPr>
            <w:tcW w:w="4642" w:type="dxa"/>
            <w:shd w:val="clear" w:color="auto" w:fill="EBCF6A"/>
          </w:tcPr>
          <w:p>
            <w:pPr>
              <w:pStyle w:val="TableParagraph"/>
              <w:spacing w:before="56"/>
              <w:ind w:left="143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394558"/>
                <w:sz w:val="36"/>
              </w:rPr>
              <w:t>Content</w:t>
            </w:r>
          </w:p>
        </w:tc>
        <w:tc>
          <w:tcPr>
            <w:tcW w:w="4838" w:type="dxa"/>
            <w:shd w:val="clear" w:color="auto" w:fill="EBCF6A"/>
          </w:tcPr>
          <w:p>
            <w:pPr>
              <w:pStyle w:val="TableParagraph"/>
              <w:spacing w:before="56"/>
              <w:ind w:left="144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394558"/>
                <w:sz w:val="36"/>
              </w:rPr>
              <w:t>Page</w:t>
            </w:r>
            <w:r>
              <w:rPr>
                <w:rFonts w:ascii="Calibri"/>
                <w:b/>
                <w:color w:val="394558"/>
                <w:spacing w:val="-4"/>
                <w:sz w:val="36"/>
              </w:rPr>
              <w:t> </w:t>
            </w:r>
            <w:r>
              <w:rPr>
                <w:rFonts w:ascii="Calibri"/>
                <w:b/>
                <w:color w:val="394558"/>
                <w:sz w:val="36"/>
              </w:rPr>
              <w:t>No</w:t>
            </w:r>
          </w:p>
        </w:tc>
      </w:tr>
      <w:tr>
        <w:trPr>
          <w:trHeight w:val="628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75"/>
              <w:ind w:left="143"/>
              <w:rPr>
                <w:sz w:val="36"/>
              </w:rPr>
            </w:pPr>
            <w:r>
              <w:rPr>
                <w:color w:val="EBCF6A"/>
                <w:sz w:val="36"/>
              </w:rPr>
              <w:t>Company</w:t>
            </w:r>
            <w:r>
              <w:rPr>
                <w:color w:val="EBCF6A"/>
                <w:spacing w:val="1"/>
                <w:sz w:val="36"/>
              </w:rPr>
              <w:t> </w:t>
            </w:r>
            <w:r>
              <w:rPr>
                <w:color w:val="EBCF6A"/>
                <w:sz w:val="36"/>
              </w:rPr>
              <w:t>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75"/>
              <w:ind w:left="144"/>
              <w:rPr>
                <w:sz w:val="36"/>
              </w:rPr>
            </w:pPr>
            <w:r>
              <w:rPr>
                <w:color w:val="EBCF6A"/>
                <w:sz w:val="36"/>
              </w:rPr>
              <w:t>Page</w:t>
            </w:r>
            <w:r>
              <w:rPr>
                <w:color w:val="EBCF6A"/>
                <w:spacing w:val="-1"/>
                <w:sz w:val="36"/>
              </w:rPr>
              <w:t> </w:t>
            </w:r>
            <w:r>
              <w:rPr>
                <w:color w:val="EBCF6A"/>
                <w:sz w:val="36"/>
              </w:rPr>
              <w:t>2</w:t>
            </w:r>
          </w:p>
        </w:tc>
      </w:tr>
      <w:tr>
        <w:trPr>
          <w:trHeight w:val="743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75"/>
              <w:ind w:left="143"/>
              <w:rPr>
                <w:sz w:val="36"/>
              </w:rPr>
            </w:pPr>
            <w:r>
              <w:rPr>
                <w:color w:val="EBCF6A"/>
                <w:sz w:val="36"/>
              </w:rPr>
              <w:t>Securities</w:t>
            </w:r>
            <w:r>
              <w:rPr>
                <w:color w:val="EBCF6A"/>
                <w:spacing w:val="2"/>
                <w:sz w:val="36"/>
              </w:rPr>
              <w:t> </w:t>
            </w:r>
            <w:r>
              <w:rPr>
                <w:color w:val="EBCF6A"/>
                <w:sz w:val="36"/>
              </w:rPr>
              <w:t>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75"/>
              <w:ind w:left="144"/>
              <w:rPr>
                <w:sz w:val="36"/>
              </w:rPr>
            </w:pPr>
            <w:r>
              <w:rPr>
                <w:color w:val="EBCF6A"/>
                <w:sz w:val="36"/>
              </w:rPr>
              <w:t>Page</w:t>
            </w:r>
            <w:r>
              <w:rPr>
                <w:color w:val="EBCF6A"/>
                <w:spacing w:val="-1"/>
                <w:sz w:val="36"/>
              </w:rPr>
              <w:t> </w:t>
            </w:r>
            <w:r>
              <w:rPr>
                <w:color w:val="EBCF6A"/>
                <w:sz w:val="36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75"/>
              <w:ind w:left="143"/>
              <w:rPr>
                <w:sz w:val="36"/>
              </w:rPr>
            </w:pPr>
            <w:r>
              <w:rPr>
                <w:color w:val="EBCF6A"/>
                <w:sz w:val="36"/>
              </w:rPr>
              <w:t>FEMA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75"/>
              <w:ind w:left="144"/>
              <w:rPr>
                <w:sz w:val="36"/>
              </w:rPr>
            </w:pPr>
            <w:r>
              <w:rPr>
                <w:color w:val="EBCF6A"/>
                <w:sz w:val="36"/>
              </w:rPr>
              <w:t>Page</w:t>
            </w:r>
            <w:r>
              <w:rPr>
                <w:color w:val="EBCF6A"/>
                <w:spacing w:val="-1"/>
                <w:sz w:val="36"/>
              </w:rPr>
              <w:t> </w:t>
            </w:r>
            <w:r>
              <w:rPr>
                <w:color w:val="EBCF6A"/>
                <w:sz w:val="36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75"/>
              <w:ind w:left="143"/>
              <w:rPr>
                <w:sz w:val="36"/>
              </w:rPr>
            </w:pPr>
            <w:r>
              <w:rPr>
                <w:color w:val="EBCF6A"/>
                <w:sz w:val="36"/>
              </w:rPr>
              <w:t>Insolvency</w:t>
            </w:r>
            <w:r>
              <w:rPr>
                <w:color w:val="EBCF6A"/>
                <w:spacing w:val="2"/>
                <w:sz w:val="36"/>
              </w:rPr>
              <w:t> </w:t>
            </w:r>
            <w:r>
              <w:rPr>
                <w:color w:val="EBCF6A"/>
                <w:sz w:val="36"/>
              </w:rPr>
              <w:t>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75"/>
              <w:ind w:left="144"/>
              <w:rPr>
                <w:sz w:val="36"/>
              </w:rPr>
            </w:pPr>
            <w:r>
              <w:rPr>
                <w:color w:val="EBCF6A"/>
                <w:sz w:val="36"/>
              </w:rPr>
              <w:t>Page</w:t>
            </w:r>
            <w:r>
              <w:rPr>
                <w:color w:val="EBCF6A"/>
                <w:spacing w:val="-1"/>
                <w:sz w:val="36"/>
              </w:rPr>
              <w:t> </w:t>
            </w:r>
            <w:r>
              <w:rPr>
                <w:color w:val="EBCF6A"/>
                <w:sz w:val="36"/>
              </w:rPr>
              <w:t>5</w:t>
            </w:r>
          </w:p>
        </w:tc>
      </w:tr>
      <w:tr>
        <w:trPr>
          <w:trHeight w:val="1114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75"/>
              <w:ind w:left="143"/>
              <w:rPr>
                <w:sz w:val="36"/>
              </w:rPr>
            </w:pPr>
            <w:r>
              <w:rPr>
                <w:color w:val="EBCF6A"/>
                <w:sz w:val="36"/>
              </w:rPr>
              <w:t>Due</w:t>
            </w:r>
            <w:r>
              <w:rPr>
                <w:color w:val="EBCF6A"/>
                <w:spacing w:val="1"/>
                <w:sz w:val="36"/>
              </w:rPr>
              <w:t> </w:t>
            </w:r>
            <w:r>
              <w:rPr>
                <w:color w:val="EBCF6A"/>
                <w:sz w:val="36"/>
              </w:rPr>
              <w:t>Dates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75"/>
              <w:ind w:left="144"/>
              <w:rPr>
                <w:sz w:val="36"/>
              </w:rPr>
            </w:pPr>
            <w:r>
              <w:rPr>
                <w:color w:val="EBCF6A"/>
                <w:sz w:val="36"/>
              </w:rPr>
              <w:t>Page</w:t>
            </w:r>
            <w:r>
              <w:rPr>
                <w:color w:val="EBCF6A"/>
                <w:spacing w:val="-1"/>
                <w:sz w:val="36"/>
              </w:rPr>
              <w:t> </w:t>
            </w:r>
            <w:r>
              <w:rPr>
                <w:color w:val="EBCF6A"/>
                <w:sz w:val="36"/>
              </w:rPr>
              <w:t>6</w:t>
            </w:r>
          </w:p>
        </w:tc>
      </w:tr>
    </w:tbl>
    <w:p>
      <w:pPr>
        <w:spacing w:before="254"/>
        <w:ind w:left="168" w:right="0" w:firstLine="0"/>
        <w:jc w:val="left"/>
        <w:rPr>
          <w:rFonts w:ascii="Arial"/>
          <w:b/>
          <w:sz w:val="32"/>
        </w:rPr>
      </w:pPr>
      <w:r>
        <w:rPr/>
        <w:drawing>
          <wp:anchor distT="0" distB="0" distL="0" distR="0" allowOverlap="1" layoutInCell="1" locked="0" behindDoc="1" simplePos="0" relativeHeight="487212032">
            <wp:simplePos x="0" y="0"/>
            <wp:positionH relativeFrom="page">
              <wp:posOffset>4724400</wp:posOffset>
            </wp:positionH>
            <wp:positionV relativeFrom="paragraph">
              <wp:posOffset>-1463194</wp:posOffset>
            </wp:positionV>
            <wp:extent cx="2115311" cy="5004561"/>
            <wp:effectExtent l="0" t="0" r="0" b="0"/>
            <wp:wrapNone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24.107641pt;width:238.45pt;height:585.5pt;mso-position-horizontal-relative:page;mso-position-vertical-relative:paragraph;z-index:-16103936" coordorigin="0,482" coordsize="4769,11710">
            <v:shape style="position:absolute;left:0;top:482;width:4769;height:11710" type="#_x0000_t75" stroked="false">
              <v:imagedata r:id="rId10" o:title=""/>
            </v:shape>
            <v:shape style="position:absolute;left:0;top:1098;width:1798;height:6612" type="#_x0000_t75" stroked="false">
              <v:imagedata r:id="rId11" o:title=""/>
            </v:shape>
            <w10:wrap type="none"/>
          </v:group>
        </w:pict>
      </w:r>
      <w:r>
        <w:rPr>
          <w:rFonts w:ascii="Arial"/>
          <w:b/>
          <w:color w:val="394558"/>
          <w:sz w:val="32"/>
          <w:u w:val="thick" w:color="394558"/>
        </w:rPr>
        <w:t>Company</w:t>
      </w:r>
      <w:r>
        <w:rPr>
          <w:rFonts w:ascii="Arial"/>
          <w:b/>
          <w:color w:val="394558"/>
          <w:spacing w:val="3"/>
          <w:sz w:val="32"/>
          <w:u w:val="thick" w:color="394558"/>
        </w:rPr>
        <w:t> </w:t>
      </w:r>
      <w:r>
        <w:rPr>
          <w:rFonts w:ascii="Arial"/>
          <w:b/>
          <w:color w:val="394558"/>
          <w:sz w:val="32"/>
          <w:u w:val="thick" w:color="394558"/>
        </w:rPr>
        <w:t>Law: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169" w:after="0"/>
        <w:ind w:left="600" w:right="0" w:hanging="432"/>
        <w:jc w:val="left"/>
        <w:rPr>
          <w:sz w:val="22"/>
        </w:rPr>
      </w:pPr>
      <w:r>
        <w:rPr>
          <w:sz w:val="22"/>
        </w:rPr>
        <w:t>Companies</w:t>
      </w:r>
      <w:r>
        <w:rPr>
          <w:spacing w:val="1"/>
          <w:sz w:val="22"/>
        </w:rPr>
        <w:t> </w:t>
      </w:r>
      <w:r>
        <w:rPr>
          <w:sz w:val="22"/>
        </w:rPr>
        <w:t>(Removal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Names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Companies from</w:t>
      </w:r>
      <w:r>
        <w:rPr>
          <w:spacing w:val="-10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ROC)</w:t>
      </w:r>
      <w:r>
        <w:rPr>
          <w:spacing w:val="-4"/>
          <w:sz w:val="22"/>
        </w:rPr>
        <w:t> </w:t>
      </w:r>
      <w:r>
        <w:rPr>
          <w:sz w:val="22"/>
        </w:rPr>
        <w:t>Second</w:t>
      </w:r>
      <w:r>
        <w:rPr>
          <w:spacing w:val="1"/>
          <w:sz w:val="22"/>
        </w:rPr>
        <w:t> </w:t>
      </w:r>
      <w:r>
        <w:rPr>
          <w:sz w:val="22"/>
        </w:rPr>
        <w:t>Amendment</w:t>
      </w:r>
      <w:r>
        <w:rPr>
          <w:spacing w:val="-5"/>
          <w:sz w:val="22"/>
        </w:rPr>
        <w:t> </w:t>
      </w:r>
      <w:r>
        <w:rPr>
          <w:sz w:val="22"/>
        </w:rPr>
        <w:t>Rules,2022.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170" w:after="0"/>
        <w:ind w:left="600" w:right="0" w:hanging="432"/>
        <w:jc w:val="left"/>
        <w:rPr>
          <w:sz w:val="22"/>
        </w:rPr>
      </w:pPr>
      <w:r>
        <w:rPr>
          <w:sz w:val="22"/>
        </w:rPr>
        <w:t>Companies</w:t>
      </w:r>
      <w:r>
        <w:rPr>
          <w:spacing w:val="1"/>
          <w:sz w:val="22"/>
        </w:rPr>
        <w:t> </w:t>
      </w:r>
      <w:r>
        <w:rPr>
          <w:sz w:val="22"/>
        </w:rPr>
        <w:t>(Accounts)</w:t>
      </w:r>
      <w:r>
        <w:rPr>
          <w:spacing w:val="-7"/>
          <w:sz w:val="22"/>
        </w:rPr>
        <w:t> </w:t>
      </w:r>
      <w:r>
        <w:rPr>
          <w:sz w:val="22"/>
        </w:rPr>
        <w:t>Fourth</w:t>
      </w:r>
      <w:r>
        <w:rPr>
          <w:spacing w:val="-4"/>
          <w:sz w:val="22"/>
        </w:rPr>
        <w:t> </w:t>
      </w:r>
      <w:r>
        <w:rPr>
          <w:sz w:val="22"/>
        </w:rPr>
        <w:t>Amendment</w:t>
      </w:r>
      <w:r>
        <w:rPr>
          <w:spacing w:val="-6"/>
          <w:sz w:val="22"/>
        </w:rPr>
        <w:t> </w:t>
      </w:r>
      <w:r>
        <w:rPr>
          <w:sz w:val="22"/>
        </w:rPr>
        <w:t>Rules,</w:t>
      </w:r>
      <w:r>
        <w:rPr>
          <w:spacing w:val="1"/>
          <w:sz w:val="22"/>
        </w:rPr>
        <w:t> </w:t>
      </w:r>
      <w:r>
        <w:rPr>
          <w:sz w:val="22"/>
        </w:rPr>
        <w:t>2022.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169" w:after="0"/>
        <w:ind w:left="600" w:right="0" w:hanging="432"/>
        <w:jc w:val="left"/>
        <w:rPr>
          <w:sz w:val="22"/>
        </w:rPr>
      </w:pPr>
      <w:r>
        <w:rPr>
          <w:sz w:val="22"/>
        </w:rPr>
        <w:t>Physical</w:t>
      </w:r>
      <w:r>
        <w:rPr>
          <w:spacing w:val="5"/>
          <w:sz w:val="22"/>
        </w:rPr>
        <w:t> </w:t>
      </w:r>
      <w:r>
        <w:rPr>
          <w:sz w:val="22"/>
        </w:rPr>
        <w:t>Verification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Registered</w:t>
      </w:r>
      <w:r>
        <w:rPr>
          <w:spacing w:val="-3"/>
          <w:sz w:val="22"/>
        </w:rPr>
        <w:t> </w:t>
      </w:r>
      <w:r>
        <w:rPr>
          <w:sz w:val="22"/>
        </w:rPr>
        <w:t>Office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Company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ROC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170" w:after="0"/>
        <w:ind w:left="600" w:right="0" w:hanging="432"/>
        <w:jc w:val="left"/>
        <w:rPr>
          <w:sz w:val="22"/>
        </w:rPr>
      </w:pPr>
      <w:r>
        <w:rPr>
          <w:sz w:val="22"/>
        </w:rPr>
        <w:t>Companies (Appointment</w:t>
      </w:r>
      <w:r>
        <w:rPr>
          <w:spacing w:val="-8"/>
          <w:sz w:val="22"/>
        </w:rPr>
        <w:t> </w:t>
      </w:r>
      <w:r>
        <w:rPr>
          <w:sz w:val="22"/>
        </w:rPr>
        <w:t>and Qualification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Directors)</w:t>
      </w:r>
      <w:r>
        <w:rPr>
          <w:spacing w:val="-5"/>
          <w:sz w:val="22"/>
        </w:rPr>
        <w:t> </w:t>
      </w:r>
      <w:r>
        <w:rPr>
          <w:sz w:val="22"/>
        </w:rPr>
        <w:t>Third</w:t>
      </w:r>
      <w:r>
        <w:rPr>
          <w:spacing w:val="58"/>
          <w:sz w:val="22"/>
        </w:rPr>
        <w:t> </w:t>
      </w:r>
      <w:r>
        <w:rPr>
          <w:sz w:val="22"/>
        </w:rPr>
        <w:t>Amendment</w:t>
      </w:r>
      <w:r>
        <w:rPr>
          <w:spacing w:val="-8"/>
          <w:sz w:val="22"/>
        </w:rPr>
        <w:t> </w:t>
      </w:r>
      <w:r>
        <w:rPr>
          <w:sz w:val="22"/>
        </w:rPr>
        <w:t>Rules, 2022.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169" w:after="0"/>
        <w:ind w:left="600" w:right="0" w:hanging="432"/>
        <w:jc w:val="left"/>
        <w:rPr>
          <w:sz w:val="22"/>
        </w:rPr>
      </w:pPr>
      <w:r>
        <w:rPr>
          <w:sz w:val="22"/>
        </w:rPr>
        <w:t>Companies (Registration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Charges)</w:t>
      </w:r>
      <w:r>
        <w:rPr>
          <w:spacing w:val="-2"/>
          <w:sz w:val="22"/>
        </w:rPr>
        <w:t> </w:t>
      </w:r>
      <w:r>
        <w:rPr>
          <w:sz w:val="22"/>
        </w:rPr>
        <w:t>Second</w:t>
      </w:r>
      <w:r>
        <w:rPr>
          <w:spacing w:val="-2"/>
          <w:sz w:val="22"/>
        </w:rPr>
        <w:t> </w:t>
      </w:r>
      <w:r>
        <w:rPr>
          <w:sz w:val="22"/>
        </w:rPr>
        <w:t>Amendment</w:t>
      </w:r>
      <w:r>
        <w:rPr>
          <w:spacing w:val="-6"/>
          <w:sz w:val="22"/>
        </w:rPr>
        <w:t> </w:t>
      </w:r>
      <w:r>
        <w:rPr>
          <w:sz w:val="22"/>
        </w:rPr>
        <w:t>Rules,</w:t>
      </w:r>
      <w:r>
        <w:rPr>
          <w:spacing w:val="-2"/>
          <w:sz w:val="22"/>
        </w:rPr>
        <w:t> </w:t>
      </w:r>
      <w:r>
        <w:rPr>
          <w:sz w:val="22"/>
        </w:rPr>
        <w:t>2022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170" w:after="0"/>
        <w:ind w:left="600" w:right="0" w:hanging="432"/>
        <w:jc w:val="left"/>
        <w:rPr>
          <w:sz w:val="22"/>
        </w:rPr>
      </w:pPr>
      <w:r>
        <w:rPr>
          <w:sz w:val="22"/>
        </w:rPr>
        <w:t>Companies (Acceptance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Deposits) Amendment</w:t>
      </w:r>
      <w:r>
        <w:rPr>
          <w:spacing w:val="-8"/>
          <w:sz w:val="22"/>
        </w:rPr>
        <w:t> </w:t>
      </w:r>
      <w:r>
        <w:rPr>
          <w:sz w:val="22"/>
        </w:rPr>
        <w:t>Rules,</w:t>
      </w:r>
      <w:r>
        <w:rPr>
          <w:spacing w:val="1"/>
          <w:sz w:val="22"/>
        </w:rPr>
        <w:t> </w:t>
      </w:r>
      <w:r>
        <w:rPr>
          <w:sz w:val="22"/>
        </w:rPr>
        <w:t>2022.</w:t>
      </w:r>
    </w:p>
    <w:p>
      <w:pPr>
        <w:pStyle w:val="BodyText"/>
        <w:spacing w:before="5"/>
        <w:rPr>
          <w:sz w:val="31"/>
        </w:rPr>
      </w:pPr>
    </w:p>
    <w:p>
      <w:pPr>
        <w:spacing w:before="0"/>
        <w:ind w:left="168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94558"/>
          <w:sz w:val="32"/>
          <w:u w:val="thick" w:color="394558"/>
        </w:rPr>
        <w:t>Securities</w:t>
      </w:r>
      <w:r>
        <w:rPr>
          <w:rFonts w:ascii="Arial"/>
          <w:b/>
          <w:color w:val="394558"/>
          <w:spacing w:val="5"/>
          <w:sz w:val="32"/>
          <w:u w:val="thick" w:color="394558"/>
        </w:rPr>
        <w:t> </w:t>
      </w:r>
      <w:r>
        <w:rPr>
          <w:rFonts w:ascii="Arial"/>
          <w:b/>
          <w:color w:val="394558"/>
          <w:sz w:val="32"/>
          <w:u w:val="thick" w:color="394558"/>
        </w:rPr>
        <w:t>Law:</w:t>
      </w:r>
    </w:p>
    <w:p>
      <w:pPr>
        <w:spacing w:before="222"/>
        <w:ind w:left="168" w:right="0" w:firstLine="0"/>
        <w:jc w:val="left"/>
        <w:rPr>
          <w:sz w:val="22"/>
        </w:rPr>
      </w:pPr>
      <w:r>
        <w:rPr>
          <w:sz w:val="22"/>
        </w:rPr>
        <w:t>1.</w:t>
      </w:r>
      <w:r>
        <w:rPr>
          <w:spacing w:val="-3"/>
          <w:sz w:val="22"/>
        </w:rPr>
        <w:t> </w:t>
      </w:r>
      <w:r>
        <w:rPr>
          <w:sz w:val="22"/>
        </w:rPr>
        <w:t>Framework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restricting</w:t>
      </w:r>
      <w:r>
        <w:rPr>
          <w:spacing w:val="-7"/>
          <w:sz w:val="22"/>
        </w:rPr>
        <w:t> </w:t>
      </w:r>
      <w:r>
        <w:rPr>
          <w:sz w:val="22"/>
        </w:rPr>
        <w:t>trading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Designated</w:t>
      </w:r>
      <w:r>
        <w:rPr>
          <w:spacing w:val="-4"/>
          <w:sz w:val="22"/>
        </w:rPr>
        <w:t> </w:t>
      </w:r>
      <w:r>
        <w:rPr>
          <w:sz w:val="22"/>
        </w:rPr>
        <w:t>Person.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168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94558"/>
          <w:sz w:val="32"/>
          <w:u w:val="thick" w:color="394558"/>
        </w:rPr>
        <w:t>FEMA:</w:t>
      </w:r>
    </w:p>
    <w:p>
      <w:pPr>
        <w:spacing w:before="170"/>
        <w:ind w:left="168" w:right="0" w:firstLine="0"/>
        <w:jc w:val="left"/>
        <w:rPr>
          <w:sz w:val="22"/>
        </w:rPr>
      </w:pPr>
      <w:r>
        <w:rPr>
          <w:sz w:val="22"/>
        </w:rPr>
        <w:t>1.New</w:t>
      </w:r>
      <w:r>
        <w:rPr>
          <w:spacing w:val="-4"/>
          <w:sz w:val="22"/>
        </w:rPr>
        <w:t> </w:t>
      </w:r>
      <w:r>
        <w:rPr>
          <w:sz w:val="22"/>
        </w:rPr>
        <w:t>FEMA</w:t>
      </w:r>
      <w:r>
        <w:rPr>
          <w:spacing w:val="4"/>
          <w:sz w:val="22"/>
        </w:rPr>
        <w:t> </w:t>
      </w:r>
      <w:r>
        <w:rPr>
          <w:sz w:val="22"/>
        </w:rPr>
        <w:t>Overseas</w:t>
      </w:r>
      <w:r>
        <w:rPr>
          <w:spacing w:val="-7"/>
          <w:sz w:val="22"/>
        </w:rPr>
        <w:t> </w:t>
      </w:r>
      <w:r>
        <w:rPr>
          <w:sz w:val="22"/>
        </w:rPr>
        <w:t>Investment</w:t>
      </w:r>
      <w:r>
        <w:rPr>
          <w:spacing w:val="-8"/>
          <w:sz w:val="22"/>
        </w:rPr>
        <w:t> </w:t>
      </w:r>
      <w:r>
        <w:rPr>
          <w:sz w:val="22"/>
        </w:rPr>
        <w:t>Rules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Regulations.</w:t>
      </w:r>
    </w:p>
    <w:p>
      <w:pPr>
        <w:spacing w:before="150"/>
        <w:ind w:left="168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94558"/>
          <w:sz w:val="32"/>
          <w:u w:val="thick" w:color="394558"/>
        </w:rPr>
        <w:t>Insolvency</w:t>
      </w:r>
      <w:r>
        <w:rPr>
          <w:rFonts w:ascii="Arial"/>
          <w:b/>
          <w:color w:val="394558"/>
          <w:spacing w:val="6"/>
          <w:sz w:val="32"/>
          <w:u w:val="thick" w:color="394558"/>
        </w:rPr>
        <w:t> </w:t>
      </w:r>
      <w:r>
        <w:rPr>
          <w:rFonts w:ascii="Arial"/>
          <w:b/>
          <w:color w:val="394558"/>
          <w:sz w:val="32"/>
          <w:u w:val="thick" w:color="394558"/>
        </w:rPr>
        <w:t>Law</w:t>
      </w:r>
      <w:r>
        <w:rPr>
          <w:rFonts w:ascii="Arial"/>
          <w:b/>
          <w:color w:val="0F243E"/>
          <w:sz w:val="32"/>
          <w:u w:val="thick" w:color="394558"/>
        </w:rPr>
        <w:t>:</w:t>
      </w:r>
    </w:p>
    <w:p>
      <w:pPr>
        <w:pStyle w:val="ListParagraph"/>
        <w:numPr>
          <w:ilvl w:val="0"/>
          <w:numId w:val="2"/>
        </w:numPr>
        <w:tabs>
          <w:tab w:pos="408" w:val="left" w:leader="none"/>
        </w:tabs>
        <w:spacing w:line="199" w:lineRule="auto" w:before="205" w:after="0"/>
        <w:ind w:left="408" w:right="942" w:hanging="240"/>
        <w:jc w:val="left"/>
        <w:rPr>
          <w:sz w:val="22"/>
        </w:rPr>
      </w:pPr>
      <w:r>
        <w:rPr>
          <w:sz w:val="22"/>
        </w:rPr>
        <w:t>Entries</w:t>
      </w:r>
      <w:r>
        <w:rPr>
          <w:spacing w:val="-13"/>
          <w:sz w:val="22"/>
        </w:rPr>
        <w:t> </w:t>
      </w:r>
      <w:r>
        <w:rPr>
          <w:sz w:val="22"/>
        </w:rPr>
        <w:t>In</w:t>
      </w:r>
      <w:r>
        <w:rPr>
          <w:spacing w:val="-8"/>
          <w:sz w:val="22"/>
        </w:rPr>
        <w:t> </w:t>
      </w:r>
      <w:r>
        <w:rPr>
          <w:sz w:val="22"/>
        </w:rPr>
        <w:t>Book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Accounts/Balance</w:t>
      </w:r>
      <w:r>
        <w:rPr>
          <w:spacing w:val="-13"/>
          <w:sz w:val="22"/>
        </w:rPr>
        <w:t> </w:t>
      </w:r>
      <w:r>
        <w:rPr>
          <w:sz w:val="22"/>
        </w:rPr>
        <w:t>Sheet</w:t>
      </w:r>
      <w:r>
        <w:rPr>
          <w:spacing w:val="-9"/>
          <w:sz w:val="22"/>
        </w:rPr>
        <w:t> </w:t>
      </w:r>
      <w:r>
        <w:rPr>
          <w:sz w:val="22"/>
        </w:rPr>
        <w:t>can</w:t>
      </w:r>
      <w:r>
        <w:rPr>
          <w:spacing w:val="-9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treated</w:t>
      </w:r>
      <w:r>
        <w:rPr>
          <w:spacing w:val="-14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Acknowledgment</w:t>
      </w:r>
      <w:r>
        <w:rPr>
          <w:spacing w:val="-1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Liability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Debt</w:t>
      </w:r>
      <w:r>
        <w:rPr>
          <w:spacing w:val="-58"/>
          <w:sz w:val="22"/>
        </w:rPr>
        <w:t> </w:t>
      </w:r>
      <w:r>
        <w:rPr>
          <w:sz w:val="22"/>
        </w:rPr>
        <w:t>Supreme</w:t>
      </w:r>
      <w:r>
        <w:rPr>
          <w:spacing w:val="-12"/>
          <w:sz w:val="22"/>
        </w:rPr>
        <w:t> </w:t>
      </w:r>
      <w:r>
        <w:rPr>
          <w:sz w:val="22"/>
        </w:rPr>
        <w:t>Court</w:t>
      </w:r>
    </w:p>
    <w:p>
      <w:pPr>
        <w:pStyle w:val="ListParagraph"/>
        <w:numPr>
          <w:ilvl w:val="0"/>
          <w:numId w:val="2"/>
        </w:numPr>
        <w:tabs>
          <w:tab w:pos="408" w:val="left" w:leader="none"/>
        </w:tabs>
        <w:spacing w:line="240" w:lineRule="auto" w:before="179" w:after="0"/>
        <w:ind w:left="408" w:right="0" w:hanging="240"/>
        <w:jc w:val="left"/>
        <w:rPr>
          <w:sz w:val="22"/>
        </w:rPr>
      </w:pPr>
      <w:r>
        <w:rPr>
          <w:sz w:val="22"/>
        </w:rPr>
        <w:t>NCLAT</w:t>
      </w:r>
      <w:r>
        <w:rPr>
          <w:spacing w:val="-5"/>
          <w:sz w:val="22"/>
        </w:rPr>
        <w:t> </w:t>
      </w:r>
      <w:r>
        <w:rPr>
          <w:sz w:val="22"/>
        </w:rPr>
        <w:t>held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10"/>
          <w:sz w:val="22"/>
        </w:rPr>
        <w:t> </w:t>
      </w:r>
      <w:r>
        <w:rPr>
          <w:sz w:val="22"/>
        </w:rPr>
        <w:t>Moratorium</w:t>
      </w:r>
      <w:r>
        <w:rPr>
          <w:spacing w:val="-14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7"/>
          <w:sz w:val="22"/>
        </w:rPr>
        <w:t> </w:t>
      </w:r>
      <w:r>
        <w:rPr>
          <w:sz w:val="22"/>
        </w:rPr>
        <w:t>bar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10"/>
          <w:sz w:val="22"/>
        </w:rPr>
        <w:t> </w:t>
      </w:r>
      <w:r>
        <w:rPr>
          <w:sz w:val="22"/>
        </w:rPr>
        <w:t>initiation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proceedings</w:t>
      </w:r>
      <w:r>
        <w:rPr>
          <w:spacing w:val="-12"/>
          <w:sz w:val="22"/>
        </w:rPr>
        <w:t> </w:t>
      </w:r>
      <w:r>
        <w:rPr>
          <w:sz w:val="22"/>
        </w:rPr>
        <w:t>under</w:t>
      </w:r>
      <w:r>
        <w:rPr>
          <w:spacing w:val="-9"/>
          <w:sz w:val="22"/>
        </w:rPr>
        <w:t> </w:t>
      </w:r>
      <w:r>
        <w:rPr>
          <w:sz w:val="22"/>
        </w:rPr>
        <w:t>section</w:t>
      </w:r>
      <w:r>
        <w:rPr>
          <w:spacing w:val="-9"/>
          <w:sz w:val="22"/>
        </w:rPr>
        <w:t> </w:t>
      </w:r>
      <w:r>
        <w:rPr>
          <w:sz w:val="22"/>
        </w:rPr>
        <w:t>66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code</w:t>
      </w:r>
    </w:p>
    <w:p>
      <w:pPr>
        <w:pStyle w:val="BodyText"/>
        <w:spacing w:before="4"/>
        <w:rPr>
          <w:sz w:val="31"/>
        </w:rPr>
      </w:pPr>
    </w:p>
    <w:p>
      <w:pPr>
        <w:spacing w:before="0"/>
        <w:ind w:left="168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94558"/>
          <w:sz w:val="32"/>
          <w:u w:val="thick" w:color="394558"/>
        </w:rPr>
        <w:t>Due</w:t>
      </w:r>
      <w:r>
        <w:rPr>
          <w:rFonts w:ascii="Arial"/>
          <w:b/>
          <w:color w:val="394558"/>
          <w:spacing w:val="-1"/>
          <w:sz w:val="32"/>
          <w:u w:val="thick" w:color="394558"/>
        </w:rPr>
        <w:t> </w:t>
      </w:r>
      <w:r>
        <w:rPr>
          <w:rFonts w:ascii="Arial"/>
          <w:b/>
          <w:color w:val="394558"/>
          <w:sz w:val="32"/>
          <w:u w:val="thick" w:color="394558"/>
        </w:rPr>
        <w:t>Dates</w:t>
      </w:r>
    </w:p>
    <w:p>
      <w:pPr>
        <w:spacing w:after="0"/>
        <w:jc w:val="left"/>
        <w:rPr>
          <w:rFonts w:ascii="Arial"/>
          <w:sz w:val="32"/>
        </w:rPr>
        <w:sectPr>
          <w:type w:val="continuous"/>
          <w:pgSz w:w="10800" w:h="19200"/>
          <w:pgMar w:top="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00352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79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3225;width:10800;height:15972" coordorigin="0,3226" coordsize="10800,15972" path="m10764,3226l5261,3226,5261,3986,10764,3986,10764,3226xm10799,18790l0,18790,0,19198,10799,19198,10799,18790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808;top:2392;width:4020;height:2506" type="#_x0000_t75" stroked="false">
              <v:imagedata r:id="rId15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63.059998pt;margin-top:12.079961pt;width:275.150pt;height:38.2pt;mso-position-horizontal-relative:page;mso-position-vertical-relative:paragraph;z-index:-15726080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14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2"/>
        <w:numPr>
          <w:ilvl w:val="0"/>
          <w:numId w:val="3"/>
        </w:numPr>
        <w:tabs>
          <w:tab w:pos="762" w:val="left" w:leader="none"/>
          <w:tab w:pos="763" w:val="left" w:leader="none"/>
        </w:tabs>
        <w:spacing w:line="240" w:lineRule="auto" w:before="249" w:after="0"/>
        <w:ind w:left="762" w:right="0" w:hanging="541"/>
        <w:jc w:val="left"/>
        <w:rPr>
          <w:color w:val="244060"/>
        </w:rPr>
      </w:pPr>
      <w:r>
        <w:rPr/>
        <w:drawing>
          <wp:anchor distT="0" distB="0" distL="0" distR="0" allowOverlap="1" layoutInCell="1" locked="0" behindDoc="1" simplePos="0" relativeHeight="487215104">
            <wp:simplePos x="0" y="0"/>
            <wp:positionH relativeFrom="page">
              <wp:posOffset>4724400</wp:posOffset>
            </wp:positionH>
            <wp:positionV relativeFrom="paragraph">
              <wp:posOffset>-1014375</wp:posOffset>
            </wp:positionV>
            <wp:extent cx="2115311" cy="5004561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4060"/>
        </w:rPr>
        <w:t>Companies</w:t>
      </w:r>
      <w:r>
        <w:rPr>
          <w:color w:val="244060"/>
          <w:spacing w:val="60"/>
        </w:rPr>
        <w:t> </w:t>
      </w:r>
      <w:r>
        <w:rPr>
          <w:color w:val="244060"/>
        </w:rPr>
        <w:t>(Removal</w:t>
      </w:r>
      <w:r>
        <w:rPr>
          <w:color w:val="244060"/>
          <w:spacing w:val="61"/>
        </w:rPr>
        <w:t> </w:t>
      </w:r>
      <w:r>
        <w:rPr>
          <w:color w:val="244060"/>
        </w:rPr>
        <w:t>of</w:t>
      </w:r>
      <w:r>
        <w:rPr>
          <w:color w:val="244060"/>
          <w:spacing w:val="61"/>
        </w:rPr>
        <w:t> </w:t>
      </w:r>
      <w:r>
        <w:rPr>
          <w:color w:val="244060"/>
        </w:rPr>
        <w:t>Names</w:t>
      </w:r>
      <w:r>
        <w:rPr>
          <w:color w:val="244060"/>
          <w:spacing w:val="62"/>
        </w:rPr>
        <w:t> </w:t>
      </w:r>
      <w:r>
        <w:rPr>
          <w:color w:val="244060"/>
        </w:rPr>
        <w:t>of</w:t>
      </w:r>
      <w:r>
        <w:rPr>
          <w:color w:val="244060"/>
          <w:spacing w:val="61"/>
        </w:rPr>
        <w:t> </w:t>
      </w:r>
      <w:r>
        <w:rPr>
          <w:color w:val="244060"/>
        </w:rPr>
        <w:t>Companies</w:t>
      </w:r>
      <w:r>
        <w:rPr>
          <w:color w:val="244060"/>
          <w:spacing w:val="62"/>
        </w:rPr>
        <w:t> </w:t>
      </w:r>
      <w:r>
        <w:rPr>
          <w:color w:val="244060"/>
        </w:rPr>
        <w:t>from</w:t>
      </w:r>
      <w:r>
        <w:rPr>
          <w:color w:val="244060"/>
          <w:spacing w:val="61"/>
        </w:rPr>
        <w:t> </w:t>
      </w:r>
      <w:r>
        <w:rPr>
          <w:color w:val="244060"/>
        </w:rPr>
        <w:t>the</w:t>
      </w:r>
      <w:r>
        <w:rPr>
          <w:color w:val="244060"/>
          <w:spacing w:val="61"/>
        </w:rPr>
        <w:t> </w:t>
      </w:r>
      <w:r>
        <w:rPr>
          <w:color w:val="244060"/>
        </w:rPr>
        <w:t>ROC)</w:t>
      </w:r>
    </w:p>
    <w:p>
      <w:pPr>
        <w:spacing w:before="17"/>
        <w:ind w:left="762" w:right="0" w:firstLine="0"/>
        <w:jc w:val="left"/>
        <w:rPr>
          <w:rFonts w:ascii="Arial"/>
          <w:b/>
          <w:sz w:val="32"/>
        </w:rPr>
      </w:pPr>
      <w:r>
        <w:rPr/>
        <w:pict>
          <v:group style="position:absolute;margin-left:.000008pt;margin-top:28.617626pt;width:238.45pt;height:585.5pt;mso-position-horizontal-relative:page;mso-position-vertical-relative:paragraph;z-index:-16100864" coordorigin="0,572" coordsize="4769,11710">
            <v:shape style="position:absolute;left:0;top:572;width:4769;height:11710" type="#_x0000_t75" stroked="false">
              <v:imagedata r:id="rId10" o:title=""/>
            </v:shape>
            <v:shape style="position:absolute;left:0;top:1188;width:1798;height:6612" type="#_x0000_t75" stroked="false">
              <v:imagedata r:id="rId11" o:title=""/>
            </v:shape>
            <w10:wrap type="none"/>
          </v:group>
        </w:pict>
      </w:r>
      <w:r>
        <w:rPr>
          <w:rFonts w:ascii="Arial"/>
          <w:b/>
          <w:color w:val="244060"/>
          <w:spacing w:val="-1"/>
          <w:sz w:val="32"/>
        </w:rPr>
        <w:t>Second</w:t>
      </w:r>
      <w:r>
        <w:rPr>
          <w:rFonts w:ascii="Arial"/>
          <w:b/>
          <w:color w:val="244060"/>
          <w:spacing w:val="-21"/>
          <w:sz w:val="32"/>
        </w:rPr>
        <w:t> </w:t>
      </w:r>
      <w:r>
        <w:rPr>
          <w:rFonts w:ascii="Arial"/>
          <w:b/>
          <w:color w:val="244060"/>
          <w:spacing w:val="-1"/>
          <w:sz w:val="32"/>
        </w:rPr>
        <w:t>Amendment</w:t>
      </w:r>
      <w:r>
        <w:rPr>
          <w:rFonts w:ascii="Arial"/>
          <w:b/>
          <w:color w:val="244060"/>
          <w:spacing w:val="2"/>
          <w:sz w:val="32"/>
        </w:rPr>
        <w:t> </w:t>
      </w:r>
      <w:r>
        <w:rPr>
          <w:rFonts w:ascii="Arial"/>
          <w:b/>
          <w:color w:val="244060"/>
          <w:sz w:val="32"/>
        </w:rPr>
        <w:t>Rules,2022.</w:t>
      </w:r>
    </w:p>
    <w:p>
      <w:pPr>
        <w:pStyle w:val="BodyText"/>
        <w:rPr>
          <w:rFonts w:ascii="Arial"/>
          <w:b/>
          <w:sz w:val="38"/>
        </w:rPr>
      </w:pPr>
    </w:p>
    <w:p>
      <w:pPr>
        <w:pStyle w:val="ListParagraph"/>
        <w:numPr>
          <w:ilvl w:val="0"/>
          <w:numId w:val="4"/>
        </w:numPr>
        <w:tabs>
          <w:tab w:pos="762" w:val="left" w:leader="none"/>
          <w:tab w:pos="763" w:val="left" w:leader="none"/>
        </w:tabs>
        <w:spacing w:line="249" w:lineRule="auto" w:before="1" w:after="0"/>
        <w:ind w:left="762" w:right="277" w:hanging="541"/>
        <w:jc w:val="left"/>
        <w:rPr>
          <w:color w:val="244060"/>
          <w:sz w:val="28"/>
        </w:rPr>
      </w:pPr>
      <w:r>
        <w:rPr>
          <w:color w:val="244060"/>
          <w:sz w:val="28"/>
        </w:rPr>
        <w:t>MCA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has</w:t>
      </w:r>
      <w:r>
        <w:rPr>
          <w:color w:val="244060"/>
          <w:spacing w:val="9"/>
          <w:sz w:val="28"/>
        </w:rPr>
        <w:t> </w:t>
      </w:r>
      <w:r>
        <w:rPr>
          <w:color w:val="244060"/>
          <w:sz w:val="28"/>
        </w:rPr>
        <w:t>made</w:t>
      </w:r>
      <w:r>
        <w:rPr>
          <w:color w:val="244060"/>
          <w:spacing w:val="9"/>
          <w:sz w:val="28"/>
        </w:rPr>
        <w:t> </w:t>
      </w:r>
      <w:r>
        <w:rPr>
          <w:color w:val="244060"/>
          <w:sz w:val="28"/>
        </w:rPr>
        <w:t>addition</w:t>
      </w:r>
      <w:r>
        <w:rPr>
          <w:color w:val="244060"/>
          <w:spacing w:val="9"/>
          <w:sz w:val="28"/>
        </w:rPr>
        <w:t> </w:t>
      </w:r>
      <w:r>
        <w:rPr>
          <w:color w:val="244060"/>
          <w:sz w:val="28"/>
        </w:rPr>
        <w:t>in</w:t>
      </w:r>
      <w:r>
        <w:rPr>
          <w:color w:val="244060"/>
          <w:spacing w:val="8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9"/>
          <w:sz w:val="28"/>
        </w:rPr>
        <w:t> </w:t>
      </w:r>
      <w:r>
        <w:rPr>
          <w:color w:val="244060"/>
          <w:sz w:val="28"/>
        </w:rPr>
        <w:t>Form</w:t>
      </w:r>
      <w:r>
        <w:rPr>
          <w:color w:val="244060"/>
          <w:spacing w:val="8"/>
          <w:sz w:val="28"/>
        </w:rPr>
        <w:t> </w:t>
      </w:r>
      <w:r>
        <w:rPr>
          <w:color w:val="244060"/>
          <w:sz w:val="28"/>
        </w:rPr>
        <w:t>STK</w:t>
      </w:r>
      <w:r>
        <w:rPr>
          <w:color w:val="244060"/>
          <w:spacing w:val="8"/>
          <w:sz w:val="28"/>
        </w:rPr>
        <w:t> </w:t>
      </w:r>
      <w:r>
        <w:rPr>
          <w:color w:val="244060"/>
          <w:sz w:val="28"/>
        </w:rPr>
        <w:t>1,</w:t>
      </w:r>
      <w:r>
        <w:rPr>
          <w:color w:val="244060"/>
          <w:spacing w:val="10"/>
          <w:sz w:val="28"/>
        </w:rPr>
        <w:t> </w:t>
      </w:r>
      <w:r>
        <w:rPr>
          <w:color w:val="244060"/>
          <w:sz w:val="28"/>
        </w:rPr>
        <w:t>Form</w:t>
      </w:r>
      <w:r>
        <w:rPr>
          <w:color w:val="244060"/>
          <w:spacing w:val="10"/>
          <w:sz w:val="28"/>
        </w:rPr>
        <w:t> </w:t>
      </w:r>
      <w:r>
        <w:rPr>
          <w:color w:val="244060"/>
          <w:sz w:val="28"/>
        </w:rPr>
        <w:t>STK</w:t>
      </w:r>
      <w:r>
        <w:rPr>
          <w:color w:val="244060"/>
          <w:spacing w:val="8"/>
          <w:sz w:val="28"/>
        </w:rPr>
        <w:t> </w:t>
      </w:r>
      <w:r>
        <w:rPr>
          <w:color w:val="244060"/>
          <w:sz w:val="28"/>
        </w:rPr>
        <w:t>5</w:t>
      </w:r>
      <w:r>
        <w:rPr>
          <w:color w:val="244060"/>
          <w:spacing w:val="11"/>
          <w:sz w:val="28"/>
        </w:rPr>
        <w:t> </w:t>
      </w:r>
      <w:r>
        <w:rPr>
          <w:color w:val="244060"/>
          <w:sz w:val="28"/>
        </w:rPr>
        <w:t>&amp;</w:t>
      </w:r>
      <w:r>
        <w:rPr>
          <w:color w:val="244060"/>
          <w:spacing w:val="9"/>
          <w:sz w:val="28"/>
        </w:rPr>
        <w:t> </w:t>
      </w:r>
      <w:r>
        <w:rPr>
          <w:color w:val="244060"/>
          <w:sz w:val="28"/>
        </w:rPr>
        <w:t>Form</w:t>
      </w:r>
      <w:r>
        <w:rPr>
          <w:color w:val="244060"/>
          <w:spacing w:val="9"/>
          <w:sz w:val="28"/>
        </w:rPr>
        <w:t> </w:t>
      </w:r>
      <w:r>
        <w:rPr>
          <w:color w:val="244060"/>
          <w:sz w:val="28"/>
        </w:rPr>
        <w:t>STK</w:t>
      </w:r>
      <w:r>
        <w:rPr>
          <w:color w:val="244060"/>
          <w:spacing w:val="9"/>
          <w:sz w:val="28"/>
        </w:rPr>
        <w:t> </w:t>
      </w:r>
      <w:r>
        <w:rPr>
          <w:color w:val="244060"/>
          <w:sz w:val="28"/>
        </w:rPr>
        <w:t>5A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with</w:t>
      </w:r>
      <w:r>
        <w:rPr>
          <w:color w:val="244060"/>
          <w:spacing w:val="-75"/>
          <w:sz w:val="28"/>
        </w:rPr>
        <w:t> </w:t>
      </w:r>
      <w:r>
        <w:rPr>
          <w:color w:val="244060"/>
          <w:sz w:val="28"/>
        </w:rPr>
        <w:t>following:</w:t>
      </w:r>
    </w:p>
    <w:p>
      <w:pPr>
        <w:pStyle w:val="ListParagraph"/>
        <w:numPr>
          <w:ilvl w:val="0"/>
          <w:numId w:val="4"/>
        </w:numPr>
        <w:tabs>
          <w:tab w:pos="762" w:val="left" w:leader="none"/>
          <w:tab w:pos="763" w:val="left" w:leader="none"/>
        </w:tabs>
        <w:spacing w:line="249" w:lineRule="auto" w:before="21" w:after="0"/>
        <w:ind w:left="762" w:right="277" w:hanging="541"/>
        <w:jc w:val="left"/>
        <w:rPr>
          <w:color w:val="244060"/>
          <w:sz w:val="28"/>
        </w:rPr>
      </w:pPr>
      <w:r>
        <w:rPr>
          <w:color w:val="244060"/>
          <w:sz w:val="28"/>
        </w:rPr>
        <w:t>The</w:t>
      </w:r>
      <w:r>
        <w:rPr>
          <w:color w:val="244060"/>
          <w:spacing w:val="-1"/>
          <w:sz w:val="28"/>
        </w:rPr>
        <w:t> </w:t>
      </w:r>
      <w:r>
        <w:rPr>
          <w:color w:val="244060"/>
          <w:sz w:val="28"/>
        </w:rPr>
        <w:t>Company is</w:t>
      </w:r>
      <w:r>
        <w:rPr>
          <w:color w:val="244060"/>
          <w:spacing w:val="2"/>
          <w:sz w:val="28"/>
        </w:rPr>
        <w:t> </w:t>
      </w:r>
      <w:r>
        <w:rPr>
          <w:color w:val="244060"/>
          <w:sz w:val="28"/>
        </w:rPr>
        <w:t>not carrying on</w:t>
      </w:r>
      <w:r>
        <w:rPr>
          <w:color w:val="244060"/>
          <w:spacing w:val="-1"/>
          <w:sz w:val="28"/>
        </w:rPr>
        <w:t> </w:t>
      </w:r>
      <w:r>
        <w:rPr>
          <w:color w:val="244060"/>
          <w:sz w:val="28"/>
        </w:rPr>
        <w:t>any</w:t>
      </w:r>
      <w:r>
        <w:rPr>
          <w:color w:val="244060"/>
          <w:spacing w:val="-1"/>
          <w:sz w:val="28"/>
        </w:rPr>
        <w:t> </w:t>
      </w:r>
      <w:r>
        <w:rPr>
          <w:color w:val="244060"/>
          <w:sz w:val="28"/>
        </w:rPr>
        <w:t>business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or operations,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revealed</w:t>
      </w:r>
      <w:r>
        <w:rPr>
          <w:color w:val="244060"/>
          <w:spacing w:val="-1"/>
          <w:sz w:val="28"/>
        </w:rPr>
        <w:t> </w:t>
      </w:r>
      <w:r>
        <w:rPr>
          <w:color w:val="244060"/>
          <w:sz w:val="28"/>
        </w:rPr>
        <w:t>after the</w:t>
      </w:r>
      <w:r>
        <w:rPr>
          <w:color w:val="244060"/>
          <w:spacing w:val="-75"/>
          <w:sz w:val="28"/>
        </w:rPr>
        <w:t> </w:t>
      </w:r>
      <w:r>
        <w:rPr>
          <w:color w:val="244060"/>
          <w:sz w:val="28"/>
        </w:rPr>
        <w:t>physical</w:t>
      </w:r>
      <w:r>
        <w:rPr>
          <w:color w:val="244060"/>
          <w:spacing w:val="-12"/>
          <w:sz w:val="28"/>
        </w:rPr>
        <w:t> </w:t>
      </w:r>
      <w:r>
        <w:rPr>
          <w:color w:val="244060"/>
          <w:sz w:val="28"/>
        </w:rPr>
        <w:t>verification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carried</w:t>
      </w:r>
      <w:r>
        <w:rPr>
          <w:color w:val="244060"/>
          <w:spacing w:val="-12"/>
          <w:sz w:val="28"/>
        </w:rPr>
        <w:t> </w:t>
      </w:r>
      <w:r>
        <w:rPr>
          <w:color w:val="244060"/>
          <w:sz w:val="28"/>
        </w:rPr>
        <w:t>out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under</w:t>
      </w:r>
      <w:r>
        <w:rPr>
          <w:color w:val="244060"/>
          <w:spacing w:val="-13"/>
          <w:sz w:val="28"/>
        </w:rPr>
        <w:t> </w:t>
      </w:r>
      <w:r>
        <w:rPr>
          <w:color w:val="244060"/>
          <w:sz w:val="28"/>
        </w:rPr>
        <w:t>sub-section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(9)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section</w:t>
      </w:r>
      <w:r>
        <w:rPr>
          <w:color w:val="244060"/>
          <w:spacing w:val="-13"/>
          <w:sz w:val="28"/>
        </w:rPr>
        <w:t> </w:t>
      </w:r>
      <w:r>
        <w:rPr>
          <w:color w:val="244060"/>
          <w:sz w:val="28"/>
        </w:rPr>
        <w:t>12.</w:t>
      </w:r>
    </w:p>
    <w:p>
      <w:pPr>
        <w:pStyle w:val="ListParagraph"/>
        <w:numPr>
          <w:ilvl w:val="0"/>
          <w:numId w:val="4"/>
        </w:numPr>
        <w:tabs>
          <w:tab w:pos="762" w:val="left" w:leader="none"/>
          <w:tab w:pos="763" w:val="left" w:leader="none"/>
        </w:tabs>
        <w:spacing w:line="240" w:lineRule="auto" w:before="24" w:after="0"/>
        <w:ind w:left="762" w:right="0" w:hanging="541"/>
        <w:jc w:val="left"/>
        <w:rPr>
          <w:color w:val="394557"/>
          <w:sz w:val="28"/>
        </w:rPr>
      </w:pPr>
      <w:hyperlink r:id="rId16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9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1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9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43"/>
        </w:rPr>
      </w:pPr>
    </w:p>
    <w:p>
      <w:pPr>
        <w:pStyle w:val="Heading2"/>
        <w:numPr>
          <w:ilvl w:val="0"/>
          <w:numId w:val="3"/>
        </w:numPr>
        <w:tabs>
          <w:tab w:pos="762" w:val="left" w:leader="none"/>
          <w:tab w:pos="763" w:val="left" w:leader="none"/>
        </w:tabs>
        <w:spacing w:line="240" w:lineRule="auto" w:before="0" w:after="0"/>
        <w:ind w:left="762" w:right="0" w:hanging="541"/>
        <w:jc w:val="left"/>
        <w:rPr>
          <w:color w:val="244060"/>
        </w:rPr>
      </w:pPr>
      <w:r>
        <w:rPr>
          <w:color w:val="244060"/>
          <w:spacing w:val="-1"/>
        </w:rPr>
        <w:t>Companies</w:t>
      </w:r>
      <w:r>
        <w:rPr>
          <w:color w:val="244060"/>
          <w:spacing w:val="-12"/>
        </w:rPr>
        <w:t> </w:t>
      </w:r>
      <w:r>
        <w:rPr>
          <w:color w:val="244060"/>
        </w:rPr>
        <w:t>(Accounts)</w:t>
      </w:r>
      <w:r>
        <w:rPr>
          <w:color w:val="244060"/>
          <w:spacing w:val="-2"/>
        </w:rPr>
        <w:t> </w:t>
      </w:r>
      <w:r>
        <w:rPr>
          <w:color w:val="244060"/>
        </w:rPr>
        <w:t>Fourth</w:t>
      </w:r>
      <w:r>
        <w:rPr>
          <w:color w:val="244060"/>
          <w:spacing w:val="-22"/>
        </w:rPr>
        <w:t> </w:t>
      </w:r>
      <w:r>
        <w:rPr>
          <w:color w:val="244060"/>
        </w:rPr>
        <w:t>Amendment</w:t>
      </w:r>
      <w:r>
        <w:rPr>
          <w:color w:val="244060"/>
          <w:spacing w:val="-3"/>
        </w:rPr>
        <w:t> </w:t>
      </w:r>
      <w:r>
        <w:rPr>
          <w:color w:val="244060"/>
        </w:rPr>
        <w:t>Rules,</w:t>
      </w:r>
      <w:r>
        <w:rPr>
          <w:color w:val="244060"/>
          <w:spacing w:val="-10"/>
        </w:rPr>
        <w:t> </w:t>
      </w:r>
      <w:r>
        <w:rPr>
          <w:color w:val="244060"/>
        </w:rPr>
        <w:t>2022.</w:t>
      </w:r>
    </w:p>
    <w:p>
      <w:pPr>
        <w:pStyle w:val="BodyText"/>
        <w:spacing w:before="1"/>
        <w:rPr>
          <w:rFonts w:ascii="Arial"/>
          <w:b/>
          <w:sz w:val="38"/>
        </w:rPr>
      </w:pP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0" w:lineRule="auto" w:before="0" w:after="0"/>
        <w:ind w:left="671" w:right="0" w:hanging="450"/>
        <w:jc w:val="both"/>
        <w:rPr>
          <w:color w:val="244060"/>
          <w:sz w:val="28"/>
        </w:rPr>
      </w:pPr>
      <w:r>
        <w:rPr>
          <w:color w:val="244060"/>
          <w:sz w:val="28"/>
        </w:rPr>
        <w:t>Central</w:t>
      </w:r>
      <w:r>
        <w:rPr>
          <w:color w:val="244060"/>
          <w:spacing w:val="-7"/>
          <w:sz w:val="28"/>
        </w:rPr>
        <w:t> </w:t>
      </w:r>
      <w:r>
        <w:rPr>
          <w:color w:val="244060"/>
          <w:sz w:val="28"/>
        </w:rPr>
        <w:t>Government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has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made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amendment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as</w:t>
      </w:r>
      <w:r>
        <w:rPr>
          <w:color w:val="244060"/>
          <w:spacing w:val="-3"/>
          <w:sz w:val="28"/>
        </w:rPr>
        <w:t> </w:t>
      </w:r>
      <w:r>
        <w:rPr>
          <w:color w:val="244060"/>
          <w:sz w:val="28"/>
        </w:rPr>
        <w:t>follows</w:t>
      </w:r>
      <w:r>
        <w:rPr>
          <w:color w:val="244060"/>
          <w:spacing w:val="-3"/>
          <w:sz w:val="28"/>
        </w:rPr>
        <w:t> </w:t>
      </w:r>
      <w:r>
        <w:rPr>
          <w:color w:val="244060"/>
          <w:sz w:val="28"/>
        </w:rPr>
        <w:t>: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9" w:lineRule="auto" w:before="36" w:after="0"/>
        <w:ind w:left="671" w:right="279" w:hanging="450"/>
        <w:jc w:val="both"/>
        <w:rPr>
          <w:color w:val="244060"/>
          <w:sz w:val="28"/>
        </w:rPr>
      </w:pPr>
      <w:r>
        <w:rPr>
          <w:color w:val="244060"/>
          <w:sz w:val="28"/>
        </w:rPr>
        <w:t>The books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accounts and other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relevant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papers</w:t>
      </w:r>
      <w:r>
        <w:rPr>
          <w:color w:val="244060"/>
          <w:spacing w:val="77"/>
          <w:sz w:val="28"/>
        </w:rPr>
        <w:t> </w:t>
      </w:r>
      <w:r>
        <w:rPr>
          <w:color w:val="244060"/>
          <w:sz w:val="28"/>
        </w:rPr>
        <w:t>maintained in electronic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mode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shall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remain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“accessible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in</w:t>
      </w:r>
      <w:r>
        <w:rPr>
          <w:color w:val="244060"/>
          <w:spacing w:val="-2"/>
          <w:sz w:val="28"/>
        </w:rPr>
        <w:t> </w:t>
      </w:r>
      <w:r>
        <w:rPr>
          <w:color w:val="244060"/>
          <w:sz w:val="28"/>
        </w:rPr>
        <w:t>India,</w:t>
      </w:r>
      <w:r>
        <w:rPr>
          <w:color w:val="244060"/>
          <w:spacing w:val="-7"/>
          <w:sz w:val="28"/>
        </w:rPr>
        <w:t> </w:t>
      </w:r>
      <w:r>
        <w:rPr>
          <w:color w:val="244060"/>
          <w:sz w:val="28"/>
        </w:rPr>
        <w:t>at all</w:t>
      </w:r>
      <w:r>
        <w:rPr>
          <w:color w:val="244060"/>
          <w:spacing w:val="-1"/>
          <w:sz w:val="28"/>
        </w:rPr>
        <w:t> </w:t>
      </w:r>
      <w:r>
        <w:rPr>
          <w:color w:val="244060"/>
          <w:sz w:val="28"/>
        </w:rPr>
        <w:t>times”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9" w:lineRule="auto" w:before="22" w:after="0"/>
        <w:ind w:left="671" w:right="276" w:hanging="450"/>
        <w:jc w:val="both"/>
        <w:rPr>
          <w:color w:val="244060"/>
          <w:sz w:val="28"/>
        </w:rPr>
      </w:pPr>
      <w:r>
        <w:rPr>
          <w:color w:val="244060"/>
          <w:sz w:val="28"/>
        </w:rPr>
        <w:t>Backup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books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accounts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and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papers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maintained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in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electronic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mode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including places outside India shall be kept in servers physically located in India</w:t>
      </w:r>
      <w:r>
        <w:rPr>
          <w:color w:val="244060"/>
          <w:spacing w:val="-76"/>
          <w:sz w:val="28"/>
        </w:rPr>
        <w:t> </w:t>
      </w:r>
      <w:r>
        <w:rPr>
          <w:color w:val="244060"/>
          <w:sz w:val="28"/>
        </w:rPr>
        <w:t>on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daily</w:t>
      </w:r>
      <w:r>
        <w:rPr>
          <w:color w:val="244060"/>
          <w:spacing w:val="-3"/>
          <w:sz w:val="28"/>
        </w:rPr>
        <w:t> </w:t>
      </w:r>
      <w:r>
        <w:rPr>
          <w:color w:val="244060"/>
          <w:sz w:val="28"/>
        </w:rPr>
        <w:t>basis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0" w:lineRule="auto" w:before="22" w:after="0"/>
        <w:ind w:left="671" w:right="0" w:hanging="450"/>
        <w:jc w:val="both"/>
        <w:rPr>
          <w:color w:val="244060"/>
          <w:sz w:val="28"/>
        </w:rPr>
      </w:pPr>
      <w:hyperlink r:id="rId17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35"/>
        </w:rPr>
      </w:pPr>
    </w:p>
    <w:p>
      <w:pPr>
        <w:pStyle w:val="Heading2"/>
        <w:numPr>
          <w:ilvl w:val="0"/>
          <w:numId w:val="3"/>
        </w:numPr>
        <w:tabs>
          <w:tab w:pos="762" w:val="left" w:leader="none"/>
          <w:tab w:pos="763" w:val="left" w:leader="none"/>
        </w:tabs>
        <w:spacing w:line="240" w:lineRule="auto" w:before="0" w:after="0"/>
        <w:ind w:left="762" w:right="0" w:hanging="541"/>
        <w:jc w:val="left"/>
        <w:rPr>
          <w:color w:val="17375E"/>
        </w:rPr>
      </w:pPr>
      <w:r>
        <w:rPr>
          <w:color w:val="17375E"/>
        </w:rPr>
        <w:t>Physical</w:t>
      </w:r>
      <w:r>
        <w:rPr>
          <w:color w:val="17375E"/>
          <w:spacing w:val="49"/>
        </w:rPr>
        <w:t> </w:t>
      </w:r>
      <w:r>
        <w:rPr>
          <w:color w:val="17375E"/>
        </w:rPr>
        <w:t>Verification</w:t>
      </w:r>
      <w:r>
        <w:rPr>
          <w:color w:val="17375E"/>
          <w:spacing w:val="52"/>
        </w:rPr>
        <w:t> </w:t>
      </w:r>
      <w:r>
        <w:rPr>
          <w:color w:val="17375E"/>
        </w:rPr>
        <w:t>of</w:t>
      </w:r>
      <w:r>
        <w:rPr>
          <w:color w:val="17375E"/>
          <w:spacing w:val="50"/>
        </w:rPr>
        <w:t> </w:t>
      </w:r>
      <w:r>
        <w:rPr>
          <w:color w:val="17375E"/>
        </w:rPr>
        <w:t>the</w:t>
      </w:r>
      <w:r>
        <w:rPr>
          <w:color w:val="17375E"/>
          <w:spacing w:val="52"/>
        </w:rPr>
        <w:t> </w:t>
      </w:r>
      <w:r>
        <w:rPr>
          <w:color w:val="17375E"/>
        </w:rPr>
        <w:t>Registered</w:t>
      </w:r>
      <w:r>
        <w:rPr>
          <w:color w:val="17375E"/>
          <w:spacing w:val="52"/>
        </w:rPr>
        <w:t> </w:t>
      </w:r>
      <w:r>
        <w:rPr>
          <w:color w:val="17375E"/>
        </w:rPr>
        <w:t>Office</w:t>
      </w:r>
      <w:r>
        <w:rPr>
          <w:color w:val="17375E"/>
          <w:spacing w:val="51"/>
        </w:rPr>
        <w:t> </w:t>
      </w:r>
      <w:r>
        <w:rPr>
          <w:color w:val="17375E"/>
        </w:rPr>
        <w:t>of</w:t>
      </w:r>
      <w:r>
        <w:rPr>
          <w:color w:val="17375E"/>
          <w:spacing w:val="53"/>
        </w:rPr>
        <w:t> </w:t>
      </w:r>
      <w:r>
        <w:rPr>
          <w:color w:val="17375E"/>
        </w:rPr>
        <w:t>the</w:t>
      </w:r>
      <w:r>
        <w:rPr>
          <w:color w:val="17375E"/>
          <w:spacing w:val="51"/>
        </w:rPr>
        <w:t> </w:t>
      </w:r>
      <w:r>
        <w:rPr>
          <w:color w:val="17375E"/>
        </w:rPr>
        <w:t>Company</w:t>
      </w:r>
    </w:p>
    <w:p>
      <w:pPr>
        <w:spacing w:before="16"/>
        <w:ind w:left="762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17375E"/>
          <w:sz w:val="32"/>
        </w:rPr>
        <w:t>by</w:t>
      </w:r>
      <w:r>
        <w:rPr>
          <w:rFonts w:ascii="Arial"/>
          <w:b/>
          <w:color w:val="17375E"/>
          <w:spacing w:val="-1"/>
          <w:sz w:val="32"/>
        </w:rPr>
        <w:t> </w:t>
      </w:r>
      <w:r>
        <w:rPr>
          <w:rFonts w:ascii="Arial"/>
          <w:b/>
          <w:color w:val="17375E"/>
          <w:sz w:val="32"/>
        </w:rPr>
        <w:t>ROC.</w:t>
      </w:r>
    </w:p>
    <w:p>
      <w:pPr>
        <w:pStyle w:val="BodyText"/>
        <w:spacing w:before="1"/>
        <w:rPr>
          <w:rFonts w:ascii="Arial"/>
          <w:b/>
          <w:sz w:val="38"/>
        </w:rPr>
      </w:pP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9" w:lineRule="auto" w:before="0" w:after="0"/>
        <w:ind w:left="671" w:right="278" w:hanging="450"/>
        <w:jc w:val="both"/>
        <w:rPr>
          <w:color w:val="17375E"/>
          <w:sz w:val="28"/>
        </w:rPr>
      </w:pPr>
      <w:r>
        <w:rPr>
          <w:color w:val="17375E"/>
          <w:sz w:val="28"/>
        </w:rPr>
        <w:t>The Registrar, based upon the information or documents made available on</w:t>
      </w:r>
      <w:r>
        <w:rPr>
          <w:color w:val="17375E"/>
          <w:spacing w:val="1"/>
          <w:sz w:val="28"/>
        </w:rPr>
        <w:t> </w:t>
      </w:r>
      <w:r>
        <w:rPr>
          <w:color w:val="17375E"/>
          <w:sz w:val="28"/>
        </w:rPr>
        <w:t>MCA 21 shall visit the office of the said company for the purpose of section</w:t>
      </w:r>
      <w:r>
        <w:rPr>
          <w:color w:val="17375E"/>
          <w:spacing w:val="1"/>
          <w:sz w:val="28"/>
        </w:rPr>
        <w:t> </w:t>
      </w:r>
      <w:r>
        <w:rPr>
          <w:color w:val="17375E"/>
          <w:sz w:val="28"/>
        </w:rPr>
        <w:t>12(9).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9" w:lineRule="auto" w:before="23" w:after="0"/>
        <w:ind w:left="671" w:right="279" w:hanging="450"/>
        <w:jc w:val="both"/>
        <w:rPr>
          <w:color w:val="17375E"/>
          <w:sz w:val="28"/>
        </w:rPr>
      </w:pPr>
      <w:r>
        <w:rPr>
          <w:color w:val="17375E"/>
          <w:sz w:val="28"/>
        </w:rPr>
        <w:t>ROC has to prepare physical verification report of the Registered Office of the</w:t>
      </w:r>
      <w:r>
        <w:rPr>
          <w:color w:val="17375E"/>
          <w:spacing w:val="1"/>
          <w:sz w:val="28"/>
        </w:rPr>
        <w:t> </w:t>
      </w:r>
      <w:r>
        <w:rPr>
          <w:color w:val="17375E"/>
          <w:sz w:val="28"/>
        </w:rPr>
        <w:t>company</w:t>
      </w:r>
      <w:r>
        <w:rPr>
          <w:color w:val="17375E"/>
          <w:spacing w:val="-8"/>
          <w:sz w:val="28"/>
        </w:rPr>
        <w:t> </w:t>
      </w:r>
      <w:r>
        <w:rPr>
          <w:color w:val="17375E"/>
          <w:sz w:val="28"/>
        </w:rPr>
        <w:t>in</w:t>
      </w:r>
      <w:r>
        <w:rPr>
          <w:color w:val="17375E"/>
          <w:spacing w:val="-2"/>
          <w:sz w:val="28"/>
        </w:rPr>
        <w:t> </w:t>
      </w:r>
      <w:r>
        <w:rPr>
          <w:color w:val="17375E"/>
          <w:sz w:val="28"/>
        </w:rPr>
        <w:t>the</w:t>
      </w:r>
      <w:r>
        <w:rPr>
          <w:color w:val="17375E"/>
          <w:spacing w:val="-4"/>
          <w:sz w:val="28"/>
        </w:rPr>
        <w:t> </w:t>
      </w:r>
      <w:r>
        <w:rPr>
          <w:color w:val="17375E"/>
          <w:sz w:val="28"/>
        </w:rPr>
        <w:t>given</w:t>
      </w:r>
      <w:r>
        <w:rPr>
          <w:color w:val="17375E"/>
          <w:spacing w:val="-2"/>
          <w:sz w:val="28"/>
        </w:rPr>
        <w:t> </w:t>
      </w:r>
      <w:r>
        <w:rPr>
          <w:color w:val="17375E"/>
          <w:sz w:val="28"/>
        </w:rPr>
        <w:t>format.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0" w:lineRule="auto" w:before="24" w:after="0"/>
        <w:ind w:left="671" w:right="0" w:hanging="450"/>
        <w:jc w:val="both"/>
        <w:rPr>
          <w:color w:val="0F243E"/>
          <w:sz w:val="28"/>
        </w:rPr>
      </w:pPr>
      <w:hyperlink r:id="rId18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7525" w:val="left" w:leader="none"/>
        </w:tabs>
      </w:pPr>
      <w:r>
        <w:rPr>
          <w:color w:val="EBCF6A"/>
          <w:spacing w:val="11"/>
        </w:rPr>
        <w:t>AUG</w:t>
      </w:r>
      <w:r>
        <w:rPr>
          <w:color w:val="EBCF6A"/>
          <w:spacing w:val="54"/>
        </w:rPr>
        <w:t> </w:t>
      </w:r>
      <w:r>
        <w:rPr>
          <w:color w:val="EBCF6A"/>
          <w:spacing w:val="16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3"/>
        </w:rPr>
        <w:t> </w:t>
      </w:r>
      <w:r>
        <w:rPr>
          <w:color w:val="EBCF6A"/>
          <w:spacing w:val="-16"/>
        </w:rPr>
        <w:t>UPDATE</w:t>
      </w:r>
    </w:p>
    <w:p>
      <w:pPr>
        <w:spacing w:after="0"/>
        <w:sectPr>
          <w:pgSz w:w="10800" w:h="19200"/>
          <w:pgMar w:top="56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98304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79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3225;width:10800;height:15972" coordorigin="0,3226" coordsize="10800,15972" path="m10764,3226l5261,3226,5261,3986,10764,3986,10764,3226xm10799,18790l0,18790,0,19198,10799,19198,10799,18790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808;top:2392;width:4020;height:2506" type="#_x0000_t75" stroked="false">
              <v:imagedata r:id="rId15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63.059998pt;margin-top:12.079961pt;width:275.150pt;height:38.2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14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Heading2"/>
        <w:numPr>
          <w:ilvl w:val="0"/>
          <w:numId w:val="3"/>
        </w:numPr>
        <w:tabs>
          <w:tab w:pos="698" w:val="left" w:leader="none"/>
        </w:tabs>
        <w:spacing w:line="261" w:lineRule="auto" w:before="89" w:after="0"/>
        <w:ind w:left="666" w:right="1571" w:hanging="445"/>
        <w:jc w:val="left"/>
        <w:rPr>
          <w:color w:val="244060"/>
        </w:rPr>
      </w:pPr>
      <w:r>
        <w:rPr/>
        <w:drawing>
          <wp:anchor distT="0" distB="0" distL="0" distR="0" allowOverlap="1" layoutInCell="1" locked="0" behindDoc="1" simplePos="0" relativeHeight="487217152">
            <wp:simplePos x="0" y="0"/>
            <wp:positionH relativeFrom="page">
              <wp:posOffset>4724400</wp:posOffset>
            </wp:positionH>
            <wp:positionV relativeFrom="paragraph">
              <wp:posOffset>-1630503</wp:posOffset>
            </wp:positionV>
            <wp:extent cx="2115311" cy="5004561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10.93363pt;width:238.45pt;height:585.5pt;mso-position-horizontal-relative:page;mso-position-vertical-relative:paragraph;z-index:-16098816" coordorigin="0,219" coordsize="4769,11710">
            <v:shape style="position:absolute;left:0;top:218;width:4769;height:11710" type="#_x0000_t75" stroked="false">
              <v:imagedata r:id="rId10" o:title=""/>
            </v:shape>
            <v:shape style="position:absolute;left:0;top:835;width:1798;height:6612" type="#_x0000_t75" stroked="false">
              <v:imagedata r:id="rId11" o:title=""/>
            </v:shape>
            <w10:wrap type="none"/>
          </v:group>
        </w:pict>
      </w:r>
      <w:r>
        <w:rPr>
          <w:color w:val="244060"/>
        </w:rPr>
        <w:t>Companies</w:t>
      </w:r>
      <w:r>
        <w:rPr>
          <w:color w:val="244060"/>
          <w:spacing w:val="-16"/>
        </w:rPr>
        <w:t> </w:t>
      </w:r>
      <w:r>
        <w:rPr>
          <w:color w:val="244060"/>
        </w:rPr>
        <w:t>(Appointment</w:t>
      </w:r>
      <w:r>
        <w:rPr>
          <w:color w:val="244060"/>
          <w:spacing w:val="-1"/>
        </w:rPr>
        <w:t> </w:t>
      </w:r>
      <w:r>
        <w:rPr>
          <w:color w:val="244060"/>
        </w:rPr>
        <w:t>and</w:t>
      </w:r>
      <w:r>
        <w:rPr>
          <w:color w:val="244060"/>
          <w:spacing w:val="-13"/>
        </w:rPr>
        <w:t> </w:t>
      </w:r>
      <w:r>
        <w:rPr>
          <w:color w:val="244060"/>
        </w:rPr>
        <w:t>Qualification</w:t>
      </w:r>
      <w:r>
        <w:rPr>
          <w:color w:val="244060"/>
          <w:spacing w:val="-10"/>
        </w:rPr>
        <w:t> </w:t>
      </w:r>
      <w:r>
        <w:rPr>
          <w:color w:val="244060"/>
        </w:rPr>
        <w:t>of</w:t>
      </w:r>
      <w:r>
        <w:rPr>
          <w:color w:val="244060"/>
          <w:spacing w:val="-7"/>
        </w:rPr>
        <w:t> </w:t>
      </w:r>
      <w:r>
        <w:rPr>
          <w:color w:val="244060"/>
        </w:rPr>
        <w:t>Directors)</w:t>
      </w:r>
      <w:r>
        <w:rPr>
          <w:color w:val="244060"/>
          <w:spacing w:val="-86"/>
        </w:rPr>
        <w:t> </w:t>
      </w:r>
      <w:r>
        <w:rPr>
          <w:color w:val="244060"/>
        </w:rPr>
        <w:t>Third</w:t>
      </w:r>
      <w:r>
        <w:rPr>
          <w:color w:val="244060"/>
          <w:spacing w:val="-14"/>
        </w:rPr>
        <w:t> </w:t>
      </w:r>
      <w:r>
        <w:rPr>
          <w:color w:val="244060"/>
        </w:rPr>
        <w:t>Amendment</w:t>
      </w:r>
      <w:r>
        <w:rPr>
          <w:color w:val="244060"/>
          <w:spacing w:val="5"/>
        </w:rPr>
        <w:t> </w:t>
      </w:r>
      <w:r>
        <w:rPr>
          <w:color w:val="244060"/>
        </w:rPr>
        <w:t>Rules,</w:t>
      </w:r>
      <w:r>
        <w:rPr>
          <w:color w:val="244060"/>
          <w:spacing w:val="-3"/>
        </w:rPr>
        <w:t> </w:t>
      </w:r>
      <w:r>
        <w:rPr>
          <w:color w:val="244060"/>
        </w:rPr>
        <w:t>2022.</w:t>
      </w:r>
    </w:p>
    <w:p>
      <w:pPr>
        <w:pStyle w:val="BodyText"/>
        <w:spacing w:before="1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9" w:lineRule="auto" w:before="0" w:after="0"/>
        <w:ind w:left="671" w:right="277" w:hanging="450"/>
        <w:jc w:val="both"/>
        <w:rPr>
          <w:color w:val="244060"/>
          <w:sz w:val="28"/>
        </w:rPr>
      </w:pPr>
      <w:r>
        <w:rPr>
          <w:color w:val="244060"/>
          <w:sz w:val="28"/>
        </w:rPr>
        <w:t>MCA has introduced web based e-forms for existing e-form DIR-3-KYC and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web-form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DIR-3-KYC-WEB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0" w:lineRule="auto" w:before="25" w:after="0"/>
        <w:ind w:left="671" w:right="0" w:hanging="450"/>
        <w:jc w:val="both"/>
        <w:rPr>
          <w:color w:val="244060"/>
          <w:sz w:val="32"/>
        </w:rPr>
      </w:pPr>
      <w:hyperlink r:id="rId19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rPr>
          <w:sz w:val="36"/>
        </w:rPr>
      </w:pPr>
    </w:p>
    <w:p>
      <w:pPr>
        <w:pStyle w:val="BodyText"/>
        <w:spacing w:before="4"/>
        <w:rPr>
          <w:sz w:val="37"/>
        </w:rPr>
      </w:pPr>
    </w:p>
    <w:p>
      <w:pPr>
        <w:pStyle w:val="Heading2"/>
        <w:numPr>
          <w:ilvl w:val="0"/>
          <w:numId w:val="3"/>
        </w:numPr>
        <w:tabs>
          <w:tab w:pos="667" w:val="left" w:leader="none"/>
        </w:tabs>
        <w:spacing w:line="240" w:lineRule="auto" w:before="0" w:after="0"/>
        <w:ind w:left="666" w:right="0" w:hanging="445"/>
        <w:jc w:val="left"/>
        <w:rPr>
          <w:color w:val="244060"/>
        </w:rPr>
      </w:pPr>
      <w:r>
        <w:rPr>
          <w:color w:val="244060"/>
          <w:spacing w:val="-1"/>
        </w:rPr>
        <w:t>Companies</w:t>
      </w:r>
      <w:r>
        <w:rPr>
          <w:color w:val="244060"/>
          <w:spacing w:val="-9"/>
        </w:rPr>
        <w:t> </w:t>
      </w:r>
      <w:r>
        <w:rPr>
          <w:color w:val="244060"/>
          <w:spacing w:val="-1"/>
        </w:rPr>
        <w:t>(Registration</w:t>
      </w:r>
      <w:r>
        <w:rPr>
          <w:color w:val="244060"/>
          <w:spacing w:val="-9"/>
        </w:rPr>
        <w:t> </w:t>
      </w:r>
      <w:r>
        <w:rPr>
          <w:color w:val="244060"/>
        </w:rPr>
        <w:t>of</w:t>
      </w:r>
      <w:r>
        <w:rPr>
          <w:color w:val="244060"/>
          <w:spacing w:val="-1"/>
        </w:rPr>
        <w:t> </w:t>
      </w:r>
      <w:r>
        <w:rPr>
          <w:color w:val="244060"/>
        </w:rPr>
        <w:t>Charges)</w:t>
      </w:r>
      <w:r>
        <w:rPr>
          <w:color w:val="244060"/>
          <w:spacing w:val="-10"/>
        </w:rPr>
        <w:t> </w:t>
      </w:r>
      <w:r>
        <w:rPr>
          <w:color w:val="244060"/>
        </w:rPr>
        <w:t>Second</w:t>
      </w:r>
      <w:r>
        <w:rPr>
          <w:color w:val="244060"/>
          <w:spacing w:val="-22"/>
        </w:rPr>
        <w:t> </w:t>
      </w:r>
      <w:r>
        <w:rPr>
          <w:color w:val="244060"/>
        </w:rPr>
        <w:t>Amendment</w:t>
      </w:r>
      <w:r>
        <w:rPr>
          <w:color w:val="244060"/>
          <w:spacing w:val="5"/>
        </w:rPr>
        <w:t> </w:t>
      </w:r>
      <w:r>
        <w:rPr>
          <w:color w:val="244060"/>
        </w:rPr>
        <w:t>Rules,</w:t>
      </w:r>
    </w:p>
    <w:p>
      <w:pPr>
        <w:spacing w:before="36"/>
        <w:ind w:left="666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244060"/>
          <w:sz w:val="32"/>
        </w:rPr>
        <w:t>2022</w:t>
      </w:r>
    </w:p>
    <w:p>
      <w:pPr>
        <w:pStyle w:val="BodyText"/>
        <w:rPr>
          <w:rFonts w:ascii="Arial"/>
          <w:b/>
          <w:sz w:val="38"/>
        </w:rPr>
      </w:pPr>
    </w:p>
    <w:p>
      <w:pPr>
        <w:pStyle w:val="ListParagraph"/>
        <w:numPr>
          <w:ilvl w:val="0"/>
          <w:numId w:val="4"/>
        </w:numPr>
        <w:tabs>
          <w:tab w:pos="763" w:val="left" w:leader="none"/>
        </w:tabs>
        <w:spacing w:line="249" w:lineRule="auto" w:before="0" w:after="0"/>
        <w:ind w:left="762" w:right="279" w:hanging="541"/>
        <w:jc w:val="both"/>
        <w:rPr>
          <w:color w:val="244060"/>
          <w:sz w:val="28"/>
        </w:rPr>
      </w:pPr>
      <w:r>
        <w:rPr>
          <w:color w:val="244060"/>
          <w:sz w:val="28"/>
        </w:rPr>
        <w:t>The Rule provides that the Form No.CHG-1, CHG-4, CHG-8 and CHG-9 shall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be signed by Insolvency resolution professional or resolution professional or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liquidator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for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companies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under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resolution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or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liquidation,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as</w:t>
      </w:r>
      <w:r>
        <w:rPr>
          <w:color w:val="244060"/>
          <w:spacing w:val="-12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case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may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be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and</w:t>
      </w:r>
      <w:r>
        <w:rPr>
          <w:color w:val="244060"/>
          <w:spacing w:val="-76"/>
          <w:sz w:val="28"/>
        </w:rPr>
        <w:t> </w:t>
      </w:r>
      <w:r>
        <w:rPr>
          <w:color w:val="244060"/>
          <w:sz w:val="28"/>
        </w:rPr>
        <w:t>filed</w:t>
      </w:r>
      <w:r>
        <w:rPr>
          <w:color w:val="244060"/>
          <w:spacing w:val="-12"/>
          <w:sz w:val="28"/>
        </w:rPr>
        <w:t> </w:t>
      </w:r>
      <w:r>
        <w:rPr>
          <w:color w:val="244060"/>
          <w:sz w:val="28"/>
        </w:rPr>
        <w:t>with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Registrar.</w:t>
      </w:r>
    </w:p>
    <w:p>
      <w:pPr>
        <w:pStyle w:val="ListParagraph"/>
        <w:numPr>
          <w:ilvl w:val="0"/>
          <w:numId w:val="4"/>
        </w:numPr>
        <w:tabs>
          <w:tab w:pos="763" w:val="left" w:leader="none"/>
        </w:tabs>
        <w:spacing w:line="240" w:lineRule="auto" w:before="27" w:after="0"/>
        <w:ind w:left="762" w:right="0" w:hanging="541"/>
        <w:jc w:val="both"/>
        <w:rPr>
          <w:color w:val="394557"/>
          <w:sz w:val="28"/>
        </w:rPr>
      </w:pPr>
      <w:hyperlink r:id="rId20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9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1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9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3"/>
        </w:numPr>
        <w:tabs>
          <w:tab w:pos="581" w:val="left" w:leader="none"/>
        </w:tabs>
        <w:spacing w:line="240" w:lineRule="auto" w:before="1" w:after="0"/>
        <w:ind w:left="580" w:right="0" w:hanging="359"/>
        <w:jc w:val="left"/>
        <w:rPr>
          <w:color w:val="17375E"/>
        </w:rPr>
      </w:pPr>
      <w:r>
        <w:rPr>
          <w:color w:val="17375E"/>
        </w:rPr>
        <w:t>Companies</w:t>
      </w:r>
      <w:r>
        <w:rPr>
          <w:color w:val="17375E"/>
          <w:spacing w:val="-3"/>
        </w:rPr>
        <w:t> </w:t>
      </w:r>
      <w:r>
        <w:rPr>
          <w:color w:val="17375E"/>
        </w:rPr>
        <w:t>(Acceptance</w:t>
      </w:r>
      <w:r>
        <w:rPr>
          <w:color w:val="17375E"/>
          <w:spacing w:val="4"/>
        </w:rPr>
        <w:t> </w:t>
      </w:r>
      <w:r>
        <w:rPr>
          <w:color w:val="17375E"/>
        </w:rPr>
        <w:t>of</w:t>
      </w:r>
      <w:r>
        <w:rPr>
          <w:color w:val="17375E"/>
          <w:spacing w:val="-3"/>
        </w:rPr>
        <w:t> </w:t>
      </w:r>
      <w:r>
        <w:rPr>
          <w:color w:val="17375E"/>
        </w:rPr>
        <w:t>Deposits)</w:t>
      </w:r>
      <w:r>
        <w:rPr>
          <w:color w:val="17375E"/>
          <w:spacing w:val="-12"/>
        </w:rPr>
        <w:t> </w:t>
      </w:r>
      <w:r>
        <w:rPr>
          <w:color w:val="17375E"/>
        </w:rPr>
        <w:t>Amendment</w:t>
      </w:r>
      <w:r>
        <w:rPr>
          <w:color w:val="17375E"/>
          <w:spacing w:val="4"/>
        </w:rPr>
        <w:t> </w:t>
      </w:r>
      <w:r>
        <w:rPr>
          <w:color w:val="17375E"/>
        </w:rPr>
        <w:t>Rules,</w:t>
      </w:r>
      <w:r>
        <w:rPr>
          <w:color w:val="17375E"/>
          <w:spacing w:val="-3"/>
        </w:rPr>
        <w:t> </w:t>
      </w:r>
      <w:r>
        <w:rPr>
          <w:color w:val="17375E"/>
        </w:rPr>
        <w:t>2022.</w:t>
      </w:r>
    </w:p>
    <w:p>
      <w:pPr>
        <w:pStyle w:val="BodyText"/>
        <w:rPr>
          <w:rFonts w:ascii="Arial"/>
          <w:b/>
          <w:sz w:val="38"/>
        </w:rPr>
      </w:pP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9" w:lineRule="auto" w:before="1" w:after="0"/>
        <w:ind w:left="671" w:right="277" w:hanging="450"/>
        <w:jc w:val="both"/>
        <w:rPr>
          <w:color w:val="17375E"/>
          <w:sz w:val="28"/>
        </w:rPr>
      </w:pPr>
      <w:r>
        <w:rPr>
          <w:color w:val="17375E"/>
          <w:sz w:val="28"/>
        </w:rPr>
        <w:t>The amended rules require companies to provide detailed disclosures with</w:t>
      </w:r>
      <w:r>
        <w:rPr>
          <w:color w:val="17375E"/>
          <w:spacing w:val="1"/>
          <w:sz w:val="28"/>
        </w:rPr>
        <w:t> </w:t>
      </w:r>
      <w:r>
        <w:rPr>
          <w:color w:val="17375E"/>
          <w:sz w:val="28"/>
        </w:rPr>
        <w:t>respect</w:t>
      </w:r>
      <w:r>
        <w:rPr>
          <w:color w:val="17375E"/>
          <w:spacing w:val="-7"/>
          <w:sz w:val="28"/>
        </w:rPr>
        <w:t> </w:t>
      </w:r>
      <w:r>
        <w:rPr>
          <w:color w:val="17375E"/>
          <w:sz w:val="28"/>
        </w:rPr>
        <w:t>to</w:t>
      </w:r>
      <w:r>
        <w:rPr>
          <w:color w:val="17375E"/>
          <w:spacing w:val="-4"/>
          <w:sz w:val="28"/>
        </w:rPr>
        <w:t> </w:t>
      </w:r>
      <w:r>
        <w:rPr>
          <w:color w:val="17375E"/>
          <w:sz w:val="28"/>
        </w:rPr>
        <w:t>exempted</w:t>
      </w:r>
      <w:r>
        <w:rPr>
          <w:color w:val="17375E"/>
          <w:spacing w:val="-6"/>
          <w:sz w:val="28"/>
        </w:rPr>
        <w:t> </w:t>
      </w:r>
      <w:r>
        <w:rPr>
          <w:color w:val="17375E"/>
          <w:sz w:val="28"/>
        </w:rPr>
        <w:t>deposits</w:t>
      </w:r>
      <w:r>
        <w:rPr>
          <w:color w:val="17375E"/>
          <w:spacing w:val="-7"/>
          <w:sz w:val="28"/>
        </w:rPr>
        <w:t> </w:t>
      </w:r>
      <w:r>
        <w:rPr>
          <w:color w:val="17375E"/>
          <w:sz w:val="28"/>
        </w:rPr>
        <w:t>in</w:t>
      </w:r>
      <w:r>
        <w:rPr>
          <w:color w:val="17375E"/>
          <w:spacing w:val="-2"/>
          <w:sz w:val="28"/>
        </w:rPr>
        <w:t> </w:t>
      </w:r>
      <w:r>
        <w:rPr>
          <w:color w:val="17375E"/>
          <w:sz w:val="28"/>
        </w:rPr>
        <w:t>the</w:t>
      </w:r>
      <w:r>
        <w:rPr>
          <w:color w:val="17375E"/>
          <w:spacing w:val="-3"/>
          <w:sz w:val="28"/>
        </w:rPr>
        <w:t> </w:t>
      </w:r>
      <w:r>
        <w:rPr>
          <w:color w:val="17375E"/>
          <w:sz w:val="28"/>
        </w:rPr>
        <w:t>revised</w:t>
      </w:r>
      <w:r>
        <w:rPr>
          <w:color w:val="17375E"/>
          <w:spacing w:val="-4"/>
          <w:sz w:val="28"/>
        </w:rPr>
        <w:t> </w:t>
      </w:r>
      <w:r>
        <w:rPr>
          <w:color w:val="17375E"/>
          <w:sz w:val="28"/>
        </w:rPr>
        <w:t>forms.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9" w:lineRule="auto" w:before="23" w:after="0"/>
        <w:ind w:left="671" w:right="277" w:hanging="450"/>
        <w:jc w:val="both"/>
        <w:rPr>
          <w:color w:val="17375E"/>
          <w:sz w:val="28"/>
        </w:rPr>
      </w:pPr>
      <w:r>
        <w:rPr>
          <w:color w:val="17375E"/>
          <w:sz w:val="28"/>
        </w:rPr>
        <w:t>The following additional details are required now: opening balance, additional</w:t>
      </w:r>
      <w:r>
        <w:rPr>
          <w:color w:val="17375E"/>
          <w:spacing w:val="1"/>
          <w:sz w:val="28"/>
        </w:rPr>
        <w:t> </w:t>
      </w:r>
      <w:r>
        <w:rPr>
          <w:color w:val="17375E"/>
          <w:sz w:val="28"/>
        </w:rPr>
        <w:t>loan during the year, repayments during the year, any other adjustment, closing</w:t>
      </w:r>
      <w:r>
        <w:rPr>
          <w:color w:val="17375E"/>
          <w:spacing w:val="-75"/>
          <w:sz w:val="28"/>
        </w:rPr>
        <w:t> </w:t>
      </w:r>
      <w:r>
        <w:rPr>
          <w:color w:val="17375E"/>
          <w:sz w:val="28"/>
        </w:rPr>
        <w:t>balance and ageing of the loan outstanding for less than a year or 1 to 3 years</w:t>
      </w:r>
      <w:r>
        <w:rPr>
          <w:color w:val="17375E"/>
          <w:spacing w:val="1"/>
          <w:sz w:val="28"/>
        </w:rPr>
        <w:t> </w:t>
      </w:r>
      <w:r>
        <w:rPr>
          <w:color w:val="17375E"/>
          <w:sz w:val="28"/>
        </w:rPr>
        <w:t>or</w:t>
      </w:r>
      <w:r>
        <w:rPr>
          <w:color w:val="17375E"/>
          <w:spacing w:val="-4"/>
          <w:sz w:val="28"/>
        </w:rPr>
        <w:t> </w:t>
      </w:r>
      <w:r>
        <w:rPr>
          <w:color w:val="17375E"/>
          <w:sz w:val="28"/>
        </w:rPr>
        <w:t>more</w:t>
      </w:r>
      <w:r>
        <w:rPr>
          <w:color w:val="17375E"/>
          <w:spacing w:val="-4"/>
          <w:sz w:val="28"/>
        </w:rPr>
        <w:t> </w:t>
      </w:r>
      <w:r>
        <w:rPr>
          <w:color w:val="17375E"/>
          <w:sz w:val="28"/>
        </w:rPr>
        <w:t>than</w:t>
      </w:r>
      <w:r>
        <w:rPr>
          <w:color w:val="17375E"/>
          <w:spacing w:val="-4"/>
          <w:sz w:val="28"/>
        </w:rPr>
        <w:t> </w:t>
      </w:r>
      <w:r>
        <w:rPr>
          <w:color w:val="17375E"/>
          <w:sz w:val="28"/>
        </w:rPr>
        <w:t>3</w:t>
      </w:r>
      <w:r>
        <w:rPr>
          <w:color w:val="17375E"/>
          <w:spacing w:val="-4"/>
          <w:sz w:val="28"/>
        </w:rPr>
        <w:t> </w:t>
      </w:r>
      <w:r>
        <w:rPr>
          <w:color w:val="17375E"/>
          <w:sz w:val="28"/>
        </w:rPr>
        <w:t>years.</w:t>
      </w:r>
    </w:p>
    <w:p>
      <w:pPr>
        <w:pStyle w:val="ListParagraph"/>
        <w:numPr>
          <w:ilvl w:val="0"/>
          <w:numId w:val="4"/>
        </w:numPr>
        <w:tabs>
          <w:tab w:pos="672" w:val="left" w:leader="none"/>
        </w:tabs>
        <w:spacing w:line="240" w:lineRule="auto" w:before="24" w:after="0"/>
        <w:ind w:left="671" w:right="0" w:hanging="450"/>
        <w:jc w:val="both"/>
        <w:rPr>
          <w:color w:val="0F243E"/>
          <w:sz w:val="28"/>
        </w:rPr>
      </w:pPr>
      <w:hyperlink r:id="rId21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Heading3"/>
        <w:tabs>
          <w:tab w:pos="7525" w:val="left" w:leader="none"/>
        </w:tabs>
      </w:pPr>
      <w:r>
        <w:rPr>
          <w:color w:val="EBCF6A"/>
          <w:spacing w:val="11"/>
        </w:rPr>
        <w:t>AUG</w:t>
      </w:r>
      <w:r>
        <w:rPr>
          <w:color w:val="EBCF6A"/>
          <w:spacing w:val="54"/>
        </w:rPr>
        <w:t> </w:t>
      </w:r>
      <w:r>
        <w:rPr>
          <w:color w:val="EBCF6A"/>
          <w:spacing w:val="16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3"/>
        </w:rPr>
        <w:t> </w:t>
      </w:r>
      <w:r>
        <w:rPr>
          <w:color w:val="EBCF6A"/>
          <w:spacing w:val="-16"/>
        </w:rPr>
        <w:t>UPDATE</w:t>
      </w:r>
    </w:p>
    <w:p>
      <w:pPr>
        <w:spacing w:after="0"/>
        <w:sectPr>
          <w:pgSz w:w="10800" w:h="19200"/>
          <w:pgMar w:top="56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96256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79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3225;width:10800;height:15972" coordorigin="0,3226" coordsize="10800,15972" path="m10764,3226l5261,3226,5261,3986,10764,3986,10764,3226xm10799,18790l0,18790,0,19198,10799,19198,10799,18790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775;top:2356;width:4054;height:2576" type="#_x0000_t75" alt="A picture containing text  Description automatically generated" stroked="false">
              <v:imagedata r:id="rId22" o:title=""/>
            </v:shape>
            <v:shape style="position:absolute;left:775;top:10980;width:4090;height:2506" type="#_x0000_t75" stroked="false">
              <v:imagedata r:id="rId23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63.059998pt;margin-top:12.079961pt;width:275.150pt;height:38.2pt;mso-position-horizontal-relative:page;mso-position-vertical-relative:paragraph;z-index:-15721984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14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5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Heading2"/>
        <w:numPr>
          <w:ilvl w:val="1"/>
          <w:numId w:val="3"/>
        </w:numPr>
        <w:tabs>
          <w:tab w:pos="756" w:val="left" w:leader="none"/>
        </w:tabs>
        <w:spacing w:line="249" w:lineRule="auto" w:before="89" w:after="0"/>
        <w:ind w:left="756" w:right="325" w:hanging="432"/>
        <w:jc w:val="both"/>
      </w:pPr>
      <w:r>
        <w:rPr/>
        <w:drawing>
          <wp:anchor distT="0" distB="0" distL="0" distR="0" allowOverlap="1" layoutInCell="1" locked="0" behindDoc="1" simplePos="0" relativeHeight="487219200">
            <wp:simplePos x="0" y="0"/>
            <wp:positionH relativeFrom="page">
              <wp:posOffset>4724400</wp:posOffset>
            </wp:positionH>
            <wp:positionV relativeFrom="paragraph">
              <wp:posOffset>-1152551</wp:posOffset>
            </wp:positionV>
            <wp:extent cx="2115311" cy="5004561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48.567665pt;width:238.45pt;height:585.5pt;mso-position-horizontal-relative:page;mso-position-vertical-relative:paragraph;z-index:-16096768" coordorigin="0,971" coordsize="4769,11710">
            <v:shape style="position:absolute;left:0;top:971;width:4769;height:11710" type="#_x0000_t75" stroked="false">
              <v:imagedata r:id="rId10" o:title=""/>
            </v:shape>
            <v:shape style="position:absolute;left:0;top:1587;width:1798;height:6612" type="#_x0000_t75" stroked="false">
              <v:imagedata r:id="rId11" o:title=""/>
            </v:shape>
            <w10:wrap type="none"/>
          </v:group>
        </w:pict>
      </w:r>
      <w:r>
        <w:rPr>
          <w:color w:val="244060"/>
        </w:rPr>
        <w:t>Framework for</w:t>
      </w:r>
      <w:r>
        <w:rPr>
          <w:color w:val="244060"/>
          <w:spacing w:val="1"/>
        </w:rPr>
        <w:t> </w:t>
      </w:r>
      <w:r>
        <w:rPr>
          <w:color w:val="244060"/>
        </w:rPr>
        <w:t>restricting</w:t>
      </w:r>
      <w:r>
        <w:rPr>
          <w:color w:val="244060"/>
          <w:spacing w:val="88"/>
        </w:rPr>
        <w:t> </w:t>
      </w:r>
      <w:r>
        <w:rPr>
          <w:color w:val="244060"/>
        </w:rPr>
        <w:t>trading by Designated Person(DPs)</w:t>
      </w:r>
      <w:r>
        <w:rPr>
          <w:color w:val="244060"/>
          <w:spacing w:val="1"/>
        </w:rPr>
        <w:t> </w:t>
      </w:r>
      <w:r>
        <w:rPr>
          <w:color w:val="244060"/>
        </w:rPr>
        <w:t>by</w:t>
      </w:r>
      <w:r>
        <w:rPr>
          <w:color w:val="244060"/>
          <w:spacing w:val="1"/>
        </w:rPr>
        <w:t> </w:t>
      </w:r>
      <w:r>
        <w:rPr>
          <w:color w:val="244060"/>
        </w:rPr>
        <w:t>freezing</w:t>
      </w:r>
      <w:r>
        <w:rPr>
          <w:color w:val="244060"/>
          <w:spacing w:val="3"/>
        </w:rPr>
        <w:t> </w:t>
      </w:r>
      <w:r>
        <w:rPr>
          <w:color w:val="244060"/>
        </w:rPr>
        <w:t>PAN</w:t>
      </w:r>
      <w:r>
        <w:rPr>
          <w:color w:val="244060"/>
          <w:spacing w:val="7"/>
        </w:rPr>
        <w:t> </w:t>
      </w:r>
      <w:r>
        <w:rPr>
          <w:color w:val="244060"/>
        </w:rPr>
        <w:t>at</w:t>
      </w:r>
      <w:r>
        <w:rPr>
          <w:color w:val="244060"/>
          <w:spacing w:val="3"/>
        </w:rPr>
        <w:t> </w:t>
      </w:r>
      <w:r>
        <w:rPr>
          <w:color w:val="244060"/>
        </w:rPr>
        <w:t>security</w:t>
      </w:r>
      <w:r>
        <w:rPr>
          <w:color w:val="244060"/>
          <w:spacing w:val="5"/>
        </w:rPr>
        <w:t> </w:t>
      </w:r>
      <w:r>
        <w:rPr>
          <w:color w:val="244060"/>
        </w:rPr>
        <w:t>level.</w:t>
      </w:r>
    </w:p>
    <w:p>
      <w:pPr>
        <w:pStyle w:val="BodyText"/>
        <w:spacing w:before="4"/>
        <w:rPr>
          <w:rFonts w:ascii="Arial"/>
          <w:b/>
          <w:sz w:val="33"/>
        </w:rPr>
      </w:pPr>
    </w:p>
    <w:p>
      <w:pPr>
        <w:pStyle w:val="ListParagraph"/>
        <w:numPr>
          <w:ilvl w:val="1"/>
          <w:numId w:val="4"/>
        </w:numPr>
        <w:tabs>
          <w:tab w:pos="776" w:val="left" w:leader="none"/>
        </w:tabs>
        <w:spacing w:line="249" w:lineRule="auto" w:before="0" w:after="0"/>
        <w:ind w:left="775" w:right="322" w:hanging="452"/>
        <w:jc w:val="both"/>
        <w:rPr>
          <w:color w:val="244060"/>
          <w:sz w:val="28"/>
        </w:rPr>
      </w:pPr>
      <w:r>
        <w:rPr>
          <w:color w:val="244060"/>
          <w:sz w:val="28"/>
        </w:rPr>
        <w:t>SEBI</w:t>
      </w:r>
      <w:r>
        <w:rPr>
          <w:color w:val="244060"/>
          <w:spacing w:val="25"/>
          <w:sz w:val="28"/>
        </w:rPr>
        <w:t> </w:t>
      </w:r>
      <w:r>
        <w:rPr>
          <w:color w:val="244060"/>
          <w:sz w:val="28"/>
        </w:rPr>
        <w:t>has</w:t>
      </w:r>
      <w:r>
        <w:rPr>
          <w:color w:val="244060"/>
          <w:spacing w:val="26"/>
          <w:sz w:val="28"/>
        </w:rPr>
        <w:t> </w:t>
      </w:r>
      <w:r>
        <w:rPr>
          <w:color w:val="244060"/>
          <w:sz w:val="28"/>
        </w:rPr>
        <w:t>directed</w:t>
      </w:r>
      <w:r>
        <w:rPr>
          <w:color w:val="244060"/>
          <w:spacing w:val="23"/>
          <w:sz w:val="28"/>
        </w:rPr>
        <w:t> </w:t>
      </w:r>
      <w:r>
        <w:rPr>
          <w:color w:val="244060"/>
          <w:sz w:val="28"/>
        </w:rPr>
        <w:t>that</w:t>
      </w:r>
      <w:r>
        <w:rPr>
          <w:color w:val="244060"/>
          <w:spacing w:val="24"/>
          <w:sz w:val="28"/>
        </w:rPr>
        <w:t> </w:t>
      </w:r>
      <w:r>
        <w:rPr>
          <w:color w:val="244060"/>
          <w:sz w:val="28"/>
        </w:rPr>
        <w:t>from</w:t>
      </w:r>
      <w:r>
        <w:rPr>
          <w:color w:val="244060"/>
          <w:spacing w:val="24"/>
          <w:sz w:val="28"/>
        </w:rPr>
        <w:t> </w:t>
      </w:r>
      <w:r>
        <w:rPr>
          <w:color w:val="244060"/>
          <w:sz w:val="28"/>
        </w:rPr>
        <w:t>now</w:t>
      </w:r>
      <w:r>
        <w:rPr>
          <w:color w:val="244060"/>
          <w:spacing w:val="24"/>
          <w:sz w:val="28"/>
        </w:rPr>
        <w:t> </w:t>
      </w:r>
      <w:r>
        <w:rPr>
          <w:color w:val="244060"/>
          <w:sz w:val="28"/>
        </w:rPr>
        <w:t>a</w:t>
      </w:r>
      <w:r>
        <w:rPr>
          <w:color w:val="244060"/>
          <w:spacing w:val="25"/>
          <w:sz w:val="28"/>
        </w:rPr>
        <w:t> </w:t>
      </w:r>
      <w:r>
        <w:rPr>
          <w:color w:val="244060"/>
          <w:sz w:val="28"/>
        </w:rPr>
        <w:t>notional</w:t>
      </w:r>
      <w:r>
        <w:rPr>
          <w:color w:val="244060"/>
          <w:spacing w:val="25"/>
          <w:sz w:val="28"/>
        </w:rPr>
        <w:t> </w:t>
      </w:r>
      <w:r>
        <w:rPr>
          <w:color w:val="244060"/>
          <w:sz w:val="28"/>
        </w:rPr>
        <w:t>trading</w:t>
      </w:r>
      <w:r>
        <w:rPr>
          <w:color w:val="244060"/>
          <w:spacing w:val="23"/>
          <w:sz w:val="28"/>
        </w:rPr>
        <w:t> </w:t>
      </w:r>
      <w:r>
        <w:rPr>
          <w:color w:val="244060"/>
          <w:sz w:val="28"/>
        </w:rPr>
        <w:t>window</w:t>
      </w:r>
      <w:r>
        <w:rPr>
          <w:color w:val="244060"/>
          <w:spacing w:val="24"/>
          <w:sz w:val="28"/>
        </w:rPr>
        <w:t> </w:t>
      </w:r>
      <w:r>
        <w:rPr>
          <w:color w:val="244060"/>
          <w:sz w:val="28"/>
        </w:rPr>
        <w:t>shall</w:t>
      </w:r>
      <w:r>
        <w:rPr>
          <w:color w:val="244060"/>
          <w:spacing w:val="26"/>
          <w:sz w:val="28"/>
        </w:rPr>
        <w:t> </w:t>
      </w:r>
      <w:r>
        <w:rPr>
          <w:color w:val="244060"/>
          <w:sz w:val="28"/>
        </w:rPr>
        <w:t>be</w:t>
      </w:r>
      <w:r>
        <w:rPr>
          <w:color w:val="244060"/>
          <w:spacing w:val="25"/>
          <w:sz w:val="28"/>
        </w:rPr>
        <w:t> </w:t>
      </w:r>
      <w:r>
        <w:rPr>
          <w:color w:val="244060"/>
          <w:sz w:val="28"/>
        </w:rPr>
        <w:t>used</w:t>
      </w:r>
      <w:r>
        <w:rPr>
          <w:color w:val="244060"/>
          <w:spacing w:val="23"/>
          <w:sz w:val="28"/>
        </w:rPr>
        <w:t> </w:t>
      </w:r>
      <w:r>
        <w:rPr>
          <w:color w:val="244060"/>
          <w:sz w:val="28"/>
        </w:rPr>
        <w:t>as</w:t>
      </w:r>
      <w:r>
        <w:rPr>
          <w:color w:val="244060"/>
          <w:spacing w:val="-76"/>
          <w:sz w:val="28"/>
        </w:rPr>
        <w:t> </w:t>
      </w:r>
      <w:r>
        <w:rPr>
          <w:color w:val="244060"/>
          <w:sz w:val="28"/>
        </w:rPr>
        <w:t>an instrument of monitoring trading by designated person and their immediate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relatives.</w:t>
      </w:r>
    </w:p>
    <w:p>
      <w:pPr>
        <w:pStyle w:val="ListParagraph"/>
        <w:numPr>
          <w:ilvl w:val="1"/>
          <w:numId w:val="4"/>
        </w:numPr>
        <w:tabs>
          <w:tab w:pos="776" w:val="left" w:leader="none"/>
        </w:tabs>
        <w:spacing w:line="249" w:lineRule="auto" w:before="3" w:after="0"/>
        <w:ind w:left="775" w:right="319" w:hanging="452"/>
        <w:jc w:val="both"/>
        <w:rPr>
          <w:color w:val="244060"/>
          <w:sz w:val="28"/>
        </w:rPr>
      </w:pPr>
      <w:r>
        <w:rPr>
          <w:color w:val="244060"/>
          <w:sz w:val="28"/>
        </w:rPr>
        <w:t>This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circular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shall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come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into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force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with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effect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from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quarter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ending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September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30,2022.</w:t>
      </w:r>
    </w:p>
    <w:p>
      <w:pPr>
        <w:pStyle w:val="ListParagraph"/>
        <w:numPr>
          <w:ilvl w:val="1"/>
          <w:numId w:val="4"/>
        </w:numPr>
        <w:tabs>
          <w:tab w:pos="776" w:val="left" w:leader="none"/>
        </w:tabs>
        <w:spacing w:line="240" w:lineRule="auto" w:before="3" w:after="0"/>
        <w:ind w:left="775" w:right="0" w:hanging="452"/>
        <w:jc w:val="both"/>
        <w:rPr>
          <w:color w:val="394558"/>
          <w:sz w:val="28"/>
        </w:rPr>
      </w:pPr>
      <w:hyperlink r:id="rId24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tabs>
          <w:tab w:pos="10763" w:val="left" w:leader="none"/>
        </w:tabs>
        <w:spacing w:before="229"/>
        <w:ind w:left="5491"/>
      </w:pPr>
      <w:r>
        <w:rPr>
          <w:color w:val="EBCF6A"/>
          <w:w w:val="100"/>
          <w:shd w:fill="36394F" w:color="auto" w:val="clear"/>
        </w:rPr>
        <w:t> </w:t>
      </w:r>
      <w:r>
        <w:rPr>
          <w:color w:val="EBCF6A"/>
          <w:spacing w:val="-70"/>
          <w:shd w:fill="36394F" w:color="auto" w:val="clear"/>
        </w:rPr>
        <w:t> </w:t>
      </w:r>
      <w:r>
        <w:rPr>
          <w:color w:val="EBCF6A"/>
          <w:shd w:fill="36394F" w:color="auto" w:val="clear"/>
        </w:rPr>
        <w:t>FEMA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Heading2"/>
        <w:spacing w:before="89"/>
        <w:ind w:left="291"/>
        <w:jc w:val="both"/>
      </w:pPr>
      <w:r>
        <w:rPr/>
        <w:t>1.</w:t>
      </w:r>
      <w:r>
        <w:rPr>
          <w:spacing w:val="82"/>
        </w:rPr>
        <w:t> </w:t>
      </w:r>
      <w:r>
        <w:rPr>
          <w:color w:val="244060"/>
        </w:rPr>
        <w:t>New</w:t>
      </w:r>
      <w:r>
        <w:rPr>
          <w:color w:val="244060"/>
          <w:spacing w:val="-7"/>
        </w:rPr>
        <w:t> </w:t>
      </w:r>
      <w:r>
        <w:rPr>
          <w:color w:val="244060"/>
        </w:rPr>
        <w:t>FEMA</w:t>
      </w:r>
      <w:r>
        <w:rPr>
          <w:color w:val="244060"/>
          <w:spacing w:val="-20"/>
        </w:rPr>
        <w:t> </w:t>
      </w:r>
      <w:r>
        <w:rPr>
          <w:color w:val="244060"/>
        </w:rPr>
        <w:t>Overseas</w:t>
      </w:r>
      <w:r>
        <w:rPr>
          <w:color w:val="244060"/>
          <w:spacing w:val="-1"/>
        </w:rPr>
        <w:t> </w:t>
      </w:r>
      <w:r>
        <w:rPr>
          <w:color w:val="244060"/>
        </w:rPr>
        <w:t>Investment</w:t>
      </w:r>
      <w:r>
        <w:rPr>
          <w:color w:val="244060"/>
          <w:spacing w:val="-1"/>
        </w:rPr>
        <w:t> </w:t>
      </w:r>
      <w:r>
        <w:rPr>
          <w:color w:val="244060"/>
        </w:rPr>
        <w:t>Rules</w:t>
      </w:r>
      <w:r>
        <w:rPr>
          <w:color w:val="244060"/>
          <w:spacing w:val="-8"/>
        </w:rPr>
        <w:t> </w:t>
      </w:r>
      <w:r>
        <w:rPr>
          <w:color w:val="244060"/>
        </w:rPr>
        <w:t>and</w:t>
      </w:r>
      <w:r>
        <w:rPr>
          <w:color w:val="244060"/>
          <w:spacing w:val="-8"/>
        </w:rPr>
        <w:t> </w:t>
      </w:r>
      <w:r>
        <w:rPr>
          <w:color w:val="244060"/>
        </w:rPr>
        <w:t>Regulations.</w:t>
      </w:r>
    </w:p>
    <w:p>
      <w:pPr>
        <w:pStyle w:val="BodyText"/>
        <w:spacing w:before="6"/>
        <w:rPr>
          <w:rFonts w:ascii="Arial"/>
          <w:b/>
          <w:sz w:val="34"/>
        </w:rPr>
      </w:pPr>
    </w:p>
    <w:p>
      <w:pPr>
        <w:pStyle w:val="ListParagraph"/>
        <w:numPr>
          <w:ilvl w:val="1"/>
          <w:numId w:val="4"/>
        </w:numPr>
        <w:tabs>
          <w:tab w:pos="741" w:val="left" w:leader="none"/>
        </w:tabs>
        <w:spacing w:line="249" w:lineRule="auto" w:before="0" w:after="0"/>
        <w:ind w:left="740" w:right="281" w:hanging="449"/>
        <w:jc w:val="both"/>
        <w:rPr>
          <w:sz w:val="28"/>
        </w:rPr>
      </w:pPr>
      <w:r>
        <w:rPr>
          <w:color w:val="244060"/>
          <w:sz w:val="28"/>
        </w:rPr>
        <w:t>Ministry of Finance notified new rules and made some significant changes to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framework</w:t>
      </w:r>
    </w:p>
    <w:p>
      <w:pPr>
        <w:pStyle w:val="ListParagraph"/>
        <w:numPr>
          <w:ilvl w:val="1"/>
          <w:numId w:val="4"/>
        </w:numPr>
        <w:tabs>
          <w:tab w:pos="741" w:val="left" w:leader="none"/>
        </w:tabs>
        <w:spacing w:line="249" w:lineRule="auto" w:before="3" w:after="0"/>
        <w:ind w:left="740" w:right="279" w:hanging="449"/>
        <w:jc w:val="both"/>
        <w:rPr>
          <w:sz w:val="28"/>
        </w:rPr>
      </w:pPr>
      <w:r>
        <w:rPr>
          <w:color w:val="244060"/>
          <w:sz w:val="28"/>
        </w:rPr>
        <w:t>For allowing investment outside India by Indian entities as well as resident</w:t>
      </w:r>
      <w:r>
        <w:rPr>
          <w:color w:val="244060"/>
          <w:spacing w:val="1"/>
          <w:sz w:val="28"/>
        </w:rPr>
        <w:t> </w:t>
      </w:r>
      <w:r>
        <w:rPr>
          <w:color w:val="244060"/>
          <w:sz w:val="28"/>
        </w:rPr>
        <w:t>individuals,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Investment</w:t>
      </w:r>
      <w:r>
        <w:rPr>
          <w:color w:val="244060"/>
          <w:spacing w:val="-7"/>
          <w:sz w:val="28"/>
        </w:rPr>
        <w:t> </w:t>
      </w:r>
      <w:r>
        <w:rPr>
          <w:color w:val="244060"/>
          <w:sz w:val="28"/>
        </w:rPr>
        <w:t>in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less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than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10%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equity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-7"/>
          <w:sz w:val="28"/>
        </w:rPr>
        <w:t> </w:t>
      </w:r>
      <w:r>
        <w:rPr>
          <w:color w:val="244060"/>
          <w:sz w:val="28"/>
        </w:rPr>
        <w:t>an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unlisted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Foreign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Company</w:t>
      </w:r>
      <w:r>
        <w:rPr>
          <w:color w:val="244060"/>
          <w:spacing w:val="-75"/>
          <w:sz w:val="28"/>
        </w:rPr>
        <w:t> </w:t>
      </w:r>
      <w:r>
        <w:rPr>
          <w:color w:val="244060"/>
          <w:sz w:val="28"/>
        </w:rPr>
        <w:t>has</w:t>
      </w:r>
      <w:r>
        <w:rPr>
          <w:color w:val="244060"/>
          <w:spacing w:val="-8"/>
          <w:sz w:val="28"/>
        </w:rPr>
        <w:t> </w:t>
      </w:r>
      <w:r>
        <w:rPr>
          <w:color w:val="244060"/>
          <w:sz w:val="28"/>
        </w:rPr>
        <w:t>been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permitted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under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-10"/>
          <w:sz w:val="28"/>
        </w:rPr>
        <w:t> </w:t>
      </w:r>
      <w:r>
        <w:rPr>
          <w:color w:val="244060"/>
          <w:sz w:val="28"/>
        </w:rPr>
        <w:t>portfolio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route</w:t>
      </w:r>
    </w:p>
    <w:p>
      <w:pPr>
        <w:pStyle w:val="ListParagraph"/>
        <w:numPr>
          <w:ilvl w:val="1"/>
          <w:numId w:val="4"/>
        </w:numPr>
        <w:tabs>
          <w:tab w:pos="741" w:val="left" w:leader="none"/>
        </w:tabs>
        <w:spacing w:line="240" w:lineRule="auto" w:before="3" w:after="0"/>
        <w:ind w:left="740" w:right="0" w:hanging="450"/>
        <w:jc w:val="both"/>
        <w:rPr>
          <w:sz w:val="28"/>
        </w:rPr>
      </w:pPr>
      <w:r>
        <w:rPr>
          <w:color w:val="244060"/>
          <w:sz w:val="28"/>
        </w:rPr>
        <w:t>For</w:t>
      </w:r>
      <w:r>
        <w:rPr>
          <w:color w:val="244060"/>
          <w:spacing w:val="49"/>
          <w:sz w:val="28"/>
        </w:rPr>
        <w:t> </w:t>
      </w:r>
      <w:r>
        <w:rPr>
          <w:color w:val="244060"/>
          <w:sz w:val="28"/>
        </w:rPr>
        <w:t>Resident</w:t>
      </w:r>
      <w:r>
        <w:rPr>
          <w:color w:val="244060"/>
          <w:spacing w:val="52"/>
          <w:sz w:val="28"/>
        </w:rPr>
        <w:t> </w:t>
      </w:r>
      <w:r>
        <w:rPr>
          <w:color w:val="244060"/>
          <w:sz w:val="28"/>
        </w:rPr>
        <w:t>Individuals</w:t>
      </w:r>
      <w:r>
        <w:rPr>
          <w:color w:val="244060"/>
          <w:spacing w:val="51"/>
          <w:sz w:val="28"/>
        </w:rPr>
        <w:t> </w:t>
      </w:r>
      <w:r>
        <w:rPr>
          <w:color w:val="244060"/>
          <w:sz w:val="28"/>
        </w:rPr>
        <w:t>gift</w:t>
      </w:r>
      <w:r>
        <w:rPr>
          <w:color w:val="244060"/>
          <w:spacing w:val="51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52"/>
          <w:sz w:val="28"/>
        </w:rPr>
        <w:t> </w:t>
      </w:r>
      <w:r>
        <w:rPr>
          <w:color w:val="244060"/>
          <w:sz w:val="28"/>
        </w:rPr>
        <w:t>foreign</w:t>
      </w:r>
      <w:r>
        <w:rPr>
          <w:color w:val="244060"/>
          <w:spacing w:val="50"/>
          <w:sz w:val="28"/>
        </w:rPr>
        <w:t> </w:t>
      </w:r>
      <w:r>
        <w:rPr>
          <w:color w:val="244060"/>
          <w:sz w:val="28"/>
        </w:rPr>
        <w:t>security</w:t>
      </w:r>
      <w:r>
        <w:rPr>
          <w:color w:val="244060"/>
          <w:spacing w:val="47"/>
          <w:sz w:val="28"/>
        </w:rPr>
        <w:t> </w:t>
      </w:r>
      <w:r>
        <w:rPr>
          <w:color w:val="244060"/>
          <w:sz w:val="28"/>
        </w:rPr>
        <w:t>from</w:t>
      </w:r>
      <w:r>
        <w:rPr>
          <w:color w:val="244060"/>
          <w:spacing w:val="50"/>
          <w:sz w:val="28"/>
        </w:rPr>
        <w:t> </w:t>
      </w:r>
      <w:r>
        <w:rPr>
          <w:color w:val="244060"/>
          <w:sz w:val="28"/>
        </w:rPr>
        <w:t>non-resident</w:t>
      </w:r>
      <w:r>
        <w:rPr>
          <w:color w:val="244060"/>
          <w:spacing w:val="49"/>
          <w:sz w:val="28"/>
        </w:rPr>
        <w:t> </w:t>
      </w:r>
      <w:r>
        <w:rPr>
          <w:color w:val="244060"/>
          <w:sz w:val="28"/>
        </w:rPr>
        <w:t>has</w:t>
      </w:r>
      <w:r>
        <w:rPr>
          <w:color w:val="244060"/>
          <w:spacing w:val="52"/>
          <w:sz w:val="28"/>
        </w:rPr>
        <w:t> </w:t>
      </w:r>
      <w:r>
        <w:rPr>
          <w:color w:val="244060"/>
          <w:sz w:val="28"/>
        </w:rPr>
        <w:t>been</w:t>
      </w:r>
    </w:p>
    <w:p>
      <w:pPr>
        <w:pStyle w:val="BodyText"/>
        <w:spacing w:before="14"/>
        <w:ind w:left="740"/>
        <w:jc w:val="both"/>
      </w:pPr>
      <w:r>
        <w:rPr>
          <w:color w:val="244060"/>
        </w:rPr>
        <w:t>permitted</w:t>
      </w:r>
      <w:r>
        <w:rPr>
          <w:color w:val="244060"/>
          <w:spacing w:val="-15"/>
        </w:rPr>
        <w:t> </w:t>
      </w:r>
      <w:r>
        <w:rPr>
          <w:color w:val="244060"/>
        </w:rPr>
        <w:t>subject</w:t>
      </w:r>
      <w:r>
        <w:rPr>
          <w:color w:val="244060"/>
          <w:spacing w:val="-12"/>
        </w:rPr>
        <w:t> </w:t>
      </w:r>
      <w:r>
        <w:rPr>
          <w:color w:val="244060"/>
        </w:rPr>
        <w:t>to</w:t>
      </w:r>
      <w:r>
        <w:rPr>
          <w:color w:val="244060"/>
          <w:spacing w:val="-10"/>
        </w:rPr>
        <w:t> </w:t>
      </w:r>
      <w:r>
        <w:rPr>
          <w:color w:val="244060"/>
        </w:rPr>
        <w:t>compliance</w:t>
      </w:r>
      <w:r>
        <w:rPr>
          <w:color w:val="244060"/>
          <w:spacing w:val="-14"/>
        </w:rPr>
        <w:t> </w:t>
      </w:r>
      <w:r>
        <w:rPr>
          <w:color w:val="244060"/>
        </w:rPr>
        <w:t>with</w:t>
      </w:r>
      <w:r>
        <w:rPr>
          <w:color w:val="244060"/>
          <w:spacing w:val="-7"/>
        </w:rPr>
        <w:t> </w:t>
      </w:r>
      <w:r>
        <w:rPr>
          <w:color w:val="244060"/>
        </w:rPr>
        <w:t>FCRA</w:t>
      </w:r>
    </w:p>
    <w:p>
      <w:pPr>
        <w:pStyle w:val="ListParagraph"/>
        <w:numPr>
          <w:ilvl w:val="1"/>
          <w:numId w:val="4"/>
        </w:numPr>
        <w:tabs>
          <w:tab w:pos="741" w:val="left" w:leader="none"/>
        </w:tabs>
        <w:spacing w:line="249" w:lineRule="auto" w:before="15" w:after="0"/>
        <w:ind w:left="740" w:right="280" w:hanging="449"/>
        <w:jc w:val="both"/>
        <w:rPr>
          <w:sz w:val="28"/>
        </w:rPr>
      </w:pPr>
      <w:r>
        <w:rPr>
          <w:color w:val="244060"/>
          <w:sz w:val="28"/>
        </w:rPr>
        <w:t>Transfer</w:t>
      </w:r>
      <w:r>
        <w:rPr>
          <w:color w:val="244060"/>
          <w:spacing w:val="-7"/>
          <w:sz w:val="28"/>
        </w:rPr>
        <w:t> </w:t>
      </w:r>
      <w:r>
        <w:rPr>
          <w:color w:val="244060"/>
          <w:sz w:val="28"/>
        </w:rPr>
        <w:t>or</w:t>
      </w:r>
      <w:r>
        <w:rPr>
          <w:color w:val="244060"/>
          <w:spacing w:val="-3"/>
          <w:sz w:val="28"/>
        </w:rPr>
        <w:t> </w:t>
      </w:r>
      <w:r>
        <w:rPr>
          <w:color w:val="244060"/>
          <w:sz w:val="28"/>
        </w:rPr>
        <w:t>liquidation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overseas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company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is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permitted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only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post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one</w:t>
      </w:r>
      <w:r>
        <w:rPr>
          <w:color w:val="244060"/>
          <w:spacing w:val="-4"/>
          <w:sz w:val="28"/>
        </w:rPr>
        <w:t> </w:t>
      </w:r>
      <w:r>
        <w:rPr>
          <w:color w:val="244060"/>
          <w:sz w:val="28"/>
        </w:rPr>
        <w:t>year</w:t>
      </w:r>
      <w:r>
        <w:rPr>
          <w:color w:val="244060"/>
          <w:spacing w:val="-75"/>
          <w:sz w:val="28"/>
        </w:rPr>
        <w:t> </w:t>
      </w:r>
      <w:r>
        <w:rPr>
          <w:color w:val="244060"/>
          <w:sz w:val="28"/>
        </w:rPr>
        <w:t>of</w:t>
      </w:r>
      <w:r>
        <w:rPr>
          <w:color w:val="244060"/>
          <w:spacing w:val="-5"/>
          <w:sz w:val="28"/>
        </w:rPr>
        <w:t> </w:t>
      </w:r>
      <w:r>
        <w:rPr>
          <w:color w:val="244060"/>
          <w:sz w:val="28"/>
        </w:rPr>
        <w:t>holding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by</w:t>
      </w:r>
      <w:r>
        <w:rPr>
          <w:color w:val="244060"/>
          <w:spacing w:val="-6"/>
          <w:sz w:val="28"/>
        </w:rPr>
        <w:t> </w:t>
      </w:r>
      <w:r>
        <w:rPr>
          <w:color w:val="244060"/>
          <w:sz w:val="28"/>
        </w:rPr>
        <w:t>the</w:t>
      </w:r>
      <w:r>
        <w:rPr>
          <w:color w:val="244060"/>
          <w:spacing w:val="-9"/>
          <w:sz w:val="28"/>
        </w:rPr>
        <w:t> </w:t>
      </w:r>
      <w:r>
        <w:rPr>
          <w:color w:val="244060"/>
          <w:sz w:val="28"/>
        </w:rPr>
        <w:t>Indian</w:t>
      </w:r>
      <w:r>
        <w:rPr>
          <w:color w:val="244060"/>
          <w:spacing w:val="-11"/>
          <w:sz w:val="28"/>
        </w:rPr>
        <w:t> </w:t>
      </w:r>
      <w:r>
        <w:rPr>
          <w:color w:val="244060"/>
          <w:sz w:val="28"/>
        </w:rPr>
        <w:t>entity</w:t>
      </w:r>
    </w:p>
    <w:p>
      <w:pPr>
        <w:pStyle w:val="ListParagraph"/>
        <w:numPr>
          <w:ilvl w:val="1"/>
          <w:numId w:val="4"/>
        </w:numPr>
        <w:tabs>
          <w:tab w:pos="741" w:val="left" w:leader="none"/>
        </w:tabs>
        <w:spacing w:line="240" w:lineRule="auto" w:before="2" w:after="0"/>
        <w:ind w:left="740" w:right="0" w:hanging="450"/>
        <w:jc w:val="both"/>
        <w:rPr>
          <w:sz w:val="28"/>
        </w:rPr>
      </w:pPr>
      <w:hyperlink r:id="rId25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9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1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10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spacing w:before="1"/>
        <w:rPr>
          <w:sz w:val="29"/>
        </w:rPr>
      </w:pPr>
    </w:p>
    <w:p>
      <w:pPr>
        <w:pStyle w:val="Heading3"/>
        <w:tabs>
          <w:tab w:pos="7525" w:val="left" w:leader="none"/>
        </w:tabs>
        <w:spacing w:before="90"/>
      </w:pPr>
      <w:r>
        <w:rPr>
          <w:color w:val="EBCF6A"/>
          <w:sz w:val="32"/>
        </w:rPr>
        <w:t>AUG</w:t>
      </w:r>
      <w:r>
        <w:rPr>
          <w:color w:val="EBCF6A"/>
          <w:spacing w:val="-11"/>
          <w:sz w:val="32"/>
        </w:rPr>
        <w:t> </w:t>
      </w:r>
      <w:r>
        <w:rPr>
          <w:color w:val="EBCF6A"/>
          <w:spacing w:val="16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3"/>
        </w:rPr>
        <w:t> </w:t>
      </w:r>
      <w:r>
        <w:rPr>
          <w:color w:val="EBCF6A"/>
          <w:spacing w:val="-16"/>
        </w:rPr>
        <w:t>UPDATE</w:t>
      </w:r>
    </w:p>
    <w:p>
      <w:pPr>
        <w:spacing w:after="0"/>
        <w:sectPr>
          <w:pgSz w:w="10800" w:h="19200"/>
          <w:pgMar w:top="560" w:bottom="0" w:left="0" w:right="0"/>
        </w:sectPr>
      </w:pPr>
    </w:p>
    <w:p>
      <w:pPr>
        <w:spacing w:before="74"/>
        <w:ind w:left="0" w:right="371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94208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24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rect style="position:absolute;left:0;top:18794;width:10800;height:406" filled="true" fillcolor="#36394f" stroked="false">
              <v:fill type="solid"/>
            </v:rect>
            <v:rect style="position:absolute;left:9247;top:0;width:607;height:3024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rect style="position:absolute;left:5527;top:3024;width:5273;height:751" filled="true" fillcolor="#36394f" stroked="false">
              <v:fill type="solid"/>
            </v:rect>
            <v:shape style="position:absolute;left:873;top:2174;width:4090;height:2506" type="#_x0000_t75" stroked="false">
              <v:imagedata r:id="rId23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4"/>
        </w:rPr>
      </w:pPr>
      <w:r>
        <w:rPr/>
        <w:pict>
          <v:shape style="position:absolute;margin-left:276.359985pt;margin-top:15.209961pt;width:263.650pt;height:37.550pt;mso-position-horizontal-relative:page;mso-position-vertical-relative:paragraph;z-index:-15719936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7"/>
                      <w:sz w:val="40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3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6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2"/>
        <w:numPr>
          <w:ilvl w:val="0"/>
          <w:numId w:val="5"/>
        </w:numPr>
        <w:tabs>
          <w:tab w:pos="704" w:val="left" w:leader="none"/>
        </w:tabs>
        <w:spacing w:line="249" w:lineRule="auto" w:before="229" w:after="0"/>
        <w:ind w:left="703" w:right="411" w:hanging="540"/>
        <w:jc w:val="both"/>
      </w:pPr>
      <w:r>
        <w:rPr/>
        <w:drawing>
          <wp:anchor distT="0" distB="0" distL="0" distR="0" allowOverlap="1" layoutInCell="1" locked="0" behindDoc="1" simplePos="0" relativeHeight="487221248">
            <wp:simplePos x="0" y="0"/>
            <wp:positionH relativeFrom="page">
              <wp:posOffset>4724400</wp:posOffset>
            </wp:positionH>
            <wp:positionV relativeFrom="paragraph">
              <wp:posOffset>-1317905</wp:posOffset>
            </wp:positionV>
            <wp:extent cx="2115311" cy="5004561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35.547646pt;width:238.45pt;height:585.5pt;mso-position-horizontal-relative:page;mso-position-vertical-relative:paragraph;z-index:-16094720" coordorigin="0,711" coordsize="4769,11710">
            <v:shape style="position:absolute;left:0;top:710;width:4769;height:11710" type="#_x0000_t75" stroked="false">
              <v:imagedata r:id="rId10" o:title=""/>
            </v:shape>
            <v:shape style="position:absolute;left:0;top:1327;width:1798;height:6612" type="#_x0000_t75" stroked="false">
              <v:imagedata r:id="rId11" o:title=""/>
            </v:shape>
            <w10:wrap type="none"/>
          </v:group>
        </w:pict>
      </w:r>
      <w:r>
        <w:rPr>
          <w:color w:val="394557"/>
        </w:rPr>
        <w:t>Entries In Book Of Accounts/Balance Sheet can be treated as</w:t>
      </w:r>
      <w:r>
        <w:rPr>
          <w:color w:val="394557"/>
          <w:spacing w:val="1"/>
        </w:rPr>
        <w:t> </w:t>
      </w:r>
      <w:r>
        <w:rPr>
          <w:color w:val="394557"/>
        </w:rPr>
        <w:t>Acknowledgment</w:t>
      </w:r>
      <w:r>
        <w:rPr>
          <w:color w:val="394557"/>
          <w:spacing w:val="-8"/>
        </w:rPr>
        <w:t> </w:t>
      </w:r>
      <w:r>
        <w:rPr>
          <w:color w:val="394557"/>
        </w:rPr>
        <w:t>of Liability</w:t>
      </w:r>
      <w:r>
        <w:rPr>
          <w:color w:val="394557"/>
          <w:spacing w:val="-4"/>
        </w:rPr>
        <w:t> </w:t>
      </w:r>
      <w:r>
        <w:rPr>
          <w:color w:val="394557"/>
        </w:rPr>
        <w:t>of Debt:</w:t>
      </w:r>
      <w:r>
        <w:rPr>
          <w:color w:val="394557"/>
          <w:spacing w:val="-5"/>
        </w:rPr>
        <w:t> </w:t>
      </w:r>
      <w:r>
        <w:rPr>
          <w:color w:val="394557"/>
        </w:rPr>
        <w:t>Supreme</w:t>
      </w:r>
      <w:r>
        <w:rPr>
          <w:color w:val="394557"/>
          <w:spacing w:val="-7"/>
        </w:rPr>
        <w:t> </w:t>
      </w:r>
      <w:r>
        <w:rPr>
          <w:color w:val="394557"/>
        </w:rPr>
        <w:t>Court</w:t>
      </w:r>
    </w:p>
    <w:p>
      <w:pPr>
        <w:pStyle w:val="BodyText"/>
        <w:spacing w:before="6"/>
        <w:rPr>
          <w:rFonts w:ascii="Arial"/>
          <w:b/>
          <w:sz w:val="37"/>
        </w:rPr>
      </w:pPr>
    </w:p>
    <w:p>
      <w:pPr>
        <w:pStyle w:val="ListParagraph"/>
        <w:numPr>
          <w:ilvl w:val="0"/>
          <w:numId w:val="4"/>
        </w:numPr>
        <w:tabs>
          <w:tab w:pos="611" w:val="left" w:leader="none"/>
          <w:tab w:pos="612" w:val="left" w:leader="none"/>
        </w:tabs>
        <w:spacing w:line="240" w:lineRule="auto" w:before="0" w:after="0"/>
        <w:ind w:left="612" w:right="0" w:hanging="449"/>
        <w:jc w:val="left"/>
        <w:rPr>
          <w:sz w:val="28"/>
        </w:rPr>
      </w:pPr>
      <w:r>
        <w:rPr>
          <w:color w:val="0F243E"/>
          <w:sz w:val="28"/>
        </w:rPr>
        <w:t>In</w:t>
      </w:r>
      <w:r>
        <w:rPr>
          <w:color w:val="0F243E"/>
          <w:spacing w:val="4"/>
          <w:sz w:val="28"/>
        </w:rPr>
        <w:t> </w:t>
      </w:r>
      <w:r>
        <w:rPr>
          <w:color w:val="0F243E"/>
          <w:sz w:val="28"/>
        </w:rPr>
        <w:t>the</w:t>
      </w:r>
      <w:r>
        <w:rPr>
          <w:color w:val="0F243E"/>
          <w:spacing w:val="9"/>
          <w:sz w:val="28"/>
        </w:rPr>
        <w:t> </w:t>
      </w:r>
      <w:r>
        <w:rPr>
          <w:color w:val="0F243E"/>
          <w:sz w:val="28"/>
        </w:rPr>
        <w:t>matter</w:t>
      </w:r>
      <w:r>
        <w:rPr>
          <w:color w:val="0F243E"/>
          <w:spacing w:val="8"/>
          <w:sz w:val="28"/>
        </w:rPr>
        <w:t> </w:t>
      </w:r>
      <w:r>
        <w:rPr>
          <w:color w:val="0F243E"/>
          <w:sz w:val="28"/>
        </w:rPr>
        <w:t>of</w:t>
      </w:r>
      <w:r>
        <w:rPr>
          <w:color w:val="0F243E"/>
          <w:spacing w:val="8"/>
          <w:sz w:val="28"/>
        </w:rPr>
        <w:t> </w:t>
      </w:r>
      <w:r>
        <w:rPr>
          <w:color w:val="0F243E"/>
          <w:sz w:val="28"/>
        </w:rPr>
        <w:t>Asset</w:t>
      </w:r>
      <w:r>
        <w:rPr>
          <w:color w:val="0F243E"/>
          <w:spacing w:val="9"/>
          <w:sz w:val="28"/>
        </w:rPr>
        <w:t> </w:t>
      </w:r>
      <w:r>
        <w:rPr>
          <w:color w:val="0F243E"/>
          <w:sz w:val="28"/>
        </w:rPr>
        <w:t>Reconstruction</w:t>
      </w:r>
      <w:r>
        <w:rPr>
          <w:color w:val="0F243E"/>
          <w:spacing w:val="1"/>
          <w:sz w:val="28"/>
        </w:rPr>
        <w:t> </w:t>
      </w:r>
      <w:r>
        <w:rPr>
          <w:color w:val="0F243E"/>
          <w:sz w:val="28"/>
        </w:rPr>
        <w:t>Company</w:t>
      </w:r>
      <w:r>
        <w:rPr>
          <w:color w:val="0F243E"/>
          <w:spacing w:val="4"/>
          <w:sz w:val="28"/>
        </w:rPr>
        <w:t> </w:t>
      </w:r>
      <w:r>
        <w:rPr>
          <w:color w:val="0F243E"/>
          <w:sz w:val="28"/>
        </w:rPr>
        <w:t>(India)</w:t>
      </w:r>
      <w:r>
        <w:rPr>
          <w:color w:val="0F243E"/>
          <w:spacing w:val="5"/>
          <w:sz w:val="28"/>
        </w:rPr>
        <w:t> </w:t>
      </w:r>
      <w:r>
        <w:rPr>
          <w:color w:val="0F243E"/>
          <w:sz w:val="28"/>
        </w:rPr>
        <w:t>Limited</w:t>
      </w:r>
      <w:r>
        <w:rPr>
          <w:color w:val="0F243E"/>
          <w:spacing w:val="9"/>
          <w:sz w:val="28"/>
        </w:rPr>
        <w:t> </w:t>
      </w:r>
      <w:r>
        <w:rPr>
          <w:color w:val="0F243E"/>
          <w:sz w:val="28"/>
        </w:rPr>
        <w:t>&amp;</w:t>
      </w:r>
      <w:r>
        <w:rPr>
          <w:color w:val="0F243E"/>
          <w:spacing w:val="8"/>
          <w:sz w:val="28"/>
        </w:rPr>
        <w:t> </w:t>
      </w:r>
      <w:r>
        <w:rPr>
          <w:color w:val="0F243E"/>
          <w:sz w:val="28"/>
        </w:rPr>
        <w:t>Debtor,</w:t>
      </w:r>
      <w:r>
        <w:rPr>
          <w:color w:val="0F243E"/>
          <w:spacing w:val="8"/>
          <w:sz w:val="28"/>
        </w:rPr>
        <w:t> </w:t>
      </w:r>
      <w:r>
        <w:rPr>
          <w:color w:val="0F243E"/>
          <w:sz w:val="28"/>
        </w:rPr>
        <w:t>Tulip</w:t>
      </w:r>
    </w:p>
    <w:p>
      <w:pPr>
        <w:pStyle w:val="BodyText"/>
        <w:spacing w:before="14"/>
        <w:ind w:left="612"/>
      </w:pPr>
      <w:r>
        <w:rPr>
          <w:color w:val="0F243E"/>
        </w:rPr>
        <w:t>Star</w:t>
      </w:r>
      <w:r>
        <w:rPr>
          <w:color w:val="0F243E"/>
          <w:spacing w:val="-2"/>
        </w:rPr>
        <w:t> </w:t>
      </w:r>
      <w:r>
        <w:rPr>
          <w:color w:val="0F243E"/>
        </w:rPr>
        <w:t>Hotels</w:t>
      </w:r>
      <w:r>
        <w:rPr>
          <w:color w:val="0F243E"/>
          <w:spacing w:val="-4"/>
        </w:rPr>
        <w:t> </w:t>
      </w:r>
      <w:r>
        <w:rPr>
          <w:color w:val="0F243E"/>
        </w:rPr>
        <w:t>Limited.</w:t>
      </w:r>
      <w:r>
        <w:rPr>
          <w:color w:val="0F243E"/>
          <w:spacing w:val="-4"/>
        </w:rPr>
        <w:t> </w:t>
      </w:r>
      <w:r>
        <w:rPr>
          <w:color w:val="0F243E"/>
        </w:rPr>
        <w:t>the</w:t>
      </w:r>
      <w:r>
        <w:rPr>
          <w:color w:val="0F243E"/>
          <w:spacing w:val="-3"/>
        </w:rPr>
        <w:t> </w:t>
      </w:r>
      <w:r>
        <w:rPr>
          <w:color w:val="0F243E"/>
        </w:rPr>
        <w:t>Supreme</w:t>
      </w:r>
      <w:r>
        <w:rPr>
          <w:color w:val="0F243E"/>
          <w:spacing w:val="-6"/>
        </w:rPr>
        <w:t> </w:t>
      </w:r>
      <w:r>
        <w:rPr>
          <w:color w:val="0F243E"/>
        </w:rPr>
        <w:t>Court</w:t>
      </w:r>
      <w:r>
        <w:rPr>
          <w:color w:val="0F243E"/>
          <w:spacing w:val="-2"/>
        </w:rPr>
        <w:t> </w:t>
      </w:r>
      <w:r>
        <w:rPr>
          <w:color w:val="0F243E"/>
        </w:rPr>
        <w:t>observed:</w:t>
      </w:r>
    </w:p>
    <w:p>
      <w:pPr>
        <w:pStyle w:val="BodyText"/>
        <w:spacing w:before="6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612" w:val="left" w:leader="none"/>
        </w:tabs>
        <w:spacing w:line="249" w:lineRule="auto" w:before="0" w:after="0"/>
        <w:ind w:left="612" w:right="407" w:hanging="449"/>
        <w:jc w:val="both"/>
        <w:rPr>
          <w:sz w:val="28"/>
        </w:rPr>
      </w:pPr>
      <w:r>
        <w:rPr>
          <w:color w:val="0F243E"/>
          <w:sz w:val="28"/>
        </w:rPr>
        <w:t>“the</w:t>
      </w:r>
      <w:r>
        <w:rPr>
          <w:color w:val="0F243E"/>
          <w:spacing w:val="-4"/>
          <w:sz w:val="28"/>
        </w:rPr>
        <w:t> </w:t>
      </w:r>
      <w:r>
        <w:rPr>
          <w:color w:val="0F243E"/>
          <w:sz w:val="28"/>
        </w:rPr>
        <w:t>entries</w:t>
      </w:r>
      <w:r>
        <w:rPr>
          <w:color w:val="0F243E"/>
          <w:spacing w:val="-2"/>
          <w:sz w:val="28"/>
        </w:rPr>
        <w:t> </w:t>
      </w:r>
      <w:r>
        <w:rPr>
          <w:color w:val="0F243E"/>
          <w:sz w:val="28"/>
        </w:rPr>
        <w:t>in</w:t>
      </w:r>
      <w:r>
        <w:rPr>
          <w:color w:val="0F243E"/>
          <w:spacing w:val="-5"/>
          <w:sz w:val="28"/>
        </w:rPr>
        <w:t> </w:t>
      </w:r>
      <w:r>
        <w:rPr>
          <w:color w:val="0F243E"/>
          <w:sz w:val="28"/>
        </w:rPr>
        <w:t>Books</w:t>
      </w:r>
      <w:r>
        <w:rPr>
          <w:color w:val="0F243E"/>
          <w:spacing w:val="-3"/>
          <w:sz w:val="28"/>
        </w:rPr>
        <w:t> </w:t>
      </w:r>
      <w:r>
        <w:rPr>
          <w:color w:val="0F243E"/>
          <w:sz w:val="28"/>
        </w:rPr>
        <w:t>of Account/Balance</w:t>
      </w:r>
      <w:r>
        <w:rPr>
          <w:color w:val="0F243E"/>
          <w:spacing w:val="-4"/>
          <w:sz w:val="28"/>
        </w:rPr>
        <w:t> </w:t>
      </w:r>
      <w:r>
        <w:rPr>
          <w:color w:val="0F243E"/>
          <w:sz w:val="28"/>
        </w:rPr>
        <w:t>sheet</w:t>
      </w:r>
      <w:r>
        <w:rPr>
          <w:color w:val="0F243E"/>
          <w:spacing w:val="-6"/>
          <w:sz w:val="28"/>
        </w:rPr>
        <w:t> </w:t>
      </w:r>
      <w:r>
        <w:rPr>
          <w:color w:val="0F243E"/>
          <w:sz w:val="28"/>
        </w:rPr>
        <w:t>of</w:t>
      </w:r>
      <w:r>
        <w:rPr>
          <w:color w:val="0F243E"/>
          <w:spacing w:val="-3"/>
          <w:sz w:val="28"/>
        </w:rPr>
        <w:t> </w:t>
      </w:r>
      <w:r>
        <w:rPr>
          <w:color w:val="0F243E"/>
          <w:sz w:val="28"/>
        </w:rPr>
        <w:t>a</w:t>
      </w:r>
      <w:r>
        <w:rPr>
          <w:color w:val="0F243E"/>
          <w:spacing w:val="-7"/>
          <w:sz w:val="28"/>
        </w:rPr>
        <w:t> </w:t>
      </w:r>
      <w:r>
        <w:rPr>
          <w:color w:val="0F243E"/>
          <w:sz w:val="28"/>
        </w:rPr>
        <w:t>company</w:t>
      </w:r>
      <w:r>
        <w:rPr>
          <w:color w:val="0F243E"/>
          <w:spacing w:val="-5"/>
          <w:sz w:val="28"/>
        </w:rPr>
        <w:t> </w:t>
      </w:r>
      <w:r>
        <w:rPr>
          <w:color w:val="0F243E"/>
          <w:sz w:val="28"/>
        </w:rPr>
        <w:t>can</w:t>
      </w:r>
      <w:r>
        <w:rPr>
          <w:color w:val="0F243E"/>
          <w:spacing w:val="-5"/>
          <w:sz w:val="28"/>
        </w:rPr>
        <w:t> </w:t>
      </w:r>
      <w:r>
        <w:rPr>
          <w:color w:val="0F243E"/>
          <w:sz w:val="28"/>
        </w:rPr>
        <w:t>be</w:t>
      </w:r>
      <w:r>
        <w:rPr>
          <w:color w:val="0F243E"/>
          <w:spacing w:val="-7"/>
          <w:sz w:val="28"/>
        </w:rPr>
        <w:t> </w:t>
      </w:r>
      <w:r>
        <w:rPr>
          <w:color w:val="0F243E"/>
          <w:sz w:val="28"/>
        </w:rPr>
        <w:t>treated</w:t>
      </w:r>
      <w:r>
        <w:rPr>
          <w:color w:val="0F243E"/>
          <w:spacing w:val="-4"/>
          <w:sz w:val="28"/>
        </w:rPr>
        <w:t> </w:t>
      </w:r>
      <w:r>
        <w:rPr>
          <w:color w:val="0F243E"/>
          <w:sz w:val="28"/>
        </w:rPr>
        <w:t>as</w:t>
      </w:r>
      <w:r>
        <w:rPr>
          <w:color w:val="0F243E"/>
          <w:spacing w:val="-76"/>
          <w:sz w:val="28"/>
        </w:rPr>
        <w:t> </w:t>
      </w:r>
      <w:r>
        <w:rPr>
          <w:color w:val="0F243E"/>
          <w:sz w:val="28"/>
        </w:rPr>
        <w:t>acknowledgement of liability in respect of debt payable to a financial creditor”</w:t>
      </w:r>
      <w:r>
        <w:rPr>
          <w:color w:val="0F243E"/>
          <w:spacing w:val="1"/>
          <w:sz w:val="28"/>
        </w:rPr>
        <w:t> </w:t>
      </w:r>
      <w:r>
        <w:rPr>
          <w:color w:val="0F243E"/>
          <w:sz w:val="28"/>
        </w:rPr>
        <w:t>and</w:t>
      </w:r>
      <w:r>
        <w:rPr>
          <w:color w:val="0F243E"/>
          <w:spacing w:val="-5"/>
          <w:sz w:val="28"/>
        </w:rPr>
        <w:t> </w:t>
      </w:r>
      <w:r>
        <w:rPr>
          <w:color w:val="0F243E"/>
          <w:sz w:val="28"/>
        </w:rPr>
        <w:t>order</w:t>
      </w:r>
      <w:r>
        <w:rPr>
          <w:color w:val="0F243E"/>
          <w:spacing w:val="-6"/>
          <w:sz w:val="28"/>
        </w:rPr>
        <w:t> </w:t>
      </w:r>
      <w:r>
        <w:rPr>
          <w:color w:val="0F243E"/>
          <w:sz w:val="28"/>
        </w:rPr>
        <w:t>of</w:t>
      </w:r>
      <w:r>
        <w:rPr>
          <w:color w:val="0F243E"/>
          <w:spacing w:val="-3"/>
          <w:sz w:val="28"/>
        </w:rPr>
        <w:t> </w:t>
      </w:r>
      <w:r>
        <w:rPr>
          <w:color w:val="0F243E"/>
          <w:sz w:val="28"/>
        </w:rPr>
        <w:t>the</w:t>
      </w:r>
      <w:r>
        <w:rPr>
          <w:color w:val="0F243E"/>
          <w:spacing w:val="-5"/>
          <w:sz w:val="28"/>
        </w:rPr>
        <w:t> </w:t>
      </w:r>
      <w:r>
        <w:rPr>
          <w:color w:val="0F243E"/>
          <w:sz w:val="28"/>
        </w:rPr>
        <w:t>NCLAT</w:t>
      </w:r>
      <w:r>
        <w:rPr>
          <w:color w:val="0F243E"/>
          <w:spacing w:val="-4"/>
          <w:sz w:val="28"/>
        </w:rPr>
        <w:t> </w:t>
      </w:r>
      <w:r>
        <w:rPr>
          <w:color w:val="0F243E"/>
          <w:sz w:val="28"/>
        </w:rPr>
        <w:t>was set</w:t>
      </w:r>
      <w:r>
        <w:rPr>
          <w:color w:val="0F243E"/>
          <w:spacing w:val="-4"/>
          <w:sz w:val="28"/>
        </w:rPr>
        <w:t> </w:t>
      </w:r>
      <w:r>
        <w:rPr>
          <w:color w:val="0F243E"/>
          <w:sz w:val="28"/>
        </w:rPr>
        <w:t>aside.</w:t>
      </w: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0" w:lineRule="auto" w:before="0" w:after="0"/>
        <w:ind w:left="688" w:right="0" w:hanging="526"/>
        <w:jc w:val="left"/>
        <w:rPr>
          <w:sz w:val="28"/>
        </w:rPr>
      </w:pPr>
      <w:hyperlink r:id="rId26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7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9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7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order</w:t>
        </w:r>
      </w:hyperlink>
    </w:p>
    <w:p>
      <w:pPr>
        <w:pStyle w:val="BodyText"/>
        <w:rPr>
          <w:sz w:val="39"/>
        </w:rPr>
      </w:pPr>
    </w:p>
    <w:p>
      <w:pPr>
        <w:pStyle w:val="Heading2"/>
        <w:numPr>
          <w:ilvl w:val="0"/>
          <w:numId w:val="5"/>
        </w:numPr>
        <w:tabs>
          <w:tab w:pos="704" w:val="left" w:leader="none"/>
        </w:tabs>
        <w:spacing w:line="249" w:lineRule="auto" w:before="1" w:after="0"/>
        <w:ind w:left="703" w:right="408" w:hanging="540"/>
        <w:jc w:val="both"/>
        <w:rPr>
          <w:color w:val="394557"/>
        </w:rPr>
      </w:pPr>
      <w:r>
        <w:rPr>
          <w:color w:val="394557"/>
        </w:rPr>
        <w:t>NCLAT</w:t>
      </w:r>
      <w:r>
        <w:rPr>
          <w:color w:val="394557"/>
          <w:spacing w:val="87"/>
        </w:rPr>
        <w:t> </w:t>
      </w:r>
      <w:r>
        <w:rPr>
          <w:color w:val="394557"/>
        </w:rPr>
        <w:t>held</w:t>
      </w:r>
      <w:r>
        <w:rPr>
          <w:color w:val="394557"/>
          <w:spacing w:val="86"/>
        </w:rPr>
        <w:t> </w:t>
      </w:r>
      <w:r>
        <w:rPr>
          <w:color w:val="394557"/>
        </w:rPr>
        <w:t>that</w:t>
      </w:r>
      <w:r>
        <w:rPr>
          <w:color w:val="394557"/>
          <w:spacing w:val="87"/>
        </w:rPr>
        <w:t> </w:t>
      </w:r>
      <w:r>
        <w:rPr>
          <w:color w:val="394557"/>
        </w:rPr>
        <w:t>Moratorium</w:t>
      </w:r>
      <w:r>
        <w:rPr>
          <w:color w:val="394557"/>
          <w:spacing w:val="86"/>
        </w:rPr>
        <w:t> </w:t>
      </w:r>
      <w:r>
        <w:rPr>
          <w:color w:val="394557"/>
        </w:rPr>
        <w:t>is</w:t>
      </w:r>
      <w:r>
        <w:rPr>
          <w:color w:val="394557"/>
          <w:spacing w:val="87"/>
        </w:rPr>
        <w:t> </w:t>
      </w:r>
      <w:r>
        <w:rPr>
          <w:color w:val="394557"/>
        </w:rPr>
        <w:t>no</w:t>
      </w:r>
      <w:r>
        <w:rPr>
          <w:color w:val="394557"/>
          <w:spacing w:val="86"/>
        </w:rPr>
        <w:t> </w:t>
      </w:r>
      <w:r>
        <w:rPr>
          <w:color w:val="394557"/>
        </w:rPr>
        <w:t>bar</w:t>
      </w:r>
      <w:r>
        <w:rPr>
          <w:color w:val="394557"/>
          <w:spacing w:val="85"/>
        </w:rPr>
        <w:t> </w:t>
      </w:r>
      <w:r>
        <w:rPr>
          <w:color w:val="394557"/>
        </w:rPr>
        <w:t>for</w:t>
      </w:r>
      <w:r>
        <w:rPr>
          <w:color w:val="394557"/>
          <w:spacing w:val="88"/>
        </w:rPr>
        <w:t> </w:t>
      </w:r>
      <w:r>
        <w:rPr>
          <w:color w:val="394557"/>
        </w:rPr>
        <w:t>initiation</w:t>
      </w:r>
      <w:r>
        <w:rPr>
          <w:color w:val="394557"/>
          <w:spacing w:val="86"/>
        </w:rPr>
        <w:t> </w:t>
      </w:r>
      <w:r>
        <w:rPr>
          <w:color w:val="394557"/>
        </w:rPr>
        <w:t>of</w:t>
      </w:r>
      <w:r>
        <w:rPr>
          <w:color w:val="394557"/>
          <w:spacing w:val="-87"/>
        </w:rPr>
        <w:t> </w:t>
      </w:r>
      <w:r>
        <w:rPr>
          <w:color w:val="394557"/>
        </w:rPr>
        <w:t>proceedings</w:t>
      </w:r>
      <w:r>
        <w:rPr>
          <w:color w:val="394557"/>
          <w:spacing w:val="-9"/>
        </w:rPr>
        <w:t> </w:t>
      </w:r>
      <w:r>
        <w:rPr>
          <w:color w:val="394557"/>
        </w:rPr>
        <w:t>under</w:t>
      </w:r>
      <w:r>
        <w:rPr>
          <w:color w:val="394557"/>
          <w:spacing w:val="-2"/>
        </w:rPr>
        <w:t> </w:t>
      </w:r>
      <w:r>
        <w:rPr>
          <w:color w:val="394557"/>
        </w:rPr>
        <w:t>section</w:t>
      </w:r>
      <w:r>
        <w:rPr>
          <w:color w:val="394557"/>
          <w:spacing w:val="-6"/>
        </w:rPr>
        <w:t> </w:t>
      </w:r>
      <w:r>
        <w:rPr>
          <w:color w:val="394557"/>
        </w:rPr>
        <w:t>66</w:t>
      </w:r>
      <w:r>
        <w:rPr>
          <w:color w:val="394557"/>
          <w:spacing w:val="-4"/>
        </w:rPr>
        <w:t> </w:t>
      </w:r>
      <w:r>
        <w:rPr>
          <w:color w:val="394557"/>
        </w:rPr>
        <w:t>of</w:t>
      </w:r>
      <w:r>
        <w:rPr>
          <w:color w:val="394557"/>
          <w:spacing w:val="-1"/>
        </w:rPr>
        <w:t> </w:t>
      </w:r>
      <w:r>
        <w:rPr>
          <w:color w:val="394557"/>
        </w:rPr>
        <w:t>the</w:t>
      </w:r>
      <w:r>
        <w:rPr>
          <w:color w:val="394557"/>
          <w:spacing w:val="-1"/>
        </w:rPr>
        <w:t> </w:t>
      </w:r>
      <w:r>
        <w:rPr>
          <w:color w:val="394557"/>
        </w:rPr>
        <w:t>code</w:t>
      </w:r>
    </w:p>
    <w:p>
      <w:pPr>
        <w:pStyle w:val="BodyText"/>
        <w:spacing w:before="1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12" w:val="left" w:leader="none"/>
        </w:tabs>
        <w:spacing w:line="249" w:lineRule="auto" w:before="0" w:after="0"/>
        <w:ind w:left="612" w:right="402" w:hanging="449"/>
        <w:jc w:val="both"/>
        <w:rPr>
          <w:sz w:val="28"/>
        </w:rPr>
      </w:pPr>
      <w:r>
        <w:rPr>
          <w:color w:val="394557"/>
          <w:sz w:val="28"/>
        </w:rPr>
        <w:t>In the matter of Rakesh Kumar Jain (RP) &amp; Jagdish Singh Nain (RP), NCLAT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held that provisions of Moratorium and Fraudulent trading or wrongful trading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are independent provisions incorporated for different purposes and therefore,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these provisions have to be read independently to achieve the objective of the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Code.</w: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12" w:val="left" w:leader="none"/>
        </w:tabs>
        <w:spacing w:line="249" w:lineRule="auto" w:before="0" w:after="0"/>
        <w:ind w:left="612" w:right="408" w:hanging="449"/>
        <w:jc w:val="both"/>
        <w:rPr>
          <w:sz w:val="28"/>
        </w:rPr>
      </w:pPr>
      <w:r>
        <w:rPr>
          <w:color w:val="394557"/>
          <w:sz w:val="28"/>
        </w:rPr>
        <w:t>NCLAT</w:t>
      </w:r>
      <w:r>
        <w:rPr>
          <w:color w:val="394557"/>
          <w:spacing w:val="-17"/>
          <w:sz w:val="28"/>
        </w:rPr>
        <w:t> </w:t>
      </w:r>
      <w:r>
        <w:rPr>
          <w:color w:val="394557"/>
          <w:sz w:val="28"/>
        </w:rPr>
        <w:t>upheld</w:t>
      </w:r>
      <w:r>
        <w:rPr>
          <w:color w:val="394557"/>
          <w:spacing w:val="-10"/>
          <w:sz w:val="28"/>
        </w:rPr>
        <w:t> </w:t>
      </w:r>
      <w:r>
        <w:rPr>
          <w:color w:val="394557"/>
          <w:sz w:val="28"/>
        </w:rPr>
        <w:t>the</w:t>
      </w:r>
      <w:r>
        <w:rPr>
          <w:color w:val="394557"/>
          <w:spacing w:val="-14"/>
          <w:sz w:val="28"/>
        </w:rPr>
        <w:t> </w:t>
      </w:r>
      <w:r>
        <w:rPr>
          <w:color w:val="394557"/>
          <w:sz w:val="28"/>
        </w:rPr>
        <w:t>order</w:t>
      </w:r>
      <w:r>
        <w:rPr>
          <w:color w:val="394557"/>
          <w:spacing w:val="-11"/>
          <w:sz w:val="28"/>
        </w:rPr>
        <w:t> </w:t>
      </w:r>
      <w:r>
        <w:rPr>
          <w:color w:val="394557"/>
          <w:sz w:val="28"/>
        </w:rPr>
        <w:t>passed</w:t>
      </w:r>
      <w:r>
        <w:rPr>
          <w:color w:val="394557"/>
          <w:spacing w:val="-11"/>
          <w:sz w:val="28"/>
        </w:rPr>
        <w:t> </w:t>
      </w:r>
      <w:r>
        <w:rPr>
          <w:color w:val="394557"/>
          <w:sz w:val="28"/>
        </w:rPr>
        <w:t>by</w:t>
      </w:r>
      <w:r>
        <w:rPr>
          <w:color w:val="394557"/>
          <w:spacing w:val="-10"/>
          <w:sz w:val="28"/>
        </w:rPr>
        <w:t> </w:t>
      </w:r>
      <w:r>
        <w:rPr>
          <w:color w:val="394557"/>
          <w:sz w:val="28"/>
        </w:rPr>
        <w:t>NCLT</w:t>
      </w:r>
      <w:r>
        <w:rPr>
          <w:color w:val="394557"/>
          <w:spacing w:val="-16"/>
          <w:sz w:val="28"/>
        </w:rPr>
        <w:t> </w:t>
      </w:r>
      <w:r>
        <w:rPr>
          <w:color w:val="394557"/>
          <w:sz w:val="28"/>
        </w:rPr>
        <w:t>that</w:t>
      </w:r>
      <w:r>
        <w:rPr>
          <w:color w:val="394557"/>
          <w:spacing w:val="-11"/>
          <w:sz w:val="28"/>
        </w:rPr>
        <w:t> </w:t>
      </w:r>
      <w:r>
        <w:rPr>
          <w:color w:val="394557"/>
          <w:sz w:val="28"/>
        </w:rPr>
        <w:t>provision</w:t>
      </w:r>
      <w:r>
        <w:rPr>
          <w:color w:val="394557"/>
          <w:spacing w:val="-11"/>
          <w:sz w:val="28"/>
        </w:rPr>
        <w:t> </w:t>
      </w:r>
      <w:r>
        <w:rPr>
          <w:color w:val="394557"/>
          <w:sz w:val="28"/>
        </w:rPr>
        <w:t>of</w:t>
      </w:r>
      <w:r>
        <w:rPr>
          <w:color w:val="394557"/>
          <w:spacing w:val="-10"/>
          <w:sz w:val="28"/>
        </w:rPr>
        <w:t> </w:t>
      </w:r>
      <w:r>
        <w:rPr>
          <w:color w:val="394557"/>
          <w:sz w:val="28"/>
        </w:rPr>
        <w:t>Moratorium</w:t>
      </w:r>
      <w:r>
        <w:rPr>
          <w:color w:val="394557"/>
          <w:spacing w:val="-12"/>
          <w:sz w:val="28"/>
        </w:rPr>
        <w:t> </w:t>
      </w:r>
      <w:r>
        <w:rPr>
          <w:color w:val="394557"/>
          <w:sz w:val="28"/>
        </w:rPr>
        <w:t>prohibits</w:t>
      </w:r>
      <w:r>
        <w:rPr>
          <w:color w:val="394557"/>
          <w:spacing w:val="-75"/>
          <w:sz w:val="28"/>
        </w:rPr>
        <w:t> </w:t>
      </w:r>
      <w:r>
        <w:rPr>
          <w:color w:val="394557"/>
          <w:sz w:val="28"/>
        </w:rPr>
        <w:t>institution and prosecution of proceedings against the Corporate Debtor but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does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not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prohibit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proceedings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against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any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fraudulent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transactions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under</w:t>
      </w:r>
      <w:r>
        <w:rPr>
          <w:color w:val="394557"/>
          <w:spacing w:val="1"/>
          <w:sz w:val="28"/>
        </w:rPr>
        <w:t> </w:t>
      </w:r>
      <w:r>
        <w:rPr>
          <w:color w:val="394557"/>
          <w:sz w:val="28"/>
        </w:rPr>
        <w:t>Section</w:t>
      </w:r>
      <w:r>
        <w:rPr>
          <w:color w:val="394557"/>
          <w:spacing w:val="-11"/>
          <w:sz w:val="28"/>
        </w:rPr>
        <w:t> </w:t>
      </w:r>
      <w:r>
        <w:rPr>
          <w:color w:val="394557"/>
          <w:sz w:val="28"/>
        </w:rPr>
        <w:t>66</w:t>
      </w:r>
      <w:r>
        <w:rPr>
          <w:color w:val="394557"/>
          <w:spacing w:val="-4"/>
          <w:sz w:val="28"/>
        </w:rPr>
        <w:t> </w:t>
      </w:r>
      <w:r>
        <w:rPr>
          <w:color w:val="394557"/>
          <w:sz w:val="28"/>
        </w:rPr>
        <w:t>of</w:t>
      </w:r>
      <w:r>
        <w:rPr>
          <w:color w:val="394557"/>
          <w:spacing w:val="-5"/>
          <w:sz w:val="28"/>
        </w:rPr>
        <w:t> </w:t>
      </w:r>
      <w:r>
        <w:rPr>
          <w:color w:val="394557"/>
          <w:sz w:val="28"/>
        </w:rPr>
        <w:t>the</w:t>
      </w:r>
      <w:r>
        <w:rPr>
          <w:color w:val="394557"/>
          <w:spacing w:val="-9"/>
          <w:sz w:val="28"/>
        </w:rPr>
        <w:t> </w:t>
      </w:r>
      <w:r>
        <w:rPr>
          <w:color w:val="394557"/>
          <w:sz w:val="28"/>
        </w:rPr>
        <w:t>Code.</w:t>
      </w: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11" w:val="left" w:leader="none"/>
          <w:tab w:pos="612" w:val="left" w:leader="none"/>
        </w:tabs>
        <w:spacing w:line="240" w:lineRule="auto" w:before="0" w:after="0"/>
        <w:ind w:left="612" w:right="0" w:hanging="449"/>
        <w:jc w:val="left"/>
        <w:rPr>
          <w:sz w:val="28"/>
        </w:rPr>
      </w:pPr>
      <w:hyperlink r:id="rId27">
        <w:r>
          <w:rPr>
            <w:color w:val="4AACC5"/>
            <w:sz w:val="28"/>
            <w:u w:val="thick" w:color="4AACC5"/>
          </w:rPr>
          <w:t>Click</w:t>
        </w:r>
        <w:r>
          <w:rPr>
            <w:color w:val="4AACC5"/>
            <w:spacing w:val="-6"/>
            <w:sz w:val="28"/>
            <w:u w:val="thick" w:color="4AACC5"/>
          </w:rPr>
          <w:t> </w:t>
        </w:r>
        <w:r>
          <w:rPr>
            <w:color w:val="4AACC5"/>
            <w:sz w:val="28"/>
            <w:u w:val="thick" w:color="4AACC5"/>
          </w:rPr>
          <w:t>here</w:t>
        </w:r>
        <w:r>
          <w:rPr>
            <w:color w:val="4AACC5"/>
            <w:spacing w:val="-10"/>
            <w:sz w:val="28"/>
            <w:u w:val="thick" w:color="4AACC5"/>
          </w:rPr>
          <w:t> </w:t>
        </w:r>
        <w:r>
          <w:rPr>
            <w:color w:val="4AACC5"/>
            <w:sz w:val="28"/>
            <w:u w:val="thick" w:color="4AACC5"/>
          </w:rPr>
          <w:t>for</w:t>
        </w:r>
        <w:r>
          <w:rPr>
            <w:color w:val="4AACC5"/>
            <w:spacing w:val="-7"/>
            <w:sz w:val="28"/>
            <w:u w:val="thick" w:color="4AACC5"/>
          </w:rPr>
          <w:t> </w:t>
        </w:r>
        <w:r>
          <w:rPr>
            <w:color w:val="4AACC5"/>
            <w:sz w:val="28"/>
            <w:u w:val="thick" w:color="4AACC5"/>
          </w:rPr>
          <w:t>Order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Heading3"/>
        <w:tabs>
          <w:tab w:pos="7524" w:val="left" w:leader="none"/>
        </w:tabs>
        <w:spacing w:before="92"/>
      </w:pPr>
      <w:r>
        <w:rPr>
          <w:color w:val="EBCF6A"/>
          <w:position w:val="2"/>
        </w:rPr>
        <w:t>AUG</w:t>
      </w:r>
      <w:r>
        <w:rPr>
          <w:color w:val="EBCF6A"/>
          <w:spacing w:val="-7"/>
          <w:position w:val="2"/>
        </w:rPr>
        <w:t> </w:t>
      </w:r>
      <w:r>
        <w:rPr>
          <w:color w:val="EBCF6A"/>
          <w:spacing w:val="16"/>
          <w:position w:val="2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0"/>
        </w:rPr>
        <w:t> </w:t>
      </w:r>
      <w:r>
        <w:rPr>
          <w:color w:val="EBCF6A"/>
          <w:spacing w:val="-16"/>
        </w:rPr>
        <w:t>UPDATE</w:t>
      </w:r>
    </w:p>
    <w:p>
      <w:pPr>
        <w:spacing w:after="0"/>
        <w:sectPr>
          <w:pgSz w:w="10800" w:h="19200"/>
          <w:pgMar w:top="300" w:bottom="0" w:left="0" w:right="0"/>
        </w:sectPr>
      </w:pPr>
    </w:p>
    <w:p>
      <w:pPr>
        <w:spacing w:before="65"/>
        <w:ind w:left="0" w:right="524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92672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79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864;width:10788;height:14262" coordorigin="0,4864" coordsize="10788,14262" path="m0,4864l0,19126,10788,19126,10788,10912,10787,10912,10787,4864,10542,5011,10298,5150,10053,5286,9807,5403,9562,5521,9315,5630,9072,5725,8826,5814,8581,5895,8340,5966,8096,6037,7855,6095,7615,6141,7375,6190,7137,6230,6902,6258,6666,6283,6433,6306,6203,6317,5973,6329,5746,6335,5522,6329,5299,6329,5079,6317,4863,6299,4649,6283,4439,6264,4231,6236,4026,6205,3825,6178,3433,6100,3057,6018,2696,5932,2355,5836,2029,5737,1727,5630,1443,5526,1181,5421,942,5322,729,5227,537,5138,375,5064,239,4993,0,4864xe" filled="true" fillcolor="#ffffff" stroked="false">
              <v:path arrowok="t"/>
              <v:fill type="solid"/>
            </v:shape>
            <v:shape style="position:absolute;left:0;top:3225;width:10800;height:15974" coordorigin="0,3226" coordsize="10800,15974" path="m10764,3226l5540,3226,5540,3986,10764,3986,10764,3226xm10799,18794l0,18794,0,19199,10799,19199,10799,18794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568;top:969;width:1414;height:1414" type="#_x0000_t75" stroked="false">
              <v:imagedata r:id="rId28" o:title=""/>
            </v:shape>
            <v:shape style="position:absolute;left:976;top:2385;width:4028;height:2564" type="#_x0000_t75" stroked="false">
              <v:imagedata r:id="rId29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Heading1"/>
        <w:spacing w:before="88"/>
        <w:ind w:left="5683"/>
      </w:pPr>
      <w:r>
        <w:rPr>
          <w:color w:val="EBCF6A"/>
        </w:rPr>
        <w:t>DUE</w:t>
      </w:r>
      <w:r>
        <w:rPr>
          <w:color w:val="EBCF6A"/>
          <w:spacing w:val="22"/>
        </w:rPr>
        <w:t> </w:t>
      </w:r>
      <w:r>
        <w:rPr>
          <w:color w:val="EBCF6A"/>
        </w:rPr>
        <w:t>DATES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5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0"/>
        <w:gridCol w:w="1397"/>
        <w:gridCol w:w="1583"/>
        <w:gridCol w:w="1320"/>
        <w:gridCol w:w="1200"/>
        <w:gridCol w:w="1531"/>
        <w:gridCol w:w="1463"/>
      </w:tblGrid>
      <w:tr>
        <w:trPr>
          <w:trHeight w:val="546" w:hRule="atLeast"/>
        </w:trPr>
        <w:tc>
          <w:tcPr>
            <w:tcW w:w="1580" w:type="dxa"/>
            <w:shd w:val="clear" w:color="auto" w:fill="4F81BB"/>
          </w:tcPr>
          <w:p>
            <w:pPr>
              <w:pStyle w:val="TableParagraph"/>
              <w:spacing w:before="66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397" w:type="dxa"/>
            <w:shd w:val="clear" w:color="auto" w:fill="4F81BB"/>
          </w:tcPr>
          <w:p>
            <w:pPr>
              <w:pStyle w:val="TableParagraph"/>
              <w:spacing w:before="66"/>
              <w:ind w:left="14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583" w:type="dxa"/>
            <w:shd w:val="clear" w:color="auto" w:fill="4F81BB"/>
          </w:tcPr>
          <w:p>
            <w:pPr>
              <w:pStyle w:val="TableParagraph"/>
              <w:spacing w:before="66"/>
              <w:ind w:left="14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320" w:type="dxa"/>
            <w:shd w:val="clear" w:color="auto" w:fill="4F81BB"/>
          </w:tcPr>
          <w:p>
            <w:pPr>
              <w:pStyle w:val="TableParagraph"/>
              <w:spacing w:before="66"/>
              <w:ind w:left="14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200" w:type="dxa"/>
            <w:shd w:val="clear" w:color="auto" w:fill="4F81BB"/>
          </w:tcPr>
          <w:p>
            <w:pPr>
              <w:pStyle w:val="TableParagraph"/>
              <w:spacing w:before="66"/>
              <w:ind w:left="14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531" w:type="dxa"/>
            <w:shd w:val="clear" w:color="auto" w:fill="4F81BB"/>
          </w:tcPr>
          <w:p>
            <w:pPr>
              <w:pStyle w:val="TableParagraph"/>
              <w:spacing w:before="66"/>
              <w:ind w:left="45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63" w:type="dxa"/>
            <w:shd w:val="clear" w:color="auto" w:fill="4F81BB"/>
          </w:tcPr>
          <w:p>
            <w:pPr>
              <w:pStyle w:val="TableParagraph"/>
              <w:spacing w:before="66"/>
              <w:ind w:left="15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663" w:hRule="atLeast"/>
        </w:trPr>
        <w:tc>
          <w:tcPr>
            <w:tcW w:w="1580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line="322" w:lineRule="exact" w:before="0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1</w:t>
            </w:r>
          </w:p>
        </w:tc>
        <w:tc>
          <w:tcPr>
            <w:tcW w:w="1531" w:type="dxa"/>
          </w:tcPr>
          <w:p>
            <w:pPr>
              <w:pStyle w:val="TableParagraph"/>
              <w:spacing w:line="322" w:lineRule="exact" w:before="0"/>
              <w:ind w:left="2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2</w:t>
            </w:r>
          </w:p>
        </w:tc>
        <w:tc>
          <w:tcPr>
            <w:tcW w:w="1463" w:type="dxa"/>
          </w:tcPr>
          <w:p>
            <w:pPr>
              <w:pStyle w:val="TableParagraph"/>
              <w:ind w:left="1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3</w:t>
            </w:r>
          </w:p>
        </w:tc>
      </w:tr>
      <w:tr>
        <w:trPr>
          <w:trHeight w:val="515" w:hRule="atLeast"/>
        </w:trPr>
        <w:tc>
          <w:tcPr>
            <w:tcW w:w="1580" w:type="dxa"/>
          </w:tcPr>
          <w:p>
            <w:pPr>
              <w:pStyle w:val="TableParagraph"/>
              <w:ind w:left="1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4</w:t>
            </w:r>
          </w:p>
        </w:tc>
        <w:tc>
          <w:tcPr>
            <w:tcW w:w="1397" w:type="dxa"/>
          </w:tcPr>
          <w:p>
            <w:pPr>
              <w:pStyle w:val="TableParagraph"/>
              <w:ind w:left="1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5</w:t>
            </w:r>
          </w:p>
        </w:tc>
        <w:tc>
          <w:tcPr>
            <w:tcW w:w="1583" w:type="dxa"/>
          </w:tcPr>
          <w:p>
            <w:pPr>
              <w:pStyle w:val="TableParagraph"/>
              <w:ind w:left="1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6</w:t>
            </w:r>
          </w:p>
        </w:tc>
        <w:tc>
          <w:tcPr>
            <w:tcW w:w="1320" w:type="dxa"/>
          </w:tcPr>
          <w:p>
            <w:pPr>
              <w:pStyle w:val="TableParagraph"/>
              <w:ind w:left="16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7</w:t>
            </w:r>
          </w:p>
        </w:tc>
        <w:tc>
          <w:tcPr>
            <w:tcW w:w="1200" w:type="dxa"/>
            <w:shd w:val="clear" w:color="auto" w:fill="FFFFFF"/>
          </w:tcPr>
          <w:p>
            <w:pPr>
              <w:pStyle w:val="TableParagraph"/>
              <w:ind w:left="16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8</w:t>
            </w:r>
          </w:p>
        </w:tc>
        <w:tc>
          <w:tcPr>
            <w:tcW w:w="1531" w:type="dxa"/>
          </w:tcPr>
          <w:p>
            <w:pPr>
              <w:pStyle w:val="TableParagraph"/>
              <w:ind w:left="1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9</w:t>
            </w:r>
          </w:p>
        </w:tc>
        <w:tc>
          <w:tcPr>
            <w:tcW w:w="1463" w:type="dxa"/>
          </w:tcPr>
          <w:p>
            <w:pPr>
              <w:pStyle w:val="TableParagraph"/>
              <w:ind w:right="479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</w:tr>
      <w:tr>
        <w:trPr>
          <w:trHeight w:val="515" w:hRule="atLeast"/>
        </w:trPr>
        <w:tc>
          <w:tcPr>
            <w:tcW w:w="1580" w:type="dxa"/>
          </w:tcPr>
          <w:p>
            <w:pPr>
              <w:pStyle w:val="TableParagraph"/>
              <w:ind w:right="541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397" w:type="dxa"/>
            <w:shd w:val="clear" w:color="auto" w:fill="FFFFFF"/>
          </w:tcPr>
          <w:p>
            <w:pPr>
              <w:pStyle w:val="TableParagraph"/>
              <w:ind w:right="449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583" w:type="dxa"/>
          </w:tcPr>
          <w:p>
            <w:pPr>
              <w:pStyle w:val="TableParagraph"/>
              <w:ind w:right="542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320" w:type="dxa"/>
          </w:tcPr>
          <w:p>
            <w:pPr>
              <w:pStyle w:val="TableParagraph"/>
              <w:ind w:right="410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200" w:type="dxa"/>
            <w:shd w:val="clear" w:color="auto" w:fill="548ED4"/>
          </w:tcPr>
          <w:p>
            <w:pPr>
              <w:pStyle w:val="TableParagraph"/>
              <w:ind w:right="348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531" w:type="dxa"/>
            <w:shd w:val="clear" w:color="auto" w:fill="FFFFFF"/>
          </w:tcPr>
          <w:p>
            <w:pPr>
              <w:pStyle w:val="TableParagraph"/>
              <w:ind w:right="51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63" w:type="dxa"/>
          </w:tcPr>
          <w:p>
            <w:pPr>
              <w:pStyle w:val="TableParagraph"/>
              <w:ind w:right="479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</w:tr>
      <w:tr>
        <w:trPr>
          <w:trHeight w:val="514" w:hRule="atLeast"/>
        </w:trPr>
        <w:tc>
          <w:tcPr>
            <w:tcW w:w="1580" w:type="dxa"/>
          </w:tcPr>
          <w:p>
            <w:pPr>
              <w:pStyle w:val="TableParagraph"/>
              <w:ind w:right="541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397" w:type="dxa"/>
          </w:tcPr>
          <w:p>
            <w:pPr>
              <w:pStyle w:val="TableParagraph"/>
              <w:ind w:right="449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583" w:type="dxa"/>
            <w:shd w:val="clear" w:color="auto" w:fill="FFFFFF"/>
          </w:tcPr>
          <w:p>
            <w:pPr>
              <w:pStyle w:val="TableParagraph"/>
              <w:ind w:right="542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320" w:type="dxa"/>
          </w:tcPr>
          <w:p>
            <w:pPr>
              <w:pStyle w:val="TableParagraph"/>
              <w:ind w:right="410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200" w:type="dxa"/>
            <w:shd w:val="clear" w:color="auto" w:fill="FFFFFF"/>
          </w:tcPr>
          <w:p>
            <w:pPr>
              <w:pStyle w:val="TableParagraph"/>
              <w:ind w:right="348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531" w:type="dxa"/>
          </w:tcPr>
          <w:p>
            <w:pPr>
              <w:pStyle w:val="TableParagraph"/>
              <w:ind w:right="51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63" w:type="dxa"/>
          </w:tcPr>
          <w:p>
            <w:pPr>
              <w:pStyle w:val="TableParagraph"/>
              <w:ind w:right="479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</w:tr>
      <w:tr>
        <w:trPr>
          <w:trHeight w:val="592" w:hRule="atLeast"/>
        </w:trPr>
        <w:tc>
          <w:tcPr>
            <w:tcW w:w="1580" w:type="dxa"/>
            <w:shd w:val="clear" w:color="auto" w:fill="FFFFFF"/>
          </w:tcPr>
          <w:p>
            <w:pPr>
              <w:pStyle w:val="TableParagraph"/>
              <w:spacing w:before="68"/>
              <w:ind w:right="541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397" w:type="dxa"/>
          </w:tcPr>
          <w:p>
            <w:pPr>
              <w:pStyle w:val="TableParagraph"/>
              <w:spacing w:before="68"/>
              <w:ind w:right="449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583" w:type="dxa"/>
            <w:shd w:val="clear" w:color="auto" w:fill="92D050"/>
          </w:tcPr>
          <w:p>
            <w:pPr>
              <w:pStyle w:val="TableParagraph"/>
              <w:spacing w:before="68"/>
              <w:ind w:right="542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320" w:type="dxa"/>
          </w:tcPr>
          <w:p>
            <w:pPr>
              <w:pStyle w:val="TableParagraph"/>
              <w:spacing w:before="68"/>
              <w:ind w:right="410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200" w:type="dxa"/>
          </w:tcPr>
          <w:p>
            <w:pPr>
              <w:pStyle w:val="TableParagraph"/>
              <w:spacing w:before="68"/>
              <w:ind w:right="348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531" w:type="dxa"/>
            <w:shd w:val="clear" w:color="auto" w:fill="FFFF00"/>
          </w:tcPr>
          <w:p>
            <w:pPr>
              <w:pStyle w:val="TableParagraph"/>
              <w:spacing w:before="68"/>
              <w:ind w:right="51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6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>
        <w:trPr>
          <w:trHeight w:val="592" w:hRule="atLeast"/>
        </w:trPr>
        <w:tc>
          <w:tcPr>
            <w:tcW w:w="158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6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spacing w:before="8"/>
        <w:rPr>
          <w:rFonts w:ascii="Arial"/>
          <w:b/>
          <w:sz w:val="10"/>
        </w:rPr>
      </w:pPr>
    </w:p>
    <w:p>
      <w:pPr>
        <w:pStyle w:val="Heading2"/>
        <w:tabs>
          <w:tab w:pos="10598" w:val="left" w:leader="none"/>
        </w:tabs>
        <w:spacing w:before="89"/>
        <w:ind w:left="0"/>
      </w:pPr>
      <w:r>
        <w:rPr/>
        <w:drawing>
          <wp:anchor distT="0" distB="0" distL="0" distR="0" allowOverlap="1" layoutInCell="1" locked="0" behindDoc="1" simplePos="0" relativeHeight="487222784">
            <wp:simplePos x="0" y="0"/>
            <wp:positionH relativeFrom="page">
              <wp:posOffset>4724400</wp:posOffset>
            </wp:positionH>
            <wp:positionV relativeFrom="paragraph">
              <wp:posOffset>-3900958</wp:posOffset>
            </wp:positionV>
            <wp:extent cx="2115311" cy="5004561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-167.842346pt;width:238.45pt;height:585.5pt;mso-position-horizontal-relative:page;mso-position-vertical-relative:paragraph;z-index:-16093184" coordorigin="0,-3357" coordsize="4769,11710">
            <v:shape style="position:absolute;left:0;top:-3357;width:4769;height:11710" type="#_x0000_t75" stroked="false">
              <v:imagedata r:id="rId10" o:title=""/>
            </v:shape>
            <v:shape style="position:absolute;left:0;top:-2741;width:1798;height:6612" type="#_x0000_t75" stroked="false">
              <v:imagedata r:id="rId11" o:title=""/>
            </v:shape>
            <w10:wrap type="none"/>
          </v:group>
        </w:pict>
      </w:r>
      <w:r>
        <w:rPr/>
        <w:pict>
          <v:shape style="position:absolute;margin-left:305.040009pt;margin-top:-155.859207pt;width:216.65pt;height:149.2pt;mso-position-horizontal-relative:page;mso-position-vertical-relative:paragraph;z-index:-16092160" coordorigin="6101,-3117" coordsize="4333,2984" path="m8936,-2557l7518,-2557,7518,-2557,7518,-2557,7518,-3117,6101,-3117,6101,-2557,6101,-1436,7518,-1436,7518,-1996,8936,-1996,8936,-2557xm10354,-1436l8936,-1436,8936,-1359,8936,-794,10354,-794,10354,-1359,10354,-1436xm10433,-746l8971,-746,8971,-133,10433,-133,10433,-74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pt;margin-top:-121.445206pt;width:228.05pt;height:114.8pt;mso-position-horizontal-relative:page;mso-position-vertical-relative:paragraph;z-index:-16091648" coordorigin="360,-2429" coordsize="4561,2296" path="m1940,-1359l360,-1359,360,-746,360,-746,360,-133,1940,-133,1940,-746,1940,-746,1940,-1359xm3337,-2429l1940,-2429,1940,-1894,3337,-1894,3337,-2429xm4920,-1894l3337,-1894,3337,-1359,4920,-1359,4920,-189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6pt;margin-top:55.868797pt;width:365.7pt;height:182.2pt;mso-position-horizontal-relative:page;mso-position-vertical-relative:paragraph;z-index:-16091136" coordorigin="3120,1117" coordsize="7314,3644" path="m10433,2063l3120,2063,3120,2952,3120,2952,3120,3753,3120,4761,10433,4761,10433,3753,10433,2952,10433,2952,10433,2063xm10433,1117l3120,1117,3120,2063,10433,2063,10433,1117xe" filled="true" fillcolor="#ffffff" stroked="false">
            <v:path arrowok="t"/>
            <v:fill type="solid"/>
            <w10:wrap type="none"/>
          </v:shape>
        </w:pict>
      </w:r>
      <w:r>
        <w:rPr>
          <w:color w:val="EBCF6A"/>
          <w:spacing w:val="13"/>
          <w:w w:val="99"/>
          <w:shd w:fill="36394F" w:color="auto" w:val="clear"/>
        </w:rPr>
        <w:t> </w:t>
      </w:r>
      <w:r>
        <w:rPr>
          <w:color w:val="EBCF6A"/>
          <w:shd w:fill="36394F" w:color="auto" w:val="clear"/>
        </w:rPr>
        <w:t>Due</w:t>
      </w:r>
      <w:r>
        <w:rPr>
          <w:color w:val="EBCF6A"/>
          <w:spacing w:val="58"/>
          <w:shd w:fill="36394F" w:color="auto" w:val="clear"/>
        </w:rPr>
        <w:t> </w:t>
      </w:r>
      <w:r>
        <w:rPr>
          <w:color w:val="EBCF6A"/>
          <w:shd w:fill="36394F" w:color="auto" w:val="clear"/>
        </w:rPr>
        <w:t>Dates</w:t>
      </w:r>
      <w:r>
        <w:rPr>
          <w:color w:val="EBCF6A"/>
          <w:spacing w:val="70"/>
          <w:shd w:fill="36394F" w:color="auto" w:val="clear"/>
        </w:rPr>
        <w:t> </w:t>
      </w:r>
      <w:r>
        <w:rPr>
          <w:color w:val="EBCF6A"/>
          <w:shd w:fill="36394F" w:color="auto" w:val="clear"/>
        </w:rPr>
        <w:t>under</w:t>
      </w:r>
      <w:r>
        <w:rPr>
          <w:color w:val="EBCF6A"/>
          <w:spacing w:val="72"/>
          <w:shd w:fill="36394F" w:color="auto" w:val="clear"/>
        </w:rPr>
        <w:t> </w:t>
      </w:r>
      <w:r>
        <w:rPr>
          <w:color w:val="EBCF6A"/>
          <w:shd w:fill="36394F" w:color="auto" w:val="clear"/>
        </w:rPr>
        <w:t>various</w:t>
      </w:r>
      <w:r>
        <w:rPr>
          <w:color w:val="EBCF6A"/>
          <w:spacing w:val="82"/>
          <w:shd w:fill="36394F" w:color="auto" w:val="clear"/>
        </w:rPr>
        <w:t> </w:t>
      </w:r>
      <w:r>
        <w:rPr>
          <w:color w:val="EBCF6A"/>
          <w:shd w:fill="36394F" w:color="auto" w:val="clear"/>
        </w:rPr>
        <w:t>laws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16"/>
        </w:rPr>
      </w:pPr>
    </w:p>
    <w:tbl>
      <w:tblPr>
        <w:tblW w:w="0" w:type="auto"/>
        <w:jc w:val="left"/>
        <w:tblInd w:w="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7"/>
        <w:gridCol w:w="7313"/>
      </w:tblGrid>
      <w:tr>
        <w:trPr>
          <w:trHeight w:val="925" w:hRule="atLeast"/>
        </w:trPr>
        <w:tc>
          <w:tcPr>
            <w:tcW w:w="2937" w:type="dxa"/>
            <w:shd w:val="clear" w:color="auto" w:fill="548ED4"/>
          </w:tcPr>
          <w:p>
            <w:pPr>
              <w:pStyle w:val="TableParagraph"/>
              <w:spacing w:before="56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0F243E"/>
                <w:sz w:val="36"/>
              </w:rPr>
              <w:t>15/09/2022</w:t>
            </w:r>
          </w:p>
        </w:tc>
        <w:tc>
          <w:tcPr>
            <w:tcW w:w="7313" w:type="dxa"/>
            <w:shd w:val="clear" w:color="auto" w:fill="FFFFFF"/>
          </w:tcPr>
          <w:p>
            <w:pPr>
              <w:pStyle w:val="TableParagraph"/>
              <w:spacing w:before="75"/>
              <w:ind w:left="144"/>
              <w:rPr>
                <w:sz w:val="32"/>
              </w:rPr>
            </w:pPr>
            <w:r>
              <w:rPr>
                <w:color w:val="0F243E"/>
                <w:sz w:val="32"/>
              </w:rPr>
              <w:t>Revised</w:t>
            </w:r>
            <w:r>
              <w:rPr>
                <w:color w:val="0F243E"/>
                <w:spacing w:val="-5"/>
                <w:sz w:val="32"/>
              </w:rPr>
              <w:t> </w:t>
            </w:r>
            <w:r>
              <w:rPr>
                <w:color w:val="0F243E"/>
                <w:sz w:val="32"/>
              </w:rPr>
              <w:t>FLA</w:t>
            </w:r>
            <w:r>
              <w:rPr>
                <w:color w:val="0F243E"/>
                <w:spacing w:val="-2"/>
                <w:sz w:val="32"/>
              </w:rPr>
              <w:t> </w:t>
            </w:r>
            <w:r>
              <w:rPr>
                <w:color w:val="0F243E"/>
                <w:sz w:val="32"/>
              </w:rPr>
              <w:t>based</w:t>
            </w:r>
            <w:r>
              <w:rPr>
                <w:color w:val="0F243E"/>
                <w:spacing w:val="-2"/>
                <w:sz w:val="32"/>
              </w:rPr>
              <w:t> </w:t>
            </w:r>
            <w:r>
              <w:rPr>
                <w:color w:val="0F243E"/>
                <w:sz w:val="32"/>
              </w:rPr>
              <w:t>on</w:t>
            </w:r>
            <w:r>
              <w:rPr>
                <w:color w:val="0F243E"/>
                <w:spacing w:val="-2"/>
                <w:sz w:val="32"/>
              </w:rPr>
              <w:t> </w:t>
            </w:r>
            <w:r>
              <w:rPr>
                <w:color w:val="0F243E"/>
                <w:sz w:val="32"/>
              </w:rPr>
              <w:t>audited</w:t>
            </w:r>
            <w:r>
              <w:rPr>
                <w:color w:val="0F243E"/>
                <w:spacing w:val="-2"/>
                <w:sz w:val="32"/>
              </w:rPr>
              <w:t> </w:t>
            </w:r>
            <w:r>
              <w:rPr>
                <w:color w:val="0F243E"/>
                <w:sz w:val="32"/>
              </w:rPr>
              <w:t>financials</w:t>
            </w:r>
          </w:p>
        </w:tc>
      </w:tr>
      <w:tr>
        <w:trPr>
          <w:trHeight w:val="869" w:hRule="atLeast"/>
        </w:trPr>
        <w:tc>
          <w:tcPr>
            <w:tcW w:w="2937" w:type="dxa"/>
            <w:shd w:val="clear" w:color="auto" w:fill="92D050"/>
          </w:tcPr>
          <w:p>
            <w:pPr>
              <w:pStyle w:val="TableParagraph"/>
              <w:spacing w:before="57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0F243E"/>
                <w:sz w:val="36"/>
              </w:rPr>
              <w:t>27/09/2022</w:t>
            </w:r>
          </w:p>
        </w:tc>
        <w:tc>
          <w:tcPr>
            <w:tcW w:w="7313" w:type="dxa"/>
            <w:shd w:val="clear" w:color="auto" w:fill="FFFFFF"/>
          </w:tcPr>
          <w:p>
            <w:pPr>
              <w:pStyle w:val="TableParagraph"/>
              <w:spacing w:before="75"/>
              <w:ind w:left="144"/>
              <w:rPr>
                <w:sz w:val="32"/>
              </w:rPr>
            </w:pPr>
            <w:r>
              <w:rPr>
                <w:color w:val="0F243E"/>
                <w:sz w:val="32"/>
              </w:rPr>
              <w:t>AOC-4(OPC)</w:t>
            </w:r>
            <w:r>
              <w:rPr>
                <w:color w:val="0F243E"/>
                <w:spacing w:val="5"/>
                <w:sz w:val="32"/>
              </w:rPr>
              <w:t> </w:t>
            </w:r>
            <w:r>
              <w:rPr>
                <w:color w:val="0F243E"/>
                <w:sz w:val="32"/>
              </w:rPr>
              <w:t>Form</w:t>
            </w:r>
            <w:r>
              <w:rPr>
                <w:color w:val="0F243E"/>
                <w:spacing w:val="1"/>
                <w:sz w:val="32"/>
              </w:rPr>
              <w:t> </w:t>
            </w:r>
            <w:r>
              <w:rPr>
                <w:color w:val="0F243E"/>
                <w:sz w:val="32"/>
              </w:rPr>
              <w:t>for Filing</w:t>
            </w:r>
            <w:r>
              <w:rPr>
                <w:color w:val="0F243E"/>
                <w:spacing w:val="-8"/>
                <w:sz w:val="32"/>
              </w:rPr>
              <w:t> </w:t>
            </w:r>
            <w:r>
              <w:rPr>
                <w:color w:val="0F243E"/>
                <w:sz w:val="32"/>
              </w:rPr>
              <w:t>Financial</w:t>
            </w:r>
            <w:r>
              <w:rPr>
                <w:color w:val="0F243E"/>
                <w:spacing w:val="-7"/>
                <w:sz w:val="32"/>
              </w:rPr>
              <w:t> </w:t>
            </w:r>
            <w:r>
              <w:rPr>
                <w:color w:val="0F243E"/>
                <w:sz w:val="32"/>
              </w:rPr>
              <w:t>Statement</w:t>
            </w:r>
          </w:p>
        </w:tc>
      </w:tr>
      <w:tr>
        <w:trPr>
          <w:trHeight w:val="781" w:hRule="atLeast"/>
        </w:trPr>
        <w:tc>
          <w:tcPr>
            <w:tcW w:w="2937" w:type="dxa"/>
            <w:shd w:val="clear" w:color="auto" w:fill="FFFF00"/>
          </w:tcPr>
          <w:p>
            <w:pPr>
              <w:pStyle w:val="TableParagraph"/>
              <w:spacing w:before="57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0F243E"/>
                <w:sz w:val="36"/>
              </w:rPr>
              <w:t>30/09/2022</w:t>
            </w:r>
          </w:p>
        </w:tc>
        <w:tc>
          <w:tcPr>
            <w:tcW w:w="7313" w:type="dxa"/>
            <w:shd w:val="clear" w:color="auto" w:fill="FFFFFF"/>
          </w:tcPr>
          <w:p>
            <w:pPr>
              <w:pStyle w:val="TableParagraph"/>
              <w:spacing w:before="76"/>
              <w:ind w:left="144"/>
              <w:rPr>
                <w:sz w:val="32"/>
              </w:rPr>
            </w:pPr>
            <w:r>
              <w:rPr>
                <w:color w:val="0F243E"/>
                <w:sz w:val="32"/>
              </w:rPr>
              <w:t>KYC</w:t>
            </w:r>
            <w:r>
              <w:rPr>
                <w:color w:val="0F243E"/>
                <w:spacing w:val="-2"/>
                <w:sz w:val="32"/>
              </w:rPr>
              <w:t> </w:t>
            </w:r>
            <w:r>
              <w:rPr>
                <w:color w:val="0F243E"/>
                <w:sz w:val="32"/>
              </w:rPr>
              <w:t>of</w:t>
            </w:r>
            <w:r>
              <w:rPr>
                <w:color w:val="0F243E"/>
                <w:spacing w:val="-2"/>
                <w:sz w:val="32"/>
              </w:rPr>
              <w:t> </w:t>
            </w:r>
            <w:r>
              <w:rPr>
                <w:color w:val="0F243E"/>
                <w:sz w:val="32"/>
              </w:rPr>
              <w:t>Director/Partner</w:t>
            </w:r>
          </w:p>
        </w:tc>
      </w:tr>
      <w:tr>
        <w:trPr>
          <w:trHeight w:val="987" w:hRule="atLeast"/>
        </w:trPr>
        <w:tc>
          <w:tcPr>
            <w:tcW w:w="2937" w:type="dxa"/>
            <w:shd w:val="clear" w:color="auto" w:fill="FFFF00"/>
          </w:tcPr>
          <w:p>
            <w:pPr>
              <w:pStyle w:val="TableParagraph"/>
              <w:spacing w:before="57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0F243E"/>
                <w:sz w:val="36"/>
              </w:rPr>
              <w:t>30/09/2022</w:t>
            </w:r>
          </w:p>
        </w:tc>
        <w:tc>
          <w:tcPr>
            <w:tcW w:w="7313" w:type="dxa"/>
            <w:shd w:val="clear" w:color="auto" w:fill="FFFFFF"/>
          </w:tcPr>
          <w:p>
            <w:pPr>
              <w:pStyle w:val="TableParagraph"/>
              <w:spacing w:before="76"/>
              <w:ind w:left="144"/>
              <w:rPr>
                <w:sz w:val="32"/>
              </w:rPr>
            </w:pPr>
            <w:r>
              <w:rPr>
                <w:color w:val="0F243E"/>
                <w:sz w:val="32"/>
              </w:rPr>
              <w:t>Convening</w:t>
            </w:r>
            <w:r>
              <w:rPr>
                <w:color w:val="0F243E"/>
                <w:spacing w:val="-5"/>
                <w:sz w:val="32"/>
              </w:rPr>
              <w:t> </w:t>
            </w:r>
            <w:r>
              <w:rPr>
                <w:color w:val="0F243E"/>
                <w:sz w:val="32"/>
              </w:rPr>
              <w:t>AGM</w:t>
            </w:r>
            <w:r>
              <w:rPr>
                <w:color w:val="0F243E"/>
                <w:spacing w:val="2"/>
                <w:sz w:val="32"/>
              </w:rPr>
              <w:t> </w:t>
            </w:r>
            <w:r>
              <w:rPr>
                <w:color w:val="0F243E"/>
                <w:sz w:val="32"/>
              </w:rPr>
              <w:t>for</w:t>
            </w:r>
            <w:r>
              <w:rPr>
                <w:color w:val="0F243E"/>
                <w:spacing w:val="-1"/>
                <w:sz w:val="32"/>
              </w:rPr>
              <w:t> </w:t>
            </w:r>
            <w:r>
              <w:rPr>
                <w:color w:val="0F243E"/>
                <w:sz w:val="32"/>
              </w:rPr>
              <w:t>FY 2021-22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48"/>
        <w:ind w:left="608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C7C7C"/>
          <w:sz w:val="28"/>
        </w:rPr>
        <w:t>Disclaimer</w:t>
      </w:r>
    </w:p>
    <w:p>
      <w:pPr>
        <w:spacing w:line="249" w:lineRule="auto" w:before="14"/>
        <w:ind w:left="608" w:right="368" w:firstLine="0"/>
        <w:jc w:val="both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C7C7C"/>
          <w:sz w:val="28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academic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point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of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view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only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and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are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not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intended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to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constitute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professional advice on any matter. The views and opinions expressed in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-75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the</w:t>
      </w:r>
      <w:r>
        <w:rPr>
          <w:rFonts w:ascii="Arial"/>
          <w:b/>
          <w:i/>
          <w:color w:val="7C7C7C"/>
          <w:spacing w:val="-14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internal</w:t>
      </w:r>
      <w:r>
        <w:rPr>
          <w:rFonts w:ascii="Arial"/>
          <w:b/>
          <w:i/>
          <w:color w:val="7C7C7C"/>
          <w:spacing w:val="-27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research</w:t>
      </w:r>
      <w:r>
        <w:rPr>
          <w:rFonts w:ascii="Arial"/>
          <w:b/>
          <w:i/>
          <w:color w:val="7C7C7C"/>
          <w:spacing w:val="-9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done</w:t>
      </w:r>
      <w:r>
        <w:rPr>
          <w:rFonts w:ascii="Arial"/>
          <w:b/>
          <w:i/>
          <w:color w:val="7C7C7C"/>
          <w:spacing w:val="-16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by</w:t>
      </w:r>
      <w:r>
        <w:rPr>
          <w:rFonts w:ascii="Arial"/>
          <w:b/>
          <w:i/>
          <w:color w:val="7C7C7C"/>
          <w:spacing w:val="-9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the</w:t>
      </w:r>
      <w:r>
        <w:rPr>
          <w:rFonts w:ascii="Arial"/>
          <w:b/>
          <w:i/>
          <w:color w:val="7C7C7C"/>
          <w:spacing w:val="-33"/>
          <w:sz w:val="28"/>
        </w:rPr>
        <w:t> </w:t>
      </w:r>
      <w:r>
        <w:rPr>
          <w:rFonts w:ascii="Arial"/>
          <w:b/>
          <w:i/>
          <w:color w:val="7C7C7C"/>
          <w:spacing w:val="-1"/>
          <w:sz w:val="28"/>
        </w:rPr>
        <w:t>Author.</w:t>
      </w:r>
    </w:p>
    <w:p>
      <w:pPr>
        <w:tabs>
          <w:tab w:pos="7524" w:val="left" w:leader="none"/>
        </w:tabs>
        <w:spacing w:before="262"/>
        <w:ind w:left="121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AUG</w:t>
      </w:r>
      <w:r>
        <w:rPr>
          <w:rFonts w:ascii="Arial"/>
          <w:b/>
          <w:color w:val="EBCF6A"/>
          <w:spacing w:val="12"/>
          <w:sz w:val="30"/>
        </w:rPr>
        <w:t> </w:t>
      </w:r>
      <w:r>
        <w:rPr>
          <w:rFonts w:ascii="Arial"/>
          <w:b/>
          <w:color w:val="EBCF6A"/>
          <w:spacing w:val="16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1"/>
          <w:sz w:val="30"/>
        </w:rPr>
        <w:t> </w:t>
      </w:r>
      <w:r>
        <w:rPr>
          <w:rFonts w:ascii="Arial"/>
          <w:b/>
          <w:color w:val="EBCF6A"/>
          <w:spacing w:val="-16"/>
          <w:sz w:val="30"/>
        </w:rPr>
        <w:t>UPDATE</w:t>
      </w:r>
    </w:p>
    <w:sectPr>
      <w:pgSz w:w="10800" w:h="1920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03" w:hanging="540"/>
        <w:jc w:val="left"/>
      </w:pPr>
      <w:rPr>
        <w:rFonts w:hint="default"/>
        <w:b/>
        <w:bCs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0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0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0" w:hanging="54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762" w:hanging="541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5" w:hanging="452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3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33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73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62" w:hanging="541"/>
        <w:jc w:val="left"/>
      </w:pPr>
      <w:rPr>
        <w:rFonts w:hint="default"/>
        <w:b/>
        <w:bCs/>
        <w:w w:val="9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56" w:hanging="432"/>
        <w:jc w:val="left"/>
      </w:pPr>
      <w:rPr>
        <w:rFonts w:hint="default" w:ascii="Arial" w:hAnsi="Arial" w:eastAsia="Arial" w:cs="Arial"/>
        <w:b/>
        <w:bCs/>
        <w:color w:val="244060"/>
        <w:w w:val="99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2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43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8" w:hanging="24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0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2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00" w:hanging="432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0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0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0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0" w:hanging="432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"/>
      <w:ind w:left="142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68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5"/>
      <w:ind w:left="121"/>
      <w:outlineLvl w:val="3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1" w:hanging="450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7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hyperlink" Target="https://egazette.nic.in/WriteReadData/2022/238410.pdf" TargetMode="External"/><Relationship Id="rId17" Type="http://schemas.openxmlformats.org/officeDocument/2006/relationships/hyperlink" Target="https://aracs.in/wp-content/uploads/2022/08/1660730977835.pdf" TargetMode="External"/><Relationship Id="rId18" Type="http://schemas.openxmlformats.org/officeDocument/2006/relationships/hyperlink" Target="https://www.mca.gov.in/bin/dms/getdocument?mds=wIHQjtXEQJK%252F7i1M2jM5wQ%253D%253D&amp;type=open" TargetMode="External"/><Relationship Id="rId19" Type="http://schemas.openxmlformats.org/officeDocument/2006/relationships/hyperlink" Target="https://www.mca.gov.in/bin/dms/getdocument?mds=SEyg0svPsEeZiuMFUabO0g%253D%253D&amp;type=open" TargetMode="External"/><Relationship Id="rId20" Type="http://schemas.openxmlformats.org/officeDocument/2006/relationships/hyperlink" Target="https://www.mca.gov.in/bin/dms/getdocument?mds=uvc9RF%252FA3r38MjyNHmVwwQ%253D%253D&amp;type=open" TargetMode="External"/><Relationship Id="rId21" Type="http://schemas.openxmlformats.org/officeDocument/2006/relationships/hyperlink" Target="https://www.mca.gov.in/bin/dms/getdocument?mds=G48YjzJXPg7MAA15VRH6Gg%253D%253D&amp;type=open" TargetMode="External"/><Relationship Id="rId22" Type="http://schemas.openxmlformats.org/officeDocument/2006/relationships/image" Target="media/image12.jpeg"/><Relationship Id="rId23" Type="http://schemas.openxmlformats.org/officeDocument/2006/relationships/image" Target="media/image13.jpeg"/><Relationship Id="rId24" Type="http://schemas.openxmlformats.org/officeDocument/2006/relationships/hyperlink" Target="https://www.sebi.gov.in/legal/circulars/aug-2022/trading-window-closure-period-under-clause-4-of-schedule-b-read-with-regulation-9-of-sebi-prohibition-of-insider-trading-regulations-2015-framework-for-restricting-trading-by-designated-persons-b-_61781.html" TargetMode="External"/><Relationship Id="rId25" Type="http://schemas.openxmlformats.org/officeDocument/2006/relationships/hyperlink" Target="https://rbidocs.rbi.org.in/rdocs/content/pdfs/GazetteRegulations230822.pdf" TargetMode="External"/><Relationship Id="rId26" Type="http://schemas.openxmlformats.org/officeDocument/2006/relationships/hyperlink" Target="https://main.sci.gov.in/supremecourt/2019/46839/46839_2019_6_1502_36970_Judgement_01-Aug-2022.pdf" TargetMode="External"/><Relationship Id="rId27" Type="http://schemas.openxmlformats.org/officeDocument/2006/relationships/hyperlink" Target="https://cdn.ibclaw.online/insolvency/nclat/2022/Aug/Rakesh%2BKumar%2BJain%2BRP%2BHBN%2BHomes%2BColonizers%2BPvt.%2BLtd.%2BVs.%2BJagdish%2BSingh%2BNain%2B%26%2BOrs.%2BRP%2Bof%2BHBN%2BFoods%2BLtd.%2B-%2BNCLAT%2BNew%2BDelhi.pdf" TargetMode="External"/><Relationship Id="rId28" Type="http://schemas.openxmlformats.org/officeDocument/2006/relationships/image" Target="media/image14.png"/><Relationship Id="rId29" Type="http://schemas.openxmlformats.org/officeDocument/2006/relationships/image" Target="media/image15.jpeg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2022-09-02T05:32:10Z</dcterms:created>
  <dcterms:modified xsi:type="dcterms:W3CDTF">2022-09-02T05:32:10Z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2022-09-02T00:00:00Z</vt:filetime>
  </property>
</Properties>
</file>