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EE75552"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0CA1919C"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B03139">
                              <w:rPr>
                                <w:rFonts w:ascii="Comic Sans MS" w:hAnsi="Comic Sans MS"/>
                                <w:color w:val="FFFFFF" w:themeColor="background1"/>
                                <w:sz w:val="24"/>
                                <w:szCs w:val="24"/>
                              </w:rPr>
                              <w:t>4</w:t>
                            </w:r>
                            <w:r w:rsidR="002652B3">
                              <w:rPr>
                                <w:rFonts w:ascii="Comic Sans MS" w:hAnsi="Comic Sans MS"/>
                                <w:color w:val="FFFFFF" w:themeColor="background1"/>
                                <w:sz w:val="24"/>
                                <w:szCs w:val="24"/>
                              </w:rPr>
                              <w:t>2</w:t>
                            </w:r>
                            <w:r w:rsidR="002652B3">
                              <w:rPr>
                                <w:rFonts w:ascii="Comic Sans MS" w:hAnsi="Comic Sans MS"/>
                                <w:color w:val="FFFFFF" w:themeColor="background1"/>
                                <w:sz w:val="24"/>
                                <w:szCs w:val="24"/>
                                <w:vertAlign w:val="superscript"/>
                              </w:rPr>
                              <w:t>nd</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2652B3">
                              <w:rPr>
                                <w:rFonts w:ascii="Comic Sans MS" w:hAnsi="Comic Sans MS"/>
                                <w:color w:val="FFFFFF" w:themeColor="background1"/>
                                <w:sz w:val="24"/>
                                <w:szCs w:val="24"/>
                              </w:rPr>
                              <w:t>20</w:t>
                            </w:r>
                            <w:r w:rsidR="003C1B6F" w:rsidRPr="003C1B6F">
                              <w:rPr>
                                <w:rFonts w:ascii="Comic Sans MS" w:hAnsi="Comic Sans MS"/>
                                <w:color w:val="FFFFFF" w:themeColor="background1"/>
                                <w:sz w:val="24"/>
                                <w:szCs w:val="24"/>
                                <w:vertAlign w:val="superscript"/>
                              </w:rPr>
                              <w:t>th</w:t>
                            </w:r>
                            <w:r w:rsidR="003C1B6F">
                              <w:rPr>
                                <w:rFonts w:ascii="Comic Sans MS" w:hAnsi="Comic Sans MS"/>
                                <w:color w:val="FFFFFF" w:themeColor="background1"/>
                                <w:sz w:val="24"/>
                                <w:szCs w:val="24"/>
                              </w:rPr>
                              <w:t xml:space="preserve"> </w:t>
                            </w:r>
                            <w:r w:rsidR="00AC1AD7">
                              <w:rPr>
                                <w:rFonts w:ascii="Comic Sans MS" w:hAnsi="Comic Sans MS"/>
                                <w:color w:val="FFFFFF" w:themeColor="background1"/>
                                <w:sz w:val="24"/>
                                <w:szCs w:val="24"/>
                              </w:rPr>
                              <w:t>March</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2652B3">
                              <w:rPr>
                                <w:rFonts w:ascii="Comic Sans MS" w:hAnsi="Comic Sans MS"/>
                                <w:color w:val="FFFFFF" w:themeColor="background1"/>
                                <w:sz w:val="24"/>
                                <w:szCs w:val="24"/>
                              </w:rPr>
                              <w:t>26</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A553B4">
                              <w:rPr>
                                <w:rFonts w:ascii="Comic Sans MS" w:hAnsi="Comic Sans MS"/>
                                <w:color w:val="FFFFFF" w:themeColor="background1"/>
                                <w:sz w:val="24"/>
                                <w:szCs w:val="24"/>
                              </w:rPr>
                              <w:t>March</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0CA1919C"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B03139">
                        <w:rPr>
                          <w:rFonts w:ascii="Comic Sans MS" w:hAnsi="Comic Sans MS"/>
                          <w:color w:val="FFFFFF" w:themeColor="background1"/>
                          <w:sz w:val="24"/>
                          <w:szCs w:val="24"/>
                        </w:rPr>
                        <w:t>4</w:t>
                      </w:r>
                      <w:r w:rsidR="002652B3">
                        <w:rPr>
                          <w:rFonts w:ascii="Comic Sans MS" w:hAnsi="Comic Sans MS"/>
                          <w:color w:val="FFFFFF" w:themeColor="background1"/>
                          <w:sz w:val="24"/>
                          <w:szCs w:val="24"/>
                        </w:rPr>
                        <w:t>2</w:t>
                      </w:r>
                      <w:r w:rsidR="002652B3">
                        <w:rPr>
                          <w:rFonts w:ascii="Comic Sans MS" w:hAnsi="Comic Sans MS"/>
                          <w:color w:val="FFFFFF" w:themeColor="background1"/>
                          <w:sz w:val="24"/>
                          <w:szCs w:val="24"/>
                          <w:vertAlign w:val="superscript"/>
                        </w:rPr>
                        <w:t>nd</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2652B3">
                        <w:rPr>
                          <w:rFonts w:ascii="Comic Sans MS" w:hAnsi="Comic Sans MS"/>
                          <w:color w:val="FFFFFF" w:themeColor="background1"/>
                          <w:sz w:val="24"/>
                          <w:szCs w:val="24"/>
                        </w:rPr>
                        <w:t>20</w:t>
                      </w:r>
                      <w:r w:rsidR="003C1B6F" w:rsidRPr="003C1B6F">
                        <w:rPr>
                          <w:rFonts w:ascii="Comic Sans MS" w:hAnsi="Comic Sans MS"/>
                          <w:color w:val="FFFFFF" w:themeColor="background1"/>
                          <w:sz w:val="24"/>
                          <w:szCs w:val="24"/>
                          <w:vertAlign w:val="superscript"/>
                        </w:rPr>
                        <w:t>th</w:t>
                      </w:r>
                      <w:r w:rsidR="003C1B6F">
                        <w:rPr>
                          <w:rFonts w:ascii="Comic Sans MS" w:hAnsi="Comic Sans MS"/>
                          <w:color w:val="FFFFFF" w:themeColor="background1"/>
                          <w:sz w:val="24"/>
                          <w:szCs w:val="24"/>
                        </w:rPr>
                        <w:t xml:space="preserve"> </w:t>
                      </w:r>
                      <w:r w:rsidR="00AC1AD7">
                        <w:rPr>
                          <w:rFonts w:ascii="Comic Sans MS" w:hAnsi="Comic Sans MS"/>
                          <w:color w:val="FFFFFF" w:themeColor="background1"/>
                          <w:sz w:val="24"/>
                          <w:szCs w:val="24"/>
                        </w:rPr>
                        <w:t>March</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2652B3">
                        <w:rPr>
                          <w:rFonts w:ascii="Comic Sans MS" w:hAnsi="Comic Sans MS"/>
                          <w:color w:val="FFFFFF" w:themeColor="background1"/>
                          <w:sz w:val="24"/>
                          <w:szCs w:val="24"/>
                        </w:rPr>
                        <w:t>26</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A553B4">
                        <w:rPr>
                          <w:rFonts w:ascii="Comic Sans MS" w:hAnsi="Comic Sans MS"/>
                          <w:color w:val="FFFFFF" w:themeColor="background1"/>
                          <w:sz w:val="24"/>
                          <w:szCs w:val="24"/>
                        </w:rPr>
                        <w:t>March</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42F70FE">
                <wp:simplePos x="0" y="0"/>
                <wp:positionH relativeFrom="column">
                  <wp:posOffset>-34925</wp:posOffset>
                </wp:positionH>
                <wp:positionV relativeFrom="paragraph">
                  <wp:posOffset>184785</wp:posOffset>
                </wp:positionV>
                <wp:extent cx="7087870" cy="312420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312420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5"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6"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55pt;width:558.1pt;height:2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7"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8"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4257B024"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390D2A62" w14:textId="0126AC48" w:rsidR="00DA4D93" w:rsidRDefault="00DA4D93"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 xml:space="preserve">Wish you all </w:t>
      </w:r>
      <w:r w:rsidR="003F7E6D">
        <w:rPr>
          <w:rFonts w:asciiTheme="minorHAnsi" w:hAnsiTheme="minorHAnsi" w:cstheme="minorHAnsi"/>
          <w:b/>
        </w:rPr>
        <w:t>a</w:t>
      </w:r>
      <w:r>
        <w:rPr>
          <w:rFonts w:asciiTheme="minorHAnsi" w:hAnsiTheme="minorHAnsi" w:cstheme="minorHAnsi"/>
          <w:b/>
        </w:rPr>
        <w:t xml:space="preserve"> Happy Holi</w:t>
      </w:r>
      <w:r w:rsidR="003F7E6D">
        <w:rPr>
          <w:rFonts w:asciiTheme="minorHAnsi" w:hAnsiTheme="minorHAnsi" w:cstheme="minorHAnsi"/>
          <w:b/>
        </w:rPr>
        <w:t>.</w:t>
      </w:r>
    </w:p>
    <w:p w14:paraId="43AC0266" w14:textId="77777777" w:rsidR="003F7E6D" w:rsidRDefault="003F7E6D" w:rsidP="00D02587">
      <w:pPr>
        <w:tabs>
          <w:tab w:val="left" w:pos="4820"/>
        </w:tabs>
        <w:spacing w:line="312" w:lineRule="auto"/>
        <w:contextualSpacing/>
        <w:jc w:val="both"/>
        <w:rPr>
          <w:rFonts w:asciiTheme="minorHAnsi" w:hAnsiTheme="minorHAnsi" w:cstheme="minorHAnsi"/>
          <w:b/>
        </w:rPr>
      </w:pPr>
    </w:p>
    <w:p w14:paraId="2DB6968C" w14:textId="0E974499" w:rsidR="009638EE" w:rsidRP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 xml:space="preserve">The Government of India has introduced the tax implications for cryptocurrency for the first time in the Union Budget 2022, while the Internal Revenue Service (IRS) of the </w:t>
      </w:r>
      <w:r w:rsidR="003F7E6D">
        <w:rPr>
          <w:rFonts w:asciiTheme="minorHAnsi" w:hAnsiTheme="minorHAnsi" w:cstheme="minorHAnsi"/>
          <w:color w:val="000000" w:themeColor="text1"/>
          <w:shd w:val="clear" w:color="auto" w:fill="FFFFFF"/>
          <w:lang w:val="en-IN"/>
        </w:rPr>
        <w:t>United States (</w:t>
      </w:r>
      <w:r w:rsidRPr="009638EE">
        <w:rPr>
          <w:rFonts w:asciiTheme="minorHAnsi" w:hAnsiTheme="minorHAnsi" w:cstheme="minorHAnsi"/>
          <w:color w:val="000000" w:themeColor="text1"/>
          <w:shd w:val="clear" w:color="auto" w:fill="FFFFFF"/>
          <w:lang w:val="en-IN"/>
        </w:rPr>
        <w:t>US</w:t>
      </w:r>
      <w:r w:rsidR="003F7E6D">
        <w:rPr>
          <w:rFonts w:asciiTheme="minorHAnsi" w:hAnsiTheme="minorHAnsi" w:cstheme="minorHAnsi"/>
          <w:color w:val="000000" w:themeColor="text1"/>
          <w:shd w:val="clear" w:color="auto" w:fill="FFFFFF"/>
          <w:lang w:val="en-IN"/>
        </w:rPr>
        <w:t>)</w:t>
      </w:r>
      <w:r w:rsidRPr="009638EE">
        <w:rPr>
          <w:rFonts w:asciiTheme="minorHAnsi" w:hAnsiTheme="minorHAnsi" w:cstheme="minorHAnsi"/>
          <w:color w:val="000000" w:themeColor="text1"/>
          <w:shd w:val="clear" w:color="auto" w:fill="FFFFFF"/>
          <w:lang w:val="en-IN"/>
        </w:rPr>
        <w:t xml:space="preserve"> first addressed cryptocurrencies in 2014. Let us see the differences in the income tax treatment of cryptocurrencies of both countries.</w:t>
      </w:r>
    </w:p>
    <w:p w14:paraId="147AE7AF" w14:textId="77777777" w:rsidR="009638EE" w:rsidRDefault="009638EE" w:rsidP="009638EE">
      <w:pPr>
        <w:tabs>
          <w:tab w:val="left" w:pos="4820"/>
        </w:tabs>
        <w:contextualSpacing/>
        <w:jc w:val="both"/>
        <w:rPr>
          <w:rFonts w:asciiTheme="minorHAnsi" w:hAnsiTheme="minorHAnsi" w:cstheme="minorHAnsi"/>
          <w:b/>
          <w:bCs/>
          <w:color w:val="000000" w:themeColor="text1"/>
          <w:shd w:val="clear" w:color="auto" w:fill="FFFFFF"/>
          <w:lang w:val="en-IN"/>
        </w:rPr>
      </w:pPr>
    </w:p>
    <w:p w14:paraId="50BA37B9" w14:textId="646F14B9" w:rsidR="009638EE" w:rsidRP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b/>
          <w:bCs/>
          <w:color w:val="000000" w:themeColor="text1"/>
          <w:shd w:val="clear" w:color="auto" w:fill="FFFFFF"/>
          <w:lang w:val="en-IN"/>
        </w:rPr>
        <w:t>Classification of Crypto Assets</w:t>
      </w:r>
    </w:p>
    <w:p w14:paraId="12F89D42" w14:textId="4E76D428" w:rsid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 xml:space="preserve">In Budget 2022, the government has classified crypto assets as ‘virtual digital </w:t>
      </w:r>
      <w:proofErr w:type="gramStart"/>
      <w:r w:rsidRPr="009638EE">
        <w:rPr>
          <w:rFonts w:asciiTheme="minorHAnsi" w:hAnsiTheme="minorHAnsi" w:cstheme="minorHAnsi"/>
          <w:color w:val="000000" w:themeColor="text1"/>
          <w:shd w:val="clear" w:color="auto" w:fill="FFFFFF"/>
          <w:lang w:val="en-IN"/>
        </w:rPr>
        <w:t>assets’</w:t>
      </w:r>
      <w:proofErr w:type="gramEnd"/>
      <w:r w:rsidRPr="009638EE">
        <w:rPr>
          <w:rFonts w:asciiTheme="minorHAnsi" w:hAnsiTheme="minorHAnsi" w:cstheme="minorHAnsi"/>
          <w:color w:val="000000" w:themeColor="text1"/>
          <w:shd w:val="clear" w:color="auto" w:fill="FFFFFF"/>
          <w:lang w:val="en-IN"/>
        </w:rPr>
        <w:t>. Although they have been defined as assets, virtual digital assets are not treated like other assets. The new income tax provision has been inserted for the taxation of virtual digital assets, which provides that 30% tax must be paid on the profits earned from the transfer of crypto assets. However, no deduction is allowed to be adjusted from the asset’s sale price, except the cost of acquisition. </w:t>
      </w:r>
    </w:p>
    <w:p w14:paraId="3FB5DD45" w14:textId="77777777" w:rsidR="003F7E6D" w:rsidRPr="009638EE" w:rsidRDefault="003F7E6D" w:rsidP="009638EE">
      <w:pPr>
        <w:tabs>
          <w:tab w:val="left" w:pos="4820"/>
        </w:tabs>
        <w:contextualSpacing/>
        <w:jc w:val="both"/>
        <w:rPr>
          <w:rFonts w:asciiTheme="minorHAnsi" w:hAnsiTheme="minorHAnsi" w:cstheme="minorHAnsi"/>
          <w:color w:val="000000" w:themeColor="text1"/>
          <w:shd w:val="clear" w:color="auto" w:fill="FFFFFF"/>
          <w:lang w:val="en-IN"/>
        </w:rPr>
      </w:pPr>
    </w:p>
    <w:p w14:paraId="2855B951" w14:textId="5729F60B" w:rsidR="00E458C3"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However, in the US, cryptocurrencies are treated as capital assets. So, when a person transfers cryptocurrency at a profit, he/she is liable to pay tax depending on whether the assets are long-term crypto assets or short-term crypto assets. The US law states that assets sold after one year of purchase are classified as long-term capital assets. Long term assets are subject to lower tax rates. But if the assets are sold within a year of purchase, they are classified as short-term capital assets.</w:t>
      </w:r>
    </w:p>
    <w:p w14:paraId="7FD0E9E5" w14:textId="77777777" w:rsidR="003F7E6D" w:rsidRDefault="003F7E6D" w:rsidP="009638EE">
      <w:pPr>
        <w:tabs>
          <w:tab w:val="left" w:pos="4820"/>
        </w:tabs>
        <w:contextualSpacing/>
        <w:jc w:val="both"/>
        <w:rPr>
          <w:rFonts w:asciiTheme="minorHAnsi" w:hAnsiTheme="minorHAnsi" w:cstheme="minorHAnsi"/>
          <w:color w:val="000000" w:themeColor="text1"/>
          <w:shd w:val="clear" w:color="auto" w:fill="FFFFFF"/>
          <w:lang w:val="en-IN"/>
        </w:rPr>
      </w:pPr>
    </w:p>
    <w:p w14:paraId="66B5B9C7" w14:textId="4F1BF955" w:rsid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 xml:space="preserve">Since the Indian tax law does not treat virtual digital assets as capital assets, crypto investors are not eligible for indexation benefits if the assets are held for long-term and </w:t>
      </w:r>
      <w:r w:rsidRPr="009638EE">
        <w:rPr>
          <w:rFonts w:asciiTheme="minorHAnsi" w:hAnsiTheme="minorHAnsi" w:cstheme="minorHAnsi"/>
          <w:color w:val="000000" w:themeColor="text1"/>
          <w:shd w:val="clear" w:color="auto" w:fill="FFFFFF"/>
          <w:lang w:val="en-IN"/>
        </w:rPr>
        <w:t>face the full 30% tax rate irrespective of the period of holding. </w:t>
      </w:r>
    </w:p>
    <w:p w14:paraId="7F390AD1" w14:textId="77777777" w:rsidR="003F7E6D" w:rsidRPr="009638EE" w:rsidRDefault="003F7E6D" w:rsidP="009638EE">
      <w:pPr>
        <w:tabs>
          <w:tab w:val="left" w:pos="4820"/>
        </w:tabs>
        <w:contextualSpacing/>
        <w:jc w:val="both"/>
        <w:rPr>
          <w:rFonts w:asciiTheme="minorHAnsi" w:hAnsiTheme="minorHAnsi" w:cstheme="minorHAnsi"/>
          <w:color w:val="000000" w:themeColor="text1"/>
          <w:shd w:val="clear" w:color="auto" w:fill="FFFFFF"/>
          <w:lang w:val="en-IN"/>
        </w:rPr>
      </w:pPr>
    </w:p>
    <w:p w14:paraId="6A0F1505" w14:textId="77777777" w:rsid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 xml:space="preserve">Further, the US income tax law allows to claim the losses from crypto assets and set off against other income sources. Moreover, if any loss is unadjusted, it can be carried forward to set off against future investment gains. </w:t>
      </w:r>
    </w:p>
    <w:p w14:paraId="0C1E776A" w14:textId="77777777" w:rsid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p>
    <w:p w14:paraId="505DF869" w14:textId="77777777" w:rsidR="006D7DB7"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 xml:space="preserve">Similar treatment is given for losses incurred from the sale of capital assets in the Indian Income Tax Act, if there is any loss from sale of capital assets, it can be adjusted against the gain on sale of capital assets, subject to certain conditions. And for any loss that is unadjusted, it can be carried forward to eight subsequent years to set off against the future capital gains. But such benefit is not available to crypto investors if they incur loss on the sale of virtual digital assets. </w:t>
      </w:r>
    </w:p>
    <w:p w14:paraId="37CB691A" w14:textId="77777777" w:rsidR="006D7DB7" w:rsidRDefault="006D7DB7" w:rsidP="009638EE">
      <w:pPr>
        <w:tabs>
          <w:tab w:val="left" w:pos="4820"/>
        </w:tabs>
        <w:contextualSpacing/>
        <w:jc w:val="both"/>
        <w:rPr>
          <w:rFonts w:asciiTheme="minorHAnsi" w:hAnsiTheme="minorHAnsi" w:cstheme="minorHAnsi"/>
          <w:color w:val="000000" w:themeColor="text1"/>
          <w:shd w:val="clear" w:color="auto" w:fill="FFFFFF"/>
          <w:lang w:val="en-IN"/>
        </w:rPr>
      </w:pPr>
    </w:p>
    <w:p w14:paraId="2568FAFF" w14:textId="400FC37D" w:rsidR="009638EE" w:rsidRPr="009638EE" w:rsidRDefault="009638EE" w:rsidP="009638EE">
      <w:pPr>
        <w:tabs>
          <w:tab w:val="left" w:pos="4820"/>
        </w:tabs>
        <w:contextualSpacing/>
        <w:jc w:val="both"/>
        <w:rPr>
          <w:rFonts w:asciiTheme="minorHAnsi" w:hAnsiTheme="minorHAnsi" w:cstheme="minorHAnsi"/>
          <w:color w:val="000000" w:themeColor="text1"/>
          <w:shd w:val="clear" w:color="auto" w:fill="FFFFFF"/>
          <w:lang w:val="en-IN"/>
        </w:rPr>
      </w:pPr>
      <w:r w:rsidRPr="009638EE">
        <w:rPr>
          <w:rFonts w:asciiTheme="minorHAnsi" w:hAnsiTheme="minorHAnsi" w:cstheme="minorHAnsi"/>
          <w:color w:val="000000" w:themeColor="text1"/>
          <w:shd w:val="clear" w:color="auto" w:fill="FFFFFF"/>
          <w:lang w:val="en-IN"/>
        </w:rPr>
        <w:t>The treatment of gains or losses from virtual digital assets provided in the Indian income tax law is akin to income from gambling, horse racing and lottery winnings. For gambling and lottery winnings, too, the income is taxed at a flat rate of 30% without any deductions, and in case there is a loss, no set-off is allowed against other income. </w:t>
      </w:r>
    </w:p>
    <w:p w14:paraId="45CE819C" w14:textId="2F451CF9" w:rsidR="00984223" w:rsidRPr="00473AAA" w:rsidRDefault="0003678B" w:rsidP="0003678B">
      <w:pPr>
        <w:tabs>
          <w:tab w:val="left" w:pos="4820"/>
        </w:tabs>
        <w:contextualSpacing/>
        <w:jc w:val="both"/>
        <w:rPr>
          <w:rFonts w:asciiTheme="minorHAnsi" w:hAnsiTheme="minorHAnsi" w:cstheme="minorHAnsi"/>
        </w:rPr>
      </w:pPr>
      <w:r w:rsidRPr="0003678B">
        <w:rPr>
          <w:rFonts w:asciiTheme="minorHAnsi" w:hAnsiTheme="minorHAnsi" w:cstheme="minorHAnsi"/>
          <w:color w:val="000000" w:themeColor="text1"/>
          <w:shd w:val="clear" w:color="auto" w:fill="FFFFFF"/>
        </w:rPr>
        <w:br/>
      </w:r>
      <w:r w:rsidR="002473DB" w:rsidRPr="00473AAA">
        <w:rPr>
          <w:rFonts w:asciiTheme="minorHAnsi" w:hAnsiTheme="minorHAnsi" w:cstheme="minorHAnsi"/>
          <w:b/>
        </w:rPr>
        <w:t>Just to reiterate that we remain available over telecom or e-mail.</w:t>
      </w:r>
    </w:p>
    <w:p w14:paraId="58764163" w14:textId="4D4E097B" w:rsidR="00B01267" w:rsidRPr="00473AAA" w:rsidRDefault="001D547F" w:rsidP="00473AAA">
      <w:pPr>
        <w:pStyle w:val="NormalWeb"/>
        <w:jc w:val="both"/>
        <w:rPr>
          <w:rFonts w:asciiTheme="minorHAnsi" w:hAnsiTheme="minorHAnsi" w:cstheme="minorHAnsi"/>
          <w:b/>
          <w:sz w:val="22"/>
          <w:szCs w:val="22"/>
        </w:rPr>
      </w:pPr>
      <w:r w:rsidRPr="00473AAA">
        <w:rPr>
          <w:rFonts w:asciiTheme="minorHAnsi" w:hAnsiTheme="minorHAnsi" w:cstheme="minorHAnsi"/>
          <w:b/>
          <w:sz w:val="22"/>
          <w:szCs w:val="22"/>
        </w:rPr>
        <w:t>Truly Yours</w:t>
      </w:r>
    </w:p>
    <w:p w14:paraId="2560AB5C" w14:textId="5440E3F6" w:rsidR="001D547F" w:rsidRPr="00473AAA"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473AAA">
        <w:rPr>
          <w:rFonts w:asciiTheme="minorHAnsi" w:hAnsiTheme="minorHAnsi" w:cstheme="minorHAnsi"/>
          <w:b/>
          <w:sz w:val="22"/>
          <w:szCs w:val="22"/>
        </w:rPr>
        <w:t>Editor:</w:t>
      </w:r>
    </w:p>
    <w:p w14:paraId="089AA75E" w14:textId="77777777" w:rsidR="001D547F" w:rsidRPr="00473AAA" w:rsidRDefault="001D547F" w:rsidP="00473AAA">
      <w:pPr>
        <w:tabs>
          <w:tab w:val="left" w:pos="4820"/>
        </w:tabs>
        <w:spacing w:after="0" w:line="240" w:lineRule="auto"/>
        <w:contextualSpacing/>
        <w:jc w:val="both"/>
        <w:rPr>
          <w:rFonts w:asciiTheme="minorHAnsi" w:hAnsiTheme="minorHAnsi" w:cstheme="minorHAnsi"/>
          <w:b/>
        </w:rPr>
      </w:pPr>
      <w:r w:rsidRPr="00473AAA">
        <w:rPr>
          <w:rFonts w:asciiTheme="minorHAnsi" w:hAnsiTheme="minorHAnsi" w:cstheme="minorHAnsi"/>
          <w:b/>
        </w:rPr>
        <w:t>Vivek Jalan</w:t>
      </w:r>
    </w:p>
    <w:p w14:paraId="6843DB95" w14:textId="77777777" w:rsidR="00984223" w:rsidRPr="00473AAA" w:rsidRDefault="001D547F" w:rsidP="00473AAA">
      <w:pPr>
        <w:tabs>
          <w:tab w:val="left" w:pos="4820"/>
        </w:tabs>
        <w:spacing w:line="240" w:lineRule="auto"/>
        <w:rPr>
          <w:rFonts w:asciiTheme="minorHAnsi" w:hAnsiTheme="minorHAnsi" w:cstheme="minorHAnsi"/>
          <w:bCs/>
        </w:rPr>
      </w:pPr>
      <w:r w:rsidRPr="00473AAA">
        <w:rPr>
          <w:rFonts w:asciiTheme="minorHAnsi" w:hAnsiTheme="minorHAnsi" w:cstheme="minorHAnsi"/>
          <w:bCs/>
        </w:rPr>
        <w:t>Partner - Tax Connect Advisory Services LLP</w:t>
      </w:r>
    </w:p>
    <w:p w14:paraId="7D526D27" w14:textId="6BD1BCC6" w:rsidR="00D02587" w:rsidRPr="00473AAA" w:rsidRDefault="001D547F" w:rsidP="00473AAA">
      <w:pPr>
        <w:tabs>
          <w:tab w:val="left" w:pos="4820"/>
        </w:tabs>
        <w:spacing w:line="240" w:lineRule="auto"/>
        <w:rPr>
          <w:rFonts w:asciiTheme="minorHAnsi" w:hAnsiTheme="minorHAnsi" w:cstheme="minorHAnsi"/>
          <w:bCs/>
        </w:rPr>
      </w:pPr>
      <w:r w:rsidRPr="00473AAA">
        <w:rPr>
          <w:rFonts w:asciiTheme="minorHAnsi" w:hAnsiTheme="minorHAnsi" w:cstheme="minorHAnsi"/>
          <w:b/>
        </w:rPr>
        <w:t>Co-Editors:</w:t>
      </w:r>
    </w:p>
    <w:p w14:paraId="72D2DEFA" w14:textId="77777777" w:rsidR="00984223" w:rsidRPr="00473AAA" w:rsidRDefault="001D547F" w:rsidP="00473AAA">
      <w:pPr>
        <w:tabs>
          <w:tab w:val="left" w:pos="4820"/>
        </w:tabs>
        <w:spacing w:after="0" w:line="240" w:lineRule="auto"/>
        <w:contextualSpacing/>
        <w:jc w:val="both"/>
        <w:rPr>
          <w:rFonts w:asciiTheme="minorHAnsi" w:hAnsiTheme="minorHAnsi" w:cstheme="minorHAnsi"/>
          <w:b/>
        </w:rPr>
      </w:pPr>
      <w:r w:rsidRPr="00473AAA">
        <w:rPr>
          <w:rFonts w:asciiTheme="minorHAnsi" w:hAnsiTheme="minorHAnsi" w:cstheme="minorHAnsi"/>
          <w:b/>
        </w:rPr>
        <w:t>Rohit Sharma</w:t>
      </w:r>
    </w:p>
    <w:p w14:paraId="5127D700" w14:textId="5884E5D3" w:rsidR="001D547F" w:rsidRPr="00473AAA" w:rsidRDefault="00AA4158" w:rsidP="00473AAA">
      <w:pPr>
        <w:tabs>
          <w:tab w:val="left" w:pos="4820"/>
        </w:tabs>
        <w:spacing w:after="0" w:line="240" w:lineRule="auto"/>
        <w:contextualSpacing/>
        <w:jc w:val="both"/>
        <w:rPr>
          <w:rFonts w:asciiTheme="minorHAnsi" w:hAnsiTheme="minorHAnsi" w:cstheme="minorHAnsi"/>
          <w:bCs/>
        </w:rPr>
      </w:pPr>
      <w:r w:rsidRPr="00473AAA">
        <w:rPr>
          <w:rFonts w:asciiTheme="minorHAnsi" w:hAnsiTheme="minorHAnsi" w:cstheme="minorHAnsi"/>
          <w:bCs/>
        </w:rPr>
        <w:t>Senior Manager</w:t>
      </w:r>
      <w:r w:rsidR="001D547F" w:rsidRPr="00473AAA">
        <w:rPr>
          <w:rFonts w:asciiTheme="minorHAnsi" w:hAnsiTheme="minorHAnsi" w:cstheme="minorHAnsi"/>
          <w:bCs/>
        </w:rPr>
        <w:t xml:space="preserve"> – Tax Connect Advisory Services LLP</w:t>
      </w:r>
    </w:p>
    <w:p w14:paraId="7D71A54B" w14:textId="77777777" w:rsidR="00AA5DF4" w:rsidRPr="00473AAA"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473AAA" w:rsidRDefault="001D547F" w:rsidP="00473AAA">
      <w:pPr>
        <w:tabs>
          <w:tab w:val="left" w:pos="4820"/>
        </w:tabs>
        <w:spacing w:after="0" w:line="240" w:lineRule="auto"/>
        <w:rPr>
          <w:rFonts w:asciiTheme="minorHAnsi" w:hAnsiTheme="minorHAnsi" w:cstheme="minorHAnsi"/>
          <w:b/>
        </w:rPr>
      </w:pPr>
      <w:r w:rsidRPr="00473AAA">
        <w:rPr>
          <w:rFonts w:asciiTheme="minorHAnsi" w:hAnsiTheme="minorHAnsi" w:cstheme="minorHAnsi"/>
          <w:b/>
        </w:rPr>
        <w:t>Rajani</w:t>
      </w:r>
      <w:r w:rsidR="00DE6EC6" w:rsidRPr="00473AAA">
        <w:rPr>
          <w:rFonts w:asciiTheme="minorHAnsi" w:hAnsiTheme="minorHAnsi" w:cstheme="minorHAnsi"/>
          <w:b/>
        </w:rPr>
        <w:t xml:space="preserve"> </w:t>
      </w:r>
      <w:r w:rsidR="0004428B" w:rsidRPr="00473AAA">
        <w:rPr>
          <w:rFonts w:asciiTheme="minorHAnsi" w:hAnsiTheme="minorHAnsi" w:cstheme="minorHAnsi"/>
          <w:b/>
        </w:rPr>
        <w:t>K</w:t>
      </w:r>
      <w:r w:rsidRPr="00473AAA">
        <w:rPr>
          <w:rFonts w:asciiTheme="minorHAnsi" w:hAnsiTheme="minorHAnsi" w:cstheme="minorHAnsi"/>
          <w:b/>
        </w:rPr>
        <w:t>ant Choudh</w:t>
      </w:r>
      <w:r w:rsidR="00C114BC" w:rsidRPr="00473AAA">
        <w:rPr>
          <w:rFonts w:asciiTheme="minorHAnsi" w:hAnsiTheme="minorHAnsi" w:cstheme="minorHAnsi"/>
          <w:b/>
        </w:rPr>
        <w:t>a</w:t>
      </w:r>
      <w:r w:rsidRPr="00473AAA">
        <w:rPr>
          <w:rFonts w:asciiTheme="minorHAnsi" w:hAnsiTheme="minorHAnsi" w:cstheme="minorHAnsi"/>
          <w:b/>
        </w:rPr>
        <w:t>ry</w:t>
      </w:r>
    </w:p>
    <w:p w14:paraId="07AF3601" w14:textId="1FC768F6" w:rsidR="004049C9" w:rsidRPr="00473AAA" w:rsidRDefault="00D05C94" w:rsidP="00473AAA">
      <w:pPr>
        <w:tabs>
          <w:tab w:val="left" w:pos="4820"/>
        </w:tabs>
        <w:spacing w:line="240" w:lineRule="auto"/>
        <w:contextualSpacing/>
        <w:rPr>
          <w:rFonts w:asciiTheme="minorHAnsi" w:hAnsiTheme="minorHAnsi" w:cstheme="minorHAnsi"/>
          <w:bCs/>
        </w:rPr>
      </w:pPr>
      <w:r w:rsidRPr="00473AAA">
        <w:rPr>
          <w:rFonts w:asciiTheme="minorHAnsi" w:hAnsiTheme="minorHAnsi" w:cstheme="minorHAnsi"/>
          <w:bCs/>
        </w:rPr>
        <w:t xml:space="preserve">Senior Manager – </w:t>
      </w:r>
      <w:r w:rsidR="001D547F" w:rsidRPr="00473AAA">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31"/>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A06DAF">
        <w:trPr>
          <w:trHeight w:val="280"/>
        </w:trPr>
        <w:tc>
          <w:tcPr>
            <w:tcW w:w="1591"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A06DAF">
        <w:trPr>
          <w:trHeight w:val="411"/>
        </w:trPr>
        <w:tc>
          <w:tcPr>
            <w:tcW w:w="1591"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A06DAF">
        <w:trPr>
          <w:trHeight w:val="270"/>
        </w:trPr>
        <w:tc>
          <w:tcPr>
            <w:tcW w:w="1591"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540A5C" w:rsidRPr="00B117D4" w14:paraId="2E663F68" w14:textId="77777777" w:rsidTr="00A00BC0">
        <w:trPr>
          <w:trHeight w:hRule="exact" w:val="577"/>
        </w:trPr>
        <w:tc>
          <w:tcPr>
            <w:tcW w:w="1591" w:type="dxa"/>
            <w:shd w:val="clear" w:color="auto" w:fill="EAF1DD"/>
            <w:vAlign w:val="center"/>
          </w:tcPr>
          <w:p w14:paraId="3D1A791B" w14:textId="7DC2E6DB"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w:t>
            </w:r>
            <w:r w:rsidR="00892000">
              <w:rPr>
                <w:rFonts w:asciiTheme="minorHAnsi" w:hAnsiTheme="minorHAnsi" w:cstheme="minorHAnsi"/>
                <w:b/>
                <w:bCs/>
                <w:lang w:val="en-IN" w:eastAsia="en-IN"/>
              </w:rPr>
              <w:t>IRCULAR</w:t>
            </w:r>
          </w:p>
        </w:tc>
        <w:tc>
          <w:tcPr>
            <w:tcW w:w="7648" w:type="dxa"/>
            <w:shd w:val="clear" w:color="auto" w:fill="EAF1DD"/>
            <w:vAlign w:val="center"/>
          </w:tcPr>
          <w:p w14:paraId="01165C39" w14:textId="77777777" w:rsidR="00892000" w:rsidRPr="00892000" w:rsidRDefault="00892000" w:rsidP="00892000">
            <w:pPr>
              <w:tabs>
                <w:tab w:val="left" w:pos="4820"/>
              </w:tabs>
              <w:spacing w:after="0" w:line="240" w:lineRule="auto"/>
              <w:jc w:val="both"/>
              <w:rPr>
                <w:rFonts w:asciiTheme="minorHAnsi" w:hAnsiTheme="minorHAnsi" w:cstheme="minorHAnsi"/>
                <w:b/>
                <w:bCs/>
                <w:caps/>
                <w:lang w:val="en-IN"/>
              </w:rPr>
            </w:pPr>
            <w:r w:rsidRPr="00892000">
              <w:rPr>
                <w:rFonts w:asciiTheme="minorHAnsi" w:hAnsiTheme="minorHAnsi" w:cstheme="minorHAnsi"/>
                <w:b/>
                <w:bCs/>
                <w:caps/>
              </w:rPr>
              <w:t>INCOME-TAX DEDUCTION FROM SALARIES UNDER SECTION 192 OF THE INCOME-TAX ACT, 1961 DURING THE FINANCIAL YEAR 2021-22</w:t>
            </w:r>
          </w:p>
          <w:p w14:paraId="3D6DAF19" w14:textId="75BB60BD" w:rsidR="00540A5C" w:rsidRPr="00840656" w:rsidRDefault="00540A5C" w:rsidP="00540A5C">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themeFill="accent3" w:themeFillTint="33"/>
            <w:vAlign w:val="center"/>
          </w:tcPr>
          <w:p w14:paraId="33E3349D" w14:textId="77777777" w:rsidR="00540A5C" w:rsidRPr="00AF2DC7" w:rsidRDefault="00540A5C" w:rsidP="00540A5C">
            <w:pPr>
              <w:tabs>
                <w:tab w:val="left" w:pos="4820"/>
              </w:tabs>
              <w:spacing w:after="0" w:line="240" w:lineRule="auto"/>
              <w:rPr>
                <w:rFonts w:asciiTheme="minorHAnsi" w:hAnsiTheme="minorHAnsi" w:cstheme="minorHAnsi"/>
                <w:b/>
                <w:lang w:val="en-IN" w:eastAsia="en-IN"/>
              </w:rPr>
            </w:pPr>
          </w:p>
        </w:tc>
      </w:tr>
      <w:tr w:rsidR="00540A5C" w:rsidRPr="00B117D4" w14:paraId="4FAB3FA3" w14:textId="77777777" w:rsidTr="00A06DAF">
        <w:trPr>
          <w:trHeight w:val="194"/>
        </w:trPr>
        <w:tc>
          <w:tcPr>
            <w:tcW w:w="1591" w:type="dxa"/>
            <w:shd w:val="clear" w:color="auto" w:fill="B3D5AB"/>
            <w:noWrap/>
            <w:vAlign w:val="center"/>
            <w:hideMark/>
          </w:tcPr>
          <w:p w14:paraId="239B407D"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540A5C" w:rsidRPr="00B117D4" w14:paraId="0C79EE48" w14:textId="77777777" w:rsidTr="00C117C0">
        <w:trPr>
          <w:trHeight w:hRule="exact" w:val="1140"/>
        </w:trPr>
        <w:tc>
          <w:tcPr>
            <w:tcW w:w="1591" w:type="dxa"/>
            <w:shd w:val="clear" w:color="auto" w:fill="EAF1DD"/>
            <w:vAlign w:val="center"/>
          </w:tcPr>
          <w:p w14:paraId="77B5245B" w14:textId="5B085B29" w:rsidR="00540A5C" w:rsidRPr="00AF2DC7" w:rsidRDefault="00892000"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5682B62E" w14:textId="383BA983" w:rsidR="00892000" w:rsidRDefault="00892000" w:rsidP="00892000">
            <w:pPr>
              <w:tabs>
                <w:tab w:val="left" w:pos="4820"/>
              </w:tabs>
              <w:spacing w:after="0" w:line="240" w:lineRule="auto"/>
              <w:jc w:val="both"/>
              <w:rPr>
                <w:rFonts w:asciiTheme="minorHAnsi" w:hAnsiTheme="minorHAnsi" w:cstheme="minorHAnsi"/>
                <w:b/>
                <w:bCs/>
                <w:lang w:val="en-IN"/>
              </w:rPr>
            </w:pPr>
            <w:r w:rsidRPr="00892000">
              <w:rPr>
                <w:rFonts w:asciiTheme="minorHAnsi" w:hAnsiTheme="minorHAnsi" w:cstheme="minorHAnsi"/>
                <w:b/>
                <w:bCs/>
                <w:lang w:val="en-IN"/>
              </w:rPr>
              <w:t>POWERS OF ADDITIONAL COMMISSIONER</w:t>
            </w:r>
            <w:r w:rsidR="00BF577C">
              <w:rPr>
                <w:rFonts w:asciiTheme="minorHAnsi" w:hAnsiTheme="minorHAnsi" w:cstheme="minorHAnsi"/>
                <w:b/>
                <w:bCs/>
                <w:lang w:val="en-IN"/>
              </w:rPr>
              <w:t xml:space="preserve"> (AC)</w:t>
            </w:r>
            <w:r w:rsidRPr="00892000">
              <w:rPr>
                <w:rFonts w:asciiTheme="minorHAnsi" w:hAnsiTheme="minorHAnsi" w:cstheme="minorHAnsi"/>
                <w:b/>
                <w:bCs/>
                <w:lang w:val="en-IN"/>
              </w:rPr>
              <w:t xml:space="preserve"> OR JOINT COMMISSIONER </w:t>
            </w:r>
            <w:r w:rsidR="00BF577C">
              <w:rPr>
                <w:rFonts w:asciiTheme="minorHAnsi" w:hAnsiTheme="minorHAnsi" w:cstheme="minorHAnsi"/>
                <w:b/>
                <w:bCs/>
                <w:lang w:val="en-IN"/>
              </w:rPr>
              <w:t xml:space="preserve">(JC) </w:t>
            </w:r>
            <w:r w:rsidRPr="00892000">
              <w:rPr>
                <w:rFonts w:asciiTheme="minorHAnsi" w:hAnsiTheme="minorHAnsi" w:cstheme="minorHAnsi"/>
                <w:b/>
                <w:bCs/>
                <w:lang w:val="en-IN"/>
              </w:rPr>
              <w:t>OF CENTRAL TAX FOR PASSING AN ORDER OR DECISION IN RESPECT OF NOTICES ISSUED BY THE OFFICERS OF DIRECTORATE GENERAL OF GOODS AND SERVICES TAX INTELLIGENCE</w:t>
            </w:r>
            <w:r w:rsidR="00BF577C">
              <w:rPr>
                <w:rFonts w:asciiTheme="minorHAnsi" w:hAnsiTheme="minorHAnsi" w:cstheme="minorHAnsi"/>
                <w:b/>
                <w:bCs/>
                <w:lang w:val="en-IN"/>
              </w:rPr>
              <w:t xml:space="preserve"> (DGGI)</w:t>
            </w:r>
          </w:p>
          <w:p w14:paraId="64977925" w14:textId="77777777" w:rsidR="00BF577C" w:rsidRPr="00892000" w:rsidRDefault="00BF577C" w:rsidP="00892000">
            <w:pPr>
              <w:tabs>
                <w:tab w:val="left" w:pos="4820"/>
              </w:tabs>
              <w:spacing w:after="0" w:line="240" w:lineRule="auto"/>
              <w:jc w:val="both"/>
              <w:rPr>
                <w:rFonts w:asciiTheme="minorHAnsi" w:hAnsiTheme="minorHAnsi" w:cstheme="minorHAnsi"/>
                <w:b/>
                <w:bCs/>
                <w:lang w:val="en-IN"/>
              </w:rPr>
            </w:pPr>
          </w:p>
          <w:p w14:paraId="7B40B695" w14:textId="6D343A19" w:rsidR="00540A5C" w:rsidRPr="00540A5C" w:rsidRDefault="00540A5C" w:rsidP="00540A5C">
            <w:pPr>
              <w:tabs>
                <w:tab w:val="left" w:pos="4820"/>
              </w:tabs>
              <w:spacing w:after="0" w:line="240" w:lineRule="auto"/>
              <w:jc w:val="both"/>
              <w:rPr>
                <w:rFonts w:asciiTheme="minorHAnsi" w:hAnsiTheme="minorHAnsi" w:cstheme="minorHAnsi"/>
                <w:b/>
                <w:bCs/>
                <w:lang w:val="en-IN"/>
              </w:rPr>
            </w:pPr>
          </w:p>
        </w:tc>
        <w:tc>
          <w:tcPr>
            <w:tcW w:w="1246" w:type="dxa"/>
            <w:shd w:val="clear" w:color="auto" w:fill="EAF1DD" w:themeFill="accent3" w:themeFillTint="33"/>
            <w:vAlign w:val="center"/>
          </w:tcPr>
          <w:p w14:paraId="7CA97852"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2AD949C9" w14:textId="77777777" w:rsidTr="00A06DAF">
        <w:trPr>
          <w:trHeight w:hRule="exact" w:val="266"/>
        </w:trPr>
        <w:tc>
          <w:tcPr>
            <w:tcW w:w="1591" w:type="dxa"/>
            <w:shd w:val="clear" w:color="auto" w:fill="B3D5AB"/>
            <w:vAlign w:val="center"/>
            <w:hideMark/>
          </w:tcPr>
          <w:p w14:paraId="3CB709D0"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2A048FB8"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540A5C" w:rsidRPr="00B117D4" w14:paraId="5746D8AC" w14:textId="77777777" w:rsidTr="00A00BC0">
        <w:trPr>
          <w:trHeight w:hRule="exact" w:val="867"/>
        </w:trPr>
        <w:tc>
          <w:tcPr>
            <w:tcW w:w="1591" w:type="dxa"/>
            <w:shd w:val="clear" w:color="auto" w:fill="EAF1DD"/>
            <w:vAlign w:val="center"/>
          </w:tcPr>
          <w:p w14:paraId="6CF0692D" w14:textId="63E2D783" w:rsidR="00540A5C" w:rsidRPr="00AF2DC7" w:rsidRDefault="00E84599"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GUIDELINES</w:t>
            </w:r>
          </w:p>
        </w:tc>
        <w:tc>
          <w:tcPr>
            <w:tcW w:w="7648" w:type="dxa"/>
            <w:shd w:val="clear" w:color="auto" w:fill="EAF1DD"/>
            <w:vAlign w:val="center"/>
          </w:tcPr>
          <w:p w14:paraId="7D011515" w14:textId="152E4E34" w:rsidR="00D5755E" w:rsidRPr="00D5755E" w:rsidRDefault="00E84599" w:rsidP="00D5755E">
            <w:pPr>
              <w:tabs>
                <w:tab w:val="left" w:pos="4820"/>
              </w:tabs>
              <w:spacing w:after="0" w:line="240" w:lineRule="auto"/>
              <w:jc w:val="both"/>
              <w:rPr>
                <w:b/>
                <w:bCs/>
                <w:lang w:val="en-IN"/>
              </w:rPr>
            </w:pPr>
            <w:r w:rsidRPr="00532FAA">
              <w:rPr>
                <w:rFonts w:asciiTheme="minorHAnsi" w:hAnsiTheme="minorHAnsi" w:cstheme="minorHAnsi"/>
                <w:b/>
                <w:bCs/>
                <w:caps/>
                <w:color w:val="000000" w:themeColor="text1"/>
                <w:lang w:val="en-IN"/>
              </w:rPr>
              <w:t>Review of FDI Policy for permitting foreign investment in Life Insurance Corporation of India (LIC) and other modifications for further clarity of the existing FDI Policy</w:t>
            </w:r>
            <w:r w:rsidRPr="00D5755E">
              <w:rPr>
                <w:b/>
                <w:bCs/>
                <w:lang w:val="en-IN"/>
              </w:rPr>
              <w:t xml:space="preserve"> </w:t>
            </w:r>
          </w:p>
          <w:p w14:paraId="5DFFD649" w14:textId="4927BD9A" w:rsidR="00540A5C" w:rsidRPr="00A47F83" w:rsidRDefault="00540A5C" w:rsidP="00540A5C">
            <w:pPr>
              <w:tabs>
                <w:tab w:val="left" w:pos="4820"/>
              </w:tabs>
              <w:spacing w:after="0" w:line="240" w:lineRule="auto"/>
              <w:jc w:val="both"/>
              <w:rPr>
                <w:b/>
                <w:bCs/>
                <w:lang w:val="en-IN"/>
              </w:rPr>
            </w:pPr>
          </w:p>
        </w:tc>
        <w:tc>
          <w:tcPr>
            <w:tcW w:w="1246" w:type="dxa"/>
            <w:shd w:val="clear" w:color="auto" w:fill="EAF1DD"/>
            <w:vAlign w:val="center"/>
          </w:tcPr>
          <w:p w14:paraId="3ACCA0F0"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4E677B7D" w14:textId="77777777" w:rsidTr="00A06DAF">
        <w:trPr>
          <w:trHeight w:hRule="exact" w:val="289"/>
        </w:trPr>
        <w:tc>
          <w:tcPr>
            <w:tcW w:w="1591" w:type="dxa"/>
            <w:shd w:val="clear" w:color="auto" w:fill="B3D5AB"/>
            <w:vAlign w:val="center"/>
            <w:hideMark/>
          </w:tcPr>
          <w:p w14:paraId="53F3353F"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619350EC" w:rsidR="00540A5C" w:rsidRPr="00AF2DC7" w:rsidRDefault="00B16608"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540A5C" w:rsidRPr="00B117D4" w14:paraId="63858588" w14:textId="77777777" w:rsidTr="00A116F9">
        <w:trPr>
          <w:trHeight w:hRule="exact" w:val="1000"/>
        </w:trPr>
        <w:tc>
          <w:tcPr>
            <w:tcW w:w="1591" w:type="dxa"/>
            <w:shd w:val="clear" w:color="auto" w:fill="EAF1DD"/>
            <w:vAlign w:val="center"/>
          </w:tcPr>
          <w:p w14:paraId="72F94BE4" w14:textId="3A9F4401" w:rsidR="00540A5C" w:rsidRPr="00AF2DC7" w:rsidRDefault="00A116F9" w:rsidP="00540A5C">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7ADA931A" w14:textId="77777777" w:rsidR="00A116F9" w:rsidRPr="00A116F9" w:rsidRDefault="00A116F9" w:rsidP="00A116F9">
            <w:pPr>
              <w:tabs>
                <w:tab w:val="left" w:pos="4820"/>
              </w:tabs>
              <w:spacing w:after="0" w:line="240" w:lineRule="auto"/>
              <w:jc w:val="both"/>
              <w:rPr>
                <w:rFonts w:asciiTheme="minorHAnsi" w:hAnsiTheme="minorHAnsi" w:cstheme="minorHAnsi"/>
                <w:b/>
                <w:bCs/>
                <w:caps/>
                <w:color w:val="000000" w:themeColor="text1"/>
                <w:lang w:val="en-IN"/>
              </w:rPr>
            </w:pPr>
            <w:r w:rsidRPr="00A116F9">
              <w:rPr>
                <w:rFonts w:asciiTheme="minorHAnsi" w:hAnsiTheme="minorHAnsi" w:cstheme="minorHAnsi"/>
                <w:b/>
                <w:bCs/>
                <w:caps/>
                <w:color w:val="000000" w:themeColor="text1"/>
                <w:lang w:val="en-IN"/>
              </w:rPr>
              <w:t>Fixation of Traiff Values - Edible Oils, Brass Scrap, Poppy Seeds, Areca Nut, Gold and Sliver etc, (including Crude Palm Oil, RBD Palm Oil, Others)</w:t>
            </w:r>
          </w:p>
          <w:p w14:paraId="60E14FBB" w14:textId="63422036" w:rsidR="00540A5C" w:rsidRPr="00A00BC0" w:rsidRDefault="00540A5C" w:rsidP="00540A5C">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3EBC93F9"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CB16CCF" w14:textId="77777777" w:rsidTr="00A06DAF">
        <w:trPr>
          <w:trHeight w:hRule="exact" w:val="243"/>
        </w:trPr>
        <w:tc>
          <w:tcPr>
            <w:tcW w:w="1591" w:type="dxa"/>
            <w:shd w:val="clear" w:color="auto" w:fill="B3D5AB"/>
            <w:vAlign w:val="center"/>
          </w:tcPr>
          <w:p w14:paraId="14609697"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540A5C" w:rsidRPr="00AF2DC7" w:rsidRDefault="00540A5C" w:rsidP="00540A5C">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66E9EC5F" w:rsidR="00540A5C" w:rsidRPr="00AF2DC7" w:rsidRDefault="00151C6B"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540A5C" w:rsidRPr="00B117D4" w14:paraId="4AA6BED4" w14:textId="77777777" w:rsidTr="00FD72CE">
        <w:trPr>
          <w:trHeight w:hRule="exact" w:val="739"/>
        </w:trPr>
        <w:tc>
          <w:tcPr>
            <w:tcW w:w="1591" w:type="dxa"/>
            <w:shd w:val="clear" w:color="auto" w:fill="EAF1DD"/>
            <w:vAlign w:val="center"/>
            <w:hideMark/>
          </w:tcPr>
          <w:p w14:paraId="3DA84034" w14:textId="783E5BDA" w:rsidR="00540A5C" w:rsidRPr="00AF2DC7" w:rsidRDefault="00D80396"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TRADE NOTICE</w:t>
            </w:r>
          </w:p>
        </w:tc>
        <w:tc>
          <w:tcPr>
            <w:tcW w:w="7648" w:type="dxa"/>
            <w:shd w:val="clear" w:color="auto" w:fill="EAF1DD"/>
            <w:vAlign w:val="center"/>
            <w:hideMark/>
          </w:tcPr>
          <w:p w14:paraId="40325DD9" w14:textId="77777777" w:rsidR="00D80396" w:rsidRPr="00D80396" w:rsidRDefault="00D80396" w:rsidP="00D80396">
            <w:pPr>
              <w:tabs>
                <w:tab w:val="left" w:pos="4820"/>
              </w:tabs>
              <w:spacing w:after="0" w:line="240" w:lineRule="auto"/>
              <w:jc w:val="both"/>
              <w:rPr>
                <w:rFonts w:asciiTheme="minorHAnsi" w:hAnsiTheme="minorHAnsi" w:cstheme="minorHAnsi"/>
                <w:b/>
                <w:bCs/>
                <w:caps/>
                <w:color w:val="000000" w:themeColor="text1"/>
                <w:lang w:val="en-IN"/>
              </w:rPr>
            </w:pPr>
            <w:r w:rsidRPr="00D80396">
              <w:rPr>
                <w:rFonts w:asciiTheme="minorHAnsi" w:hAnsiTheme="minorHAnsi" w:cstheme="minorHAnsi"/>
                <w:b/>
                <w:bCs/>
                <w:caps/>
                <w:color w:val="000000" w:themeColor="text1"/>
                <w:lang w:val="en-IN"/>
              </w:rPr>
              <w:t>Operationalisation of new online IT Module for Interest Equalisation Scheme w.e.f. 01.04.2022</w:t>
            </w:r>
          </w:p>
          <w:p w14:paraId="61AE335D" w14:textId="14548DB1" w:rsidR="00540A5C" w:rsidRPr="00244D5F" w:rsidRDefault="00540A5C" w:rsidP="00FD72CE">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hideMark/>
          </w:tcPr>
          <w:p w14:paraId="72F56168"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3F75D07" w14:textId="77777777" w:rsidTr="00A06DAF">
        <w:trPr>
          <w:trHeight w:hRule="exact" w:val="598"/>
        </w:trPr>
        <w:tc>
          <w:tcPr>
            <w:tcW w:w="1591" w:type="dxa"/>
            <w:shd w:val="clear" w:color="auto" w:fill="B3D5AB"/>
            <w:vAlign w:val="center"/>
          </w:tcPr>
          <w:p w14:paraId="18736E4A" w14:textId="00F951D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1F5AC1C9" w14:textId="0B15C8A0" w:rsidR="00540A5C" w:rsidRPr="00AF2DC7" w:rsidRDefault="00540A5C" w:rsidP="00540A5C">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371DE96E"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151C6B">
              <w:rPr>
                <w:rFonts w:asciiTheme="minorHAnsi" w:hAnsiTheme="minorHAnsi" w:cstheme="minorHAnsi"/>
                <w:b/>
                <w:lang w:val="en-IN" w:eastAsia="en-IN"/>
              </w:rPr>
              <w:t>0</w:t>
            </w:r>
          </w:p>
        </w:tc>
      </w:tr>
      <w:tr w:rsidR="00540A5C" w:rsidRPr="00B117D4" w14:paraId="3CE519D2" w14:textId="77777777" w:rsidTr="00A06DAF">
        <w:trPr>
          <w:trHeight w:hRule="exact" w:val="598"/>
        </w:trPr>
        <w:tc>
          <w:tcPr>
            <w:tcW w:w="1591" w:type="dxa"/>
            <w:shd w:val="clear" w:color="auto" w:fill="B3D5AB"/>
            <w:vAlign w:val="center"/>
          </w:tcPr>
          <w:p w14:paraId="58AC86C0" w14:textId="460EC2AB"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6D7E4024" w14:textId="77777777" w:rsidR="00540A5C" w:rsidRPr="00AF2DC7" w:rsidRDefault="00540A5C" w:rsidP="00540A5C">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540A5C" w:rsidRPr="000F74CD" w:rsidRDefault="00540A5C" w:rsidP="00540A5C">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14700DF"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16608">
              <w:rPr>
                <w:rFonts w:asciiTheme="minorHAnsi" w:hAnsiTheme="minorHAnsi" w:cstheme="minorHAnsi"/>
                <w:b/>
                <w:lang w:val="en-IN" w:eastAsia="en-IN"/>
              </w:rPr>
              <w:t>1</w:t>
            </w:r>
          </w:p>
        </w:tc>
      </w:tr>
      <w:tr w:rsidR="00540A5C" w:rsidRPr="00B117D4" w14:paraId="36608CFD" w14:textId="77777777" w:rsidTr="00A06DAF">
        <w:trPr>
          <w:trHeight w:hRule="exact" w:val="389"/>
        </w:trPr>
        <w:tc>
          <w:tcPr>
            <w:tcW w:w="1591" w:type="dxa"/>
            <w:shd w:val="clear" w:color="auto" w:fill="B3D5AB"/>
            <w:vAlign w:val="center"/>
          </w:tcPr>
          <w:p w14:paraId="79F3A227" w14:textId="52A179A9"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540A5C" w:rsidRPr="00AF2DC7" w:rsidRDefault="00540A5C" w:rsidP="00540A5C">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74043A2D"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16608">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302F35">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6F380C" w:rsidRPr="00D27A53" w14:paraId="68DE17E6" w14:textId="77777777" w:rsidTr="00C117C0">
        <w:trPr>
          <w:trHeight w:val="843"/>
        </w:trPr>
        <w:tc>
          <w:tcPr>
            <w:tcW w:w="1628" w:type="dxa"/>
            <w:shd w:val="clear" w:color="auto" w:fill="4E8542"/>
            <w:noWrap/>
            <w:vAlign w:val="center"/>
          </w:tcPr>
          <w:p w14:paraId="12EDE5CA" w14:textId="6A0CCDD1" w:rsidR="006F380C" w:rsidRDefault="00E90B20" w:rsidP="006F380C">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006F380C" w:rsidRPr="009444E6">
              <w:rPr>
                <w:rFonts w:asciiTheme="minorHAnsi" w:hAnsiTheme="minorHAnsi" w:cstheme="minorHAnsi"/>
                <w:b/>
                <w:color w:val="FFFFFF" w:themeColor="background1"/>
                <w:vertAlign w:val="superscript"/>
              </w:rPr>
              <w:t>th</w:t>
            </w:r>
            <w:r w:rsidR="006F380C">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4B953FAA" w14:textId="4DD500AF" w:rsidR="006F380C" w:rsidRPr="009E7FC4" w:rsidRDefault="00E90B20" w:rsidP="006F380C">
            <w:pPr>
              <w:pStyle w:val="ListParagraph"/>
              <w:ind w:left="43"/>
              <w:jc w:val="center"/>
              <w:rPr>
                <w:rFonts w:asciiTheme="minorHAnsi" w:hAnsiTheme="minorHAnsi" w:cstheme="minorHAnsi"/>
                <w:b/>
                <w:bCs/>
              </w:rPr>
            </w:pPr>
            <w:r w:rsidRPr="00E90B20">
              <w:rPr>
                <w:rFonts w:asciiTheme="minorHAnsi" w:hAnsiTheme="minorHAnsi" w:cstheme="minorHAnsi"/>
                <w:b/>
                <w:bCs/>
              </w:rPr>
              <w:t>GSTR 5</w:t>
            </w:r>
          </w:p>
        </w:tc>
        <w:tc>
          <w:tcPr>
            <w:tcW w:w="1559" w:type="dxa"/>
            <w:shd w:val="clear" w:color="auto" w:fill="D6E3BC" w:themeFill="accent3" w:themeFillTint="66"/>
            <w:vAlign w:val="center"/>
          </w:tcPr>
          <w:p w14:paraId="37B828F6" w14:textId="218B76DC" w:rsidR="006F380C" w:rsidRDefault="006F380C" w:rsidP="006F380C">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2F0834CB" w14:textId="206C518E" w:rsidR="006F380C" w:rsidRPr="005F4251" w:rsidRDefault="003A0CAE" w:rsidP="006F380C">
            <w:pPr>
              <w:tabs>
                <w:tab w:val="left" w:pos="4820"/>
              </w:tabs>
              <w:spacing w:after="0" w:line="240" w:lineRule="auto"/>
              <w:jc w:val="both"/>
              <w:rPr>
                <w:rFonts w:asciiTheme="minorHAnsi" w:hAnsiTheme="minorHAnsi" w:cstheme="minorHAnsi"/>
                <w:bCs/>
              </w:rPr>
            </w:pPr>
            <w:r>
              <w:rPr>
                <w:rFonts w:asciiTheme="minorHAnsi" w:hAnsiTheme="minorHAnsi" w:cstheme="minorHAnsi"/>
                <w:bCs/>
              </w:rPr>
              <w:t>D</w:t>
            </w:r>
            <w:r w:rsidRPr="003A0CAE">
              <w:rPr>
                <w:rFonts w:asciiTheme="minorHAnsi" w:hAnsiTheme="minorHAnsi" w:cstheme="minorHAnsi"/>
                <w:bCs/>
              </w:rPr>
              <w:t xml:space="preserve">ocument/statement that has to be filed by every registered non-resident taxable person for the period during which they carry out </w:t>
            </w:r>
            <w:proofErr w:type="gramStart"/>
            <w:r w:rsidRPr="003A0CAE">
              <w:rPr>
                <w:rFonts w:asciiTheme="minorHAnsi" w:hAnsiTheme="minorHAnsi" w:cstheme="minorHAnsi"/>
                <w:bCs/>
              </w:rPr>
              <w:t>businesses</w:t>
            </w:r>
            <w:proofErr w:type="gramEnd"/>
            <w:r w:rsidRPr="003A0CAE">
              <w:rPr>
                <w:rFonts w:asciiTheme="minorHAnsi" w:hAnsiTheme="minorHAnsi" w:cstheme="minorHAnsi"/>
                <w:bCs/>
              </w:rPr>
              <w:t xml:space="preserve"> transactions in India</w:t>
            </w:r>
          </w:p>
        </w:tc>
      </w:tr>
      <w:tr w:rsidR="003A0CAE" w:rsidRPr="00D27A53" w14:paraId="00F0FC0E" w14:textId="77777777" w:rsidTr="00A915BC">
        <w:trPr>
          <w:trHeight w:val="791"/>
        </w:trPr>
        <w:tc>
          <w:tcPr>
            <w:tcW w:w="1628" w:type="dxa"/>
            <w:shd w:val="clear" w:color="auto" w:fill="4E8542"/>
            <w:noWrap/>
            <w:vAlign w:val="center"/>
          </w:tcPr>
          <w:p w14:paraId="3E05D7C0" w14:textId="0410AD4C" w:rsidR="003A0CAE" w:rsidRDefault="003A0CAE" w:rsidP="003A0CA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0132BE2E" w14:textId="17900A3F" w:rsidR="003A0CAE" w:rsidRPr="007B6FAF" w:rsidRDefault="003A0CAE" w:rsidP="003A0CAE">
            <w:pPr>
              <w:pStyle w:val="ListParagraph"/>
              <w:ind w:left="43"/>
              <w:jc w:val="center"/>
              <w:rPr>
                <w:rFonts w:asciiTheme="minorHAnsi" w:hAnsiTheme="minorHAnsi" w:cstheme="minorHAnsi"/>
                <w:b/>
                <w:bCs/>
              </w:rPr>
            </w:pPr>
            <w:r w:rsidRPr="00E90B20">
              <w:rPr>
                <w:rFonts w:asciiTheme="minorHAnsi" w:hAnsiTheme="minorHAnsi" w:cstheme="minorHAnsi"/>
                <w:b/>
                <w:bCs/>
              </w:rPr>
              <w:t>GSTR 5A</w:t>
            </w:r>
          </w:p>
        </w:tc>
        <w:tc>
          <w:tcPr>
            <w:tcW w:w="1559" w:type="dxa"/>
            <w:shd w:val="clear" w:color="auto" w:fill="D6E3BC" w:themeFill="accent3" w:themeFillTint="66"/>
            <w:vAlign w:val="center"/>
          </w:tcPr>
          <w:p w14:paraId="12B6A250" w14:textId="4DAB3E1C" w:rsidR="003A0CAE" w:rsidRPr="009444E6" w:rsidRDefault="003A0CAE" w:rsidP="003A0CAE">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037D8200" w14:textId="0BF66135" w:rsidR="003A0CAE" w:rsidRPr="001E1CA7" w:rsidRDefault="003A0CAE" w:rsidP="003A0CAE">
            <w:pPr>
              <w:tabs>
                <w:tab w:val="left" w:pos="4820"/>
              </w:tabs>
              <w:spacing w:after="0" w:line="240" w:lineRule="auto"/>
              <w:jc w:val="both"/>
              <w:rPr>
                <w:rFonts w:asciiTheme="minorHAnsi" w:hAnsiTheme="minorHAnsi" w:cstheme="minorHAnsi"/>
                <w:bCs/>
              </w:rPr>
            </w:pPr>
            <w:r>
              <w:rPr>
                <w:rFonts w:asciiTheme="minorHAnsi" w:hAnsiTheme="minorHAnsi" w:cstheme="minorHAnsi"/>
                <w:bCs/>
              </w:rPr>
              <w:t>A</w:t>
            </w:r>
            <w:r w:rsidRPr="003A0CAE">
              <w:rPr>
                <w:rFonts w:asciiTheme="minorHAnsi" w:hAnsiTheme="minorHAnsi" w:cstheme="minorHAnsi"/>
                <w:bCs/>
              </w:rPr>
              <w:t xml:space="preserve"> return form to be filed by non-resident Online Information and Database Access or Retrieval (OIDAR) services provider for the services provided from a place outside India to a person in India to unregistered person or non-taxable customers.</w:t>
            </w:r>
          </w:p>
        </w:tc>
      </w:tr>
      <w:tr w:rsidR="003A0CAE" w:rsidRPr="00D27A53" w14:paraId="180A817E" w14:textId="77777777" w:rsidTr="00A915BC">
        <w:trPr>
          <w:trHeight w:val="791"/>
        </w:trPr>
        <w:tc>
          <w:tcPr>
            <w:tcW w:w="1628" w:type="dxa"/>
            <w:shd w:val="clear" w:color="auto" w:fill="4E8542"/>
            <w:noWrap/>
            <w:vAlign w:val="center"/>
          </w:tcPr>
          <w:p w14:paraId="272661E7" w14:textId="7BD0F9E8" w:rsidR="003A0CAE" w:rsidRDefault="003A0CAE" w:rsidP="003A0CA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06869C69" w14:textId="1B102B1A" w:rsidR="003A0CAE" w:rsidRPr="006C0EF6" w:rsidRDefault="003A0CAE" w:rsidP="003A0CAE">
            <w:pPr>
              <w:pStyle w:val="ListParagraph"/>
              <w:ind w:left="43"/>
              <w:jc w:val="center"/>
              <w:rPr>
                <w:rFonts w:asciiTheme="minorHAnsi" w:hAnsiTheme="minorHAnsi" w:cstheme="minorHAnsi"/>
                <w:b/>
                <w:bCs/>
              </w:rPr>
            </w:pPr>
            <w:r w:rsidRPr="006C0EF6">
              <w:rPr>
                <w:rFonts w:asciiTheme="minorHAnsi" w:hAnsiTheme="minorHAnsi" w:cstheme="minorHAnsi"/>
                <w:b/>
                <w:bCs/>
              </w:rPr>
              <w:t xml:space="preserve">GSTR </w:t>
            </w:r>
            <w:r>
              <w:rPr>
                <w:rFonts w:asciiTheme="minorHAnsi" w:hAnsiTheme="minorHAnsi" w:cstheme="minorHAnsi"/>
                <w:b/>
                <w:bCs/>
              </w:rPr>
              <w:t>3B</w:t>
            </w:r>
          </w:p>
        </w:tc>
        <w:tc>
          <w:tcPr>
            <w:tcW w:w="1559" w:type="dxa"/>
            <w:shd w:val="clear" w:color="auto" w:fill="D6E3BC" w:themeFill="accent3" w:themeFillTint="66"/>
            <w:vAlign w:val="center"/>
          </w:tcPr>
          <w:p w14:paraId="752B122D" w14:textId="565234A0" w:rsidR="003A0CAE" w:rsidRDefault="003A0CAE" w:rsidP="003A0CAE">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106544BB" w14:textId="2AB9B019" w:rsidR="003A0CAE" w:rsidRPr="00FF7744" w:rsidRDefault="003A0CAE" w:rsidP="003A0CAE">
            <w:pPr>
              <w:tabs>
                <w:tab w:val="left" w:pos="4820"/>
              </w:tabs>
              <w:spacing w:after="0" w:line="240" w:lineRule="auto"/>
              <w:jc w:val="both"/>
              <w:rPr>
                <w:rFonts w:asciiTheme="minorHAnsi" w:hAnsiTheme="minorHAnsi" w:cstheme="minorHAnsi"/>
                <w:bCs/>
              </w:rPr>
            </w:pPr>
            <w:r w:rsidRPr="00FF7744">
              <w:rPr>
                <w:rFonts w:asciiTheme="minorHAnsi" w:hAnsiTheme="minorHAnsi" w:cstheme="minorHAnsi"/>
                <w:bCs/>
              </w:rPr>
              <w:t xml:space="preserve">The </w:t>
            </w:r>
            <w:r>
              <w:rPr>
                <w:rFonts w:asciiTheme="minorHAnsi" w:hAnsiTheme="minorHAnsi" w:cstheme="minorHAnsi"/>
                <w:bCs/>
              </w:rPr>
              <w:t xml:space="preserve">summary Return of Outward Supplies and ITC of the taxpayers </w:t>
            </w:r>
            <w:r w:rsidRPr="00FF7744">
              <w:rPr>
                <w:rFonts w:asciiTheme="minorHAnsi" w:hAnsiTheme="minorHAnsi" w:cstheme="minorHAnsi"/>
                <w:bCs/>
              </w:rPr>
              <w:t>having an Annual Turnover of more than 5 Crores</w:t>
            </w:r>
            <w:r>
              <w:rPr>
                <w:rFonts w:asciiTheme="minorHAnsi" w:hAnsiTheme="minorHAnsi" w:cstheme="minorHAnsi"/>
                <w:bCs/>
              </w:rPr>
              <w:t>.</w:t>
            </w:r>
          </w:p>
        </w:tc>
      </w:tr>
      <w:tr w:rsidR="003A0CAE" w:rsidRPr="00D27A53" w14:paraId="29F37489" w14:textId="77777777" w:rsidTr="00A915BC">
        <w:trPr>
          <w:trHeight w:val="791"/>
        </w:trPr>
        <w:tc>
          <w:tcPr>
            <w:tcW w:w="1628" w:type="dxa"/>
            <w:shd w:val="clear" w:color="auto" w:fill="4E8542"/>
            <w:noWrap/>
            <w:vAlign w:val="center"/>
          </w:tcPr>
          <w:p w14:paraId="1CCB793A" w14:textId="34DBB2FC" w:rsidR="003A0CAE" w:rsidRDefault="003A0CAE" w:rsidP="003A0CA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March</w:t>
            </w:r>
          </w:p>
        </w:tc>
        <w:tc>
          <w:tcPr>
            <w:tcW w:w="1623" w:type="dxa"/>
            <w:shd w:val="clear" w:color="auto" w:fill="D6E3BC" w:themeFill="accent3" w:themeFillTint="66"/>
            <w:vAlign w:val="center"/>
          </w:tcPr>
          <w:p w14:paraId="61D6D5DC" w14:textId="77777777" w:rsidR="003A0CAE" w:rsidRDefault="003A0CAE" w:rsidP="003A0CAE">
            <w:pPr>
              <w:pStyle w:val="ListParagraph"/>
              <w:ind w:left="43"/>
              <w:jc w:val="center"/>
              <w:rPr>
                <w:rFonts w:asciiTheme="minorHAnsi" w:hAnsiTheme="minorHAnsi" w:cstheme="minorHAnsi"/>
                <w:b/>
                <w:bCs/>
              </w:rPr>
            </w:pPr>
          </w:p>
          <w:p w14:paraId="44F67498" w14:textId="2D571A5B" w:rsidR="003A0CAE" w:rsidRPr="006C0EF6" w:rsidRDefault="003A0CAE" w:rsidP="003A0CAE">
            <w:pPr>
              <w:pStyle w:val="ListParagraph"/>
              <w:ind w:left="43"/>
              <w:jc w:val="center"/>
              <w:rPr>
                <w:rFonts w:asciiTheme="minorHAnsi" w:hAnsiTheme="minorHAnsi" w:cstheme="minorHAnsi"/>
                <w:b/>
                <w:bCs/>
              </w:rPr>
            </w:pPr>
            <w:r w:rsidRPr="003C1A97">
              <w:rPr>
                <w:rFonts w:asciiTheme="minorHAnsi" w:hAnsiTheme="minorHAnsi" w:cstheme="minorHAnsi"/>
                <w:b/>
                <w:bCs/>
              </w:rPr>
              <w:t>GST Challan Payment</w:t>
            </w:r>
          </w:p>
        </w:tc>
        <w:tc>
          <w:tcPr>
            <w:tcW w:w="1559" w:type="dxa"/>
            <w:shd w:val="clear" w:color="auto" w:fill="D6E3BC" w:themeFill="accent3" w:themeFillTint="66"/>
            <w:vAlign w:val="center"/>
          </w:tcPr>
          <w:p w14:paraId="3DE3D2D8" w14:textId="22529707" w:rsidR="003A0CAE" w:rsidRDefault="003A0CAE" w:rsidP="003A0CAE">
            <w:pPr>
              <w:tabs>
                <w:tab w:val="left" w:pos="4820"/>
              </w:tabs>
              <w:spacing w:after="0" w:line="240" w:lineRule="auto"/>
              <w:jc w:val="center"/>
              <w:rPr>
                <w:rFonts w:asciiTheme="minorHAnsi" w:hAnsiTheme="minorHAnsi" w:cstheme="minorHAnsi"/>
                <w:bCs/>
              </w:rPr>
            </w:pPr>
            <w:r>
              <w:rPr>
                <w:rFonts w:asciiTheme="minorHAnsi" w:hAnsiTheme="minorHAnsi" w:cstheme="minorHAnsi"/>
                <w:bCs/>
              </w:rPr>
              <w:t>February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681C8A53" w14:textId="019ACF82" w:rsidR="003A0CAE" w:rsidRPr="00CE56C6" w:rsidRDefault="003A0CAE" w:rsidP="003A0CAE">
            <w:pPr>
              <w:tabs>
                <w:tab w:val="left" w:pos="4820"/>
              </w:tabs>
              <w:spacing w:after="0" w:line="240" w:lineRule="auto"/>
              <w:jc w:val="both"/>
              <w:rPr>
                <w:rFonts w:asciiTheme="minorHAnsi" w:hAnsiTheme="minorHAnsi" w:cstheme="minorHAnsi"/>
                <w:bCs/>
              </w:rPr>
            </w:pPr>
            <w:r w:rsidRPr="003C1A97">
              <w:rPr>
                <w:rFonts w:asciiTheme="minorHAnsi" w:hAnsiTheme="minorHAnsi" w:cstheme="minorHAnsi"/>
                <w:bCs/>
              </w:rPr>
              <w:t>If you don’t have enough ITC for February, you’ll have to pay a GST challan (for all Quarterly Filers).</w:t>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6DD6A00E" w:rsidR="001D6F9D" w:rsidRDefault="00BF577C" w:rsidP="00F474C8">
      <w:pPr>
        <w:tabs>
          <w:tab w:val="left" w:pos="3039"/>
          <w:tab w:val="left" w:pos="4820"/>
        </w:tabs>
        <w:rPr>
          <w:rFonts w:cstheme="minorHAnsi"/>
          <w:b/>
          <w:sz w:val="32"/>
          <w:lang w:val="en-GB"/>
        </w:rPr>
      </w:pP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p>
    <w:p w14:paraId="7C315E85" w14:textId="77777777" w:rsidR="001E1CA7" w:rsidRDefault="001E1CA7"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33"/>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8C5F0C7" w14:textId="2D14D1A1" w:rsidR="00D9237E" w:rsidRPr="0072359D" w:rsidRDefault="00061CF6" w:rsidP="00D9237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1F714A">
        <w:rPr>
          <w:b/>
          <w:bCs/>
          <w:noProof/>
          <w:color w:val="FFFFFF" w:themeColor="background1"/>
          <w:sz w:val="22"/>
          <w:szCs w:val="22"/>
          <w:u w:val="none"/>
          <w:lang w:val="en-US"/>
        </w:rPr>
        <w:t>IRCULAR</w:t>
      </w:r>
    </w:p>
    <w:p w14:paraId="5CB2EAF7" w14:textId="2504CB78" w:rsidR="00D9237E" w:rsidRPr="00580D66" w:rsidRDefault="001F714A" w:rsidP="00061CF6">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1F714A">
        <w:rPr>
          <w:rFonts w:asciiTheme="minorHAnsi" w:hAnsiTheme="minorHAnsi" w:cstheme="minorHAnsi"/>
          <w:b/>
          <w:bCs/>
          <w:caps/>
        </w:rPr>
        <w:t>INCOME-TAX DEDUCTION FROM SALARIES UNDER SECTION 192 OF THE INCOME-TAX ACT, 1961 DURING THE FINANCIAL YEAR 2021-22</w:t>
      </w:r>
    </w:p>
    <w:p w14:paraId="0E2CC905" w14:textId="381E21B4" w:rsidR="001F714A" w:rsidRDefault="001F714A" w:rsidP="001F714A">
      <w:pPr>
        <w:pStyle w:val="NormalWeb"/>
        <w:spacing w:after="150" w:line="276" w:lineRule="auto"/>
        <w:jc w:val="both"/>
        <w:rPr>
          <w:rFonts w:asciiTheme="minorHAnsi" w:hAnsiTheme="minorHAnsi" w:cstheme="minorHAnsi"/>
          <w:b/>
          <w:bCs/>
          <w:color w:val="000000" w:themeColor="text1"/>
          <w:sz w:val="22"/>
          <w:szCs w:val="22"/>
          <w:shd w:val="clear" w:color="auto" w:fill="FFFFFF"/>
        </w:rPr>
      </w:pPr>
      <w:r>
        <w:rPr>
          <w:rFonts w:asciiTheme="minorHAnsi" w:hAnsiTheme="minorHAnsi" w:cstheme="minorHAnsi"/>
          <w:b/>
          <w:bCs/>
          <w:color w:val="000000" w:themeColor="text1"/>
          <w:sz w:val="22"/>
          <w:szCs w:val="22"/>
          <w:shd w:val="clear" w:color="auto" w:fill="FFFFFF"/>
        </w:rPr>
        <w:t>OUR</w:t>
      </w:r>
      <w:r w:rsidR="003A0CAE">
        <w:rPr>
          <w:rFonts w:asciiTheme="minorHAnsi" w:hAnsiTheme="minorHAnsi" w:cstheme="minorHAnsi"/>
          <w:b/>
          <w:bCs/>
          <w:color w:val="000000" w:themeColor="text1"/>
          <w:sz w:val="22"/>
          <w:szCs w:val="22"/>
          <w:shd w:val="clear" w:color="auto" w:fill="FFFFFF"/>
        </w:rPr>
        <w:t xml:space="preserve"> </w:t>
      </w:r>
      <w:r>
        <w:rPr>
          <w:rFonts w:asciiTheme="minorHAnsi" w:hAnsiTheme="minorHAnsi" w:cstheme="minorHAnsi"/>
          <w:b/>
          <w:bCs/>
          <w:color w:val="000000" w:themeColor="text1"/>
          <w:sz w:val="22"/>
          <w:szCs w:val="22"/>
          <w:shd w:val="clear" w:color="auto" w:fill="FFFFFF"/>
        </w:rPr>
        <w:t>COMMENTS</w:t>
      </w:r>
      <w:r w:rsidR="00D9237E" w:rsidRPr="00D05C94">
        <w:rPr>
          <w:rFonts w:asciiTheme="minorHAnsi" w:hAnsiTheme="minorHAnsi" w:cstheme="minorHAnsi"/>
          <w:b/>
          <w:bCs/>
          <w:color w:val="000000" w:themeColor="text1"/>
          <w:sz w:val="22"/>
          <w:szCs w:val="22"/>
          <w:shd w:val="clear" w:color="auto" w:fill="FFFFFF"/>
        </w:rPr>
        <w:t>:</w:t>
      </w:r>
      <w:r w:rsidRPr="001F714A">
        <w:rPr>
          <w:rFonts w:ascii="Arial" w:hAnsi="Arial" w:cs="Arial"/>
          <w:color w:val="333333"/>
          <w:sz w:val="21"/>
          <w:szCs w:val="21"/>
          <w:shd w:val="clear" w:color="auto" w:fill="F2F2F2"/>
          <w:lang w:val="en-US" w:eastAsia="en-US"/>
        </w:rPr>
        <w:t xml:space="preserve"> </w:t>
      </w:r>
      <w:r w:rsidRPr="001F714A">
        <w:rPr>
          <w:rFonts w:asciiTheme="minorHAnsi" w:hAnsiTheme="minorHAnsi" w:cstheme="minorHAnsi"/>
          <w:color w:val="000000" w:themeColor="text1"/>
          <w:sz w:val="22"/>
          <w:szCs w:val="22"/>
          <w:shd w:val="clear" w:color="auto" w:fill="FFFFFF"/>
          <w:lang w:val="en-US"/>
        </w:rPr>
        <w:t xml:space="preserve">CBDT issued Income Tax Circular No. 04/2022 on 15th March 2022 and explained all provisions related to deduction of Tax </w:t>
      </w:r>
      <w:proofErr w:type="gramStart"/>
      <w:r w:rsidRPr="001F714A">
        <w:rPr>
          <w:rFonts w:asciiTheme="minorHAnsi" w:hAnsiTheme="minorHAnsi" w:cstheme="minorHAnsi"/>
          <w:color w:val="000000" w:themeColor="text1"/>
          <w:sz w:val="22"/>
          <w:szCs w:val="22"/>
          <w:shd w:val="clear" w:color="auto" w:fill="FFFFFF"/>
          <w:lang w:val="en-US"/>
        </w:rPr>
        <w:t>At</w:t>
      </w:r>
      <w:proofErr w:type="gramEnd"/>
      <w:r w:rsidRPr="001F714A">
        <w:rPr>
          <w:rFonts w:asciiTheme="minorHAnsi" w:hAnsiTheme="minorHAnsi" w:cstheme="minorHAnsi"/>
          <w:color w:val="000000" w:themeColor="text1"/>
          <w:sz w:val="22"/>
          <w:szCs w:val="22"/>
          <w:shd w:val="clear" w:color="auto" w:fill="FFFFFF"/>
          <w:lang w:val="en-US"/>
        </w:rPr>
        <w:t xml:space="preserve"> Source (TDS) on Salary or Income Tax Payable on Salary for the Financial Year 2021-22 / Assessment Year 2022-23.</w:t>
      </w:r>
      <w:r w:rsidRPr="001F714A">
        <w:rPr>
          <w:rFonts w:asciiTheme="minorHAnsi" w:hAnsiTheme="minorHAnsi" w:cstheme="minorHAnsi"/>
          <w:b/>
          <w:bCs/>
          <w:color w:val="000000" w:themeColor="text1"/>
          <w:sz w:val="22"/>
          <w:szCs w:val="22"/>
          <w:shd w:val="clear" w:color="auto" w:fill="FFFFFF"/>
          <w:lang w:val="en-US"/>
        </w:rPr>
        <w:t> </w:t>
      </w:r>
    </w:p>
    <w:p w14:paraId="1D7C7D28" w14:textId="4E289F0C" w:rsidR="001F714A" w:rsidRDefault="001F714A" w:rsidP="001F714A">
      <w:pPr>
        <w:pStyle w:val="NormalWeb"/>
        <w:spacing w:after="150" w:line="276" w:lineRule="auto"/>
        <w:jc w:val="both"/>
        <w:rPr>
          <w:rFonts w:asciiTheme="minorHAnsi" w:hAnsiTheme="minorHAnsi" w:cstheme="minorHAnsi"/>
          <w:color w:val="000000" w:themeColor="text1"/>
          <w:sz w:val="22"/>
          <w:szCs w:val="22"/>
          <w:shd w:val="clear" w:color="auto" w:fill="FFFFFF"/>
          <w:lang w:val="en-US"/>
        </w:rPr>
      </w:pPr>
      <w:r w:rsidRPr="001F714A">
        <w:rPr>
          <w:rFonts w:asciiTheme="minorHAnsi" w:hAnsiTheme="minorHAnsi" w:cstheme="minorHAnsi"/>
          <w:color w:val="000000" w:themeColor="text1"/>
          <w:sz w:val="22"/>
          <w:szCs w:val="22"/>
          <w:shd w:val="clear" w:color="auto" w:fill="FFFFFF"/>
          <w:lang w:val="en-US"/>
        </w:rPr>
        <w:t xml:space="preserve">The Circular contains the rates of deduction of Income-tax from the payment of income chargeable under the head “Salaries” during the financial year 2021-22 and explains certain related provisions of the Act and Income-tax Rules, 1962 (hereinafter the Rules). All the sections and rules referred are of Income-tax Act, 1961 and Income-tax Rules, 1962 respectively unless otherwise specified. </w:t>
      </w:r>
    </w:p>
    <w:p w14:paraId="0E13764F" w14:textId="19FC0810" w:rsidR="001F714A" w:rsidRDefault="001F714A" w:rsidP="001F714A">
      <w:pPr>
        <w:pStyle w:val="NormalWeb"/>
        <w:spacing w:after="150" w:line="276" w:lineRule="auto"/>
        <w:jc w:val="both"/>
        <w:rPr>
          <w:rFonts w:asciiTheme="minorHAnsi" w:hAnsiTheme="minorHAnsi" w:cstheme="minorHAnsi"/>
          <w:color w:val="000000" w:themeColor="text1"/>
          <w:sz w:val="22"/>
          <w:szCs w:val="22"/>
          <w:shd w:val="clear" w:color="auto" w:fill="FFFFFF"/>
          <w:lang w:val="en-US"/>
        </w:rPr>
      </w:pPr>
      <w:r w:rsidRPr="001F714A">
        <w:rPr>
          <w:rFonts w:asciiTheme="minorHAnsi" w:hAnsiTheme="minorHAnsi" w:cstheme="minorHAnsi"/>
          <w:color w:val="000000" w:themeColor="text1"/>
          <w:sz w:val="22"/>
          <w:szCs w:val="22"/>
          <w:shd w:val="clear" w:color="auto" w:fill="FFFFFF"/>
          <w:lang w:val="en-US"/>
        </w:rPr>
        <w:t xml:space="preserve">As per section 192 (1) of the </w:t>
      </w:r>
      <w:r w:rsidR="003A0CAE">
        <w:rPr>
          <w:rFonts w:asciiTheme="minorHAnsi" w:hAnsiTheme="minorHAnsi" w:cstheme="minorHAnsi"/>
          <w:color w:val="000000" w:themeColor="text1"/>
          <w:sz w:val="22"/>
          <w:szCs w:val="22"/>
          <w:shd w:val="clear" w:color="auto" w:fill="FFFFFF"/>
          <w:lang w:val="en-US"/>
        </w:rPr>
        <w:t xml:space="preserve">Income Tax </w:t>
      </w:r>
      <w:r w:rsidRPr="001F714A">
        <w:rPr>
          <w:rFonts w:asciiTheme="minorHAnsi" w:hAnsiTheme="minorHAnsi" w:cstheme="minorHAnsi"/>
          <w:color w:val="000000" w:themeColor="text1"/>
          <w:sz w:val="22"/>
          <w:szCs w:val="22"/>
          <w:shd w:val="clear" w:color="auto" w:fill="FFFFFF"/>
          <w:lang w:val="en-US"/>
        </w:rPr>
        <w:t xml:space="preserve">Act, any person responsible for paying any income chargeable under the head “Salaries” shall, at the time of payment, deduct income-tax on the amount payable at the average rate of income-tax computed on the basis of the rates in force for the financial year in which the payment is made, on the estimated income of the assessee under the head of Salary income for that financial year. </w:t>
      </w:r>
    </w:p>
    <w:p w14:paraId="240E1880" w14:textId="4BDA3AED" w:rsidR="001F714A" w:rsidRDefault="001F714A" w:rsidP="001F714A">
      <w:pPr>
        <w:pStyle w:val="NormalWeb"/>
        <w:spacing w:after="150" w:line="276" w:lineRule="auto"/>
        <w:jc w:val="both"/>
        <w:rPr>
          <w:rFonts w:asciiTheme="minorHAnsi" w:hAnsiTheme="minorHAnsi" w:cstheme="minorHAnsi"/>
          <w:color w:val="000000" w:themeColor="text1"/>
          <w:sz w:val="22"/>
          <w:szCs w:val="22"/>
          <w:shd w:val="clear" w:color="auto" w:fill="FFFFFF"/>
          <w:lang w:val="en-US"/>
        </w:rPr>
      </w:pPr>
      <w:r w:rsidRPr="001F714A">
        <w:rPr>
          <w:rFonts w:asciiTheme="minorHAnsi" w:hAnsiTheme="minorHAnsi" w:cstheme="minorHAnsi"/>
          <w:color w:val="000000" w:themeColor="text1"/>
          <w:sz w:val="22"/>
          <w:szCs w:val="22"/>
          <w:shd w:val="clear" w:color="auto" w:fill="FFFFFF"/>
          <w:lang w:val="en-US"/>
        </w:rPr>
        <w:t>The section also provides that a person responsible for paying any income chargeable under the head “Salaries” shall furnish to the person to whom such payment is made a statement giving correct and complete particulars of perquisites or profits in lieu of salary provided to him and the value thereof.</w:t>
      </w:r>
    </w:p>
    <w:p w14:paraId="7FC15E30" w14:textId="2BAB5165" w:rsidR="004D5BA5" w:rsidRDefault="001F714A" w:rsidP="004D5BA5">
      <w:pPr>
        <w:pStyle w:val="NormalWeb"/>
        <w:spacing w:after="150" w:line="276" w:lineRule="auto"/>
        <w:jc w:val="both"/>
        <w:rPr>
          <w:rFonts w:asciiTheme="minorHAnsi" w:hAnsiTheme="minorHAnsi" w:cstheme="minorHAnsi"/>
          <w:color w:val="000000" w:themeColor="text1"/>
          <w:sz w:val="22"/>
          <w:szCs w:val="22"/>
          <w:shd w:val="clear" w:color="auto" w:fill="FFFFFF"/>
          <w:lang w:val="en-US"/>
        </w:rPr>
      </w:pPr>
      <w:r w:rsidRPr="001F714A">
        <w:rPr>
          <w:rFonts w:asciiTheme="minorHAnsi" w:hAnsiTheme="minorHAnsi" w:cstheme="minorHAnsi"/>
          <w:color w:val="000000" w:themeColor="text1"/>
          <w:sz w:val="22"/>
          <w:szCs w:val="22"/>
          <w:shd w:val="clear" w:color="auto" w:fill="FFFFFF"/>
          <w:lang w:val="en-US"/>
        </w:rPr>
        <w:br/>
      </w:r>
      <w:r w:rsidR="004D5BA5" w:rsidRPr="004D5BA5">
        <w:rPr>
          <w:rFonts w:asciiTheme="minorHAnsi" w:hAnsiTheme="minorHAnsi" w:cstheme="minorHAnsi"/>
          <w:color w:val="000000" w:themeColor="text1"/>
          <w:sz w:val="22"/>
          <w:szCs w:val="22"/>
          <w:shd w:val="clear" w:color="auto" w:fill="FFFFFF"/>
          <w:lang w:val="en-US"/>
        </w:rPr>
        <w:t xml:space="preserve">As per section 15 of the </w:t>
      </w:r>
      <w:r w:rsidR="003A0CAE">
        <w:rPr>
          <w:rFonts w:asciiTheme="minorHAnsi" w:hAnsiTheme="minorHAnsi" w:cstheme="minorHAnsi"/>
          <w:color w:val="000000" w:themeColor="text1"/>
          <w:sz w:val="22"/>
          <w:szCs w:val="22"/>
          <w:shd w:val="clear" w:color="auto" w:fill="FFFFFF"/>
          <w:lang w:val="en-US"/>
        </w:rPr>
        <w:t xml:space="preserve">Income Tax </w:t>
      </w:r>
      <w:r w:rsidR="004D5BA5" w:rsidRPr="004D5BA5">
        <w:rPr>
          <w:rFonts w:asciiTheme="minorHAnsi" w:hAnsiTheme="minorHAnsi" w:cstheme="minorHAnsi"/>
          <w:color w:val="000000" w:themeColor="text1"/>
          <w:sz w:val="22"/>
          <w:szCs w:val="22"/>
          <w:shd w:val="clear" w:color="auto" w:fill="FFFFFF"/>
          <w:lang w:val="en-US"/>
        </w:rPr>
        <w:t xml:space="preserve">Act, the following incomes are chargeable to income-tax under the head “Salaries”— </w:t>
      </w:r>
    </w:p>
    <w:p w14:paraId="231CAA5C" w14:textId="77777777" w:rsidR="004D5BA5" w:rsidRDefault="004D5BA5" w:rsidP="00C117C0">
      <w:pPr>
        <w:pStyle w:val="NormalWeb"/>
        <w:spacing w:after="150" w:line="276" w:lineRule="auto"/>
        <w:ind w:left="284"/>
        <w:jc w:val="both"/>
        <w:rPr>
          <w:rFonts w:asciiTheme="minorHAnsi" w:hAnsiTheme="minorHAnsi" w:cstheme="minorHAnsi"/>
          <w:color w:val="000000" w:themeColor="text1"/>
          <w:sz w:val="22"/>
          <w:szCs w:val="22"/>
          <w:shd w:val="clear" w:color="auto" w:fill="FFFFFF"/>
          <w:lang w:val="en-US"/>
        </w:rPr>
      </w:pPr>
      <w:r w:rsidRPr="004D5BA5">
        <w:rPr>
          <w:rFonts w:asciiTheme="minorHAnsi" w:hAnsiTheme="minorHAnsi" w:cstheme="minorHAnsi"/>
          <w:color w:val="000000" w:themeColor="text1"/>
          <w:sz w:val="22"/>
          <w:szCs w:val="22"/>
          <w:shd w:val="clear" w:color="auto" w:fill="FFFFFF"/>
          <w:lang w:val="en-US"/>
        </w:rPr>
        <w:t>(a) any salary due from an employer or a former employer to an assessee in the previous year, whether paid or not;</w:t>
      </w:r>
    </w:p>
    <w:p w14:paraId="758DB094" w14:textId="77777777" w:rsidR="004D5BA5" w:rsidRDefault="004D5BA5" w:rsidP="00C117C0">
      <w:pPr>
        <w:pStyle w:val="NormalWeb"/>
        <w:spacing w:after="150" w:line="276" w:lineRule="auto"/>
        <w:ind w:left="284"/>
        <w:jc w:val="both"/>
        <w:rPr>
          <w:rFonts w:asciiTheme="minorHAnsi" w:hAnsiTheme="minorHAnsi" w:cstheme="minorHAnsi"/>
          <w:color w:val="000000" w:themeColor="text1"/>
          <w:sz w:val="22"/>
          <w:szCs w:val="22"/>
          <w:shd w:val="clear" w:color="auto" w:fill="FFFFFF"/>
          <w:lang w:val="en-US"/>
        </w:rPr>
      </w:pPr>
      <w:r w:rsidRPr="004D5BA5">
        <w:rPr>
          <w:rFonts w:asciiTheme="minorHAnsi" w:hAnsiTheme="minorHAnsi" w:cstheme="minorHAnsi"/>
          <w:color w:val="000000" w:themeColor="text1"/>
          <w:sz w:val="22"/>
          <w:szCs w:val="22"/>
          <w:shd w:val="clear" w:color="auto" w:fill="FFFFFF"/>
          <w:lang w:val="en-US"/>
        </w:rPr>
        <w:t xml:space="preserve"> (b) any salary paid or allowed to him in the previous year by or on behalf of an employer or a former employer though not due or before it became due to him; </w:t>
      </w:r>
    </w:p>
    <w:p w14:paraId="5C8908CA" w14:textId="29228863" w:rsidR="00F210EA" w:rsidRDefault="004D5BA5" w:rsidP="00C117C0">
      <w:pPr>
        <w:pStyle w:val="NormalWeb"/>
        <w:spacing w:after="150" w:line="276" w:lineRule="auto"/>
        <w:ind w:left="284"/>
        <w:jc w:val="both"/>
        <w:rPr>
          <w:rFonts w:asciiTheme="minorHAnsi" w:hAnsiTheme="minorHAnsi" w:cstheme="minorHAnsi"/>
          <w:color w:val="000000" w:themeColor="text1"/>
          <w:sz w:val="22"/>
          <w:szCs w:val="22"/>
          <w:shd w:val="clear" w:color="auto" w:fill="FFFFFF"/>
          <w:lang w:val="en-US"/>
        </w:rPr>
      </w:pPr>
      <w:r w:rsidRPr="004D5BA5">
        <w:rPr>
          <w:rFonts w:asciiTheme="minorHAnsi" w:hAnsiTheme="minorHAnsi" w:cstheme="minorHAnsi"/>
          <w:color w:val="000000" w:themeColor="text1"/>
          <w:sz w:val="22"/>
          <w:szCs w:val="22"/>
          <w:shd w:val="clear" w:color="auto" w:fill="FFFFFF"/>
          <w:lang w:val="en-US"/>
        </w:rPr>
        <w:t xml:space="preserve">(c) any arrears of salary paid or allowed to him in the previous year by or on behalf of an employer or a former employer, if not charged to income-tax for any earlier previous year. </w:t>
      </w:r>
    </w:p>
    <w:p w14:paraId="3C855E5B" w14:textId="66CC6137" w:rsidR="003A0CAE" w:rsidRDefault="00293C6E" w:rsidP="003E3082">
      <w:pPr>
        <w:pStyle w:val="NormalWeb"/>
        <w:spacing w:after="150" w:line="276" w:lineRule="auto"/>
        <w:jc w:val="both"/>
        <w:rPr>
          <w:rFonts w:asciiTheme="minorHAnsi" w:hAnsiTheme="minorHAnsi" w:cstheme="minorHAnsi"/>
          <w:color w:val="000000" w:themeColor="text1"/>
          <w:sz w:val="22"/>
          <w:szCs w:val="22"/>
          <w:shd w:val="clear" w:color="auto" w:fill="FFFFFF"/>
          <w:lang w:val="en-US"/>
        </w:rPr>
      </w:pPr>
      <w:r>
        <w:rPr>
          <w:rFonts w:asciiTheme="minorHAnsi" w:hAnsiTheme="minorHAnsi" w:cstheme="minorHAnsi"/>
          <w:color w:val="000000" w:themeColor="text1"/>
          <w:sz w:val="22"/>
          <w:szCs w:val="22"/>
          <w:shd w:val="clear" w:color="auto" w:fill="FFFFFF"/>
          <w:lang w:val="en-US"/>
        </w:rPr>
        <w:t xml:space="preserve">     </w:t>
      </w:r>
      <w:r w:rsidR="0078121A">
        <w:rPr>
          <w:rFonts w:asciiTheme="minorHAnsi" w:hAnsiTheme="minorHAnsi" w:cstheme="minorHAnsi"/>
          <w:color w:val="000000" w:themeColor="text1"/>
          <w:sz w:val="22"/>
          <w:szCs w:val="22"/>
          <w:shd w:val="clear" w:color="auto" w:fill="FFFFFF"/>
          <w:lang w:val="en-US"/>
        </w:rPr>
        <w:t xml:space="preserve">Other relevant </w:t>
      </w:r>
      <w:r w:rsidR="003E3082">
        <w:rPr>
          <w:rFonts w:asciiTheme="minorHAnsi" w:hAnsiTheme="minorHAnsi" w:cstheme="minorHAnsi"/>
          <w:color w:val="000000" w:themeColor="text1"/>
          <w:sz w:val="22"/>
          <w:szCs w:val="22"/>
          <w:shd w:val="clear" w:color="auto" w:fill="FFFFFF"/>
          <w:lang w:val="en-US"/>
        </w:rPr>
        <w:t xml:space="preserve">topics which were highlighted are: </w:t>
      </w:r>
    </w:p>
    <w:p w14:paraId="34345C31" w14:textId="7E1E2E88" w:rsidR="003A0CAE"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z w:val="22"/>
          <w:szCs w:val="22"/>
          <w:shd w:val="clear" w:color="auto" w:fill="FFFFFF"/>
          <w:lang w:val="en-US"/>
        </w:rPr>
      </w:pPr>
      <w:r w:rsidRPr="00DD423D">
        <w:rPr>
          <w:rFonts w:asciiTheme="minorHAnsi" w:hAnsiTheme="minorHAnsi" w:cstheme="minorHAnsi"/>
          <w:color w:val="000000" w:themeColor="text1"/>
          <w:shd w:val="clear" w:color="auto" w:fill="FFFFFF"/>
        </w:rPr>
        <w:t>Definition of "salary", "perquisite" and "profit in lieu of salary" (Section 17)</w:t>
      </w:r>
      <w:r>
        <w:rPr>
          <w:rFonts w:asciiTheme="minorHAnsi" w:hAnsiTheme="minorHAnsi" w:cstheme="minorHAnsi"/>
          <w:color w:val="000000" w:themeColor="text1"/>
          <w:shd w:val="clear" w:color="auto" w:fill="FFFFFF"/>
        </w:rPr>
        <w:t>.</w:t>
      </w:r>
    </w:p>
    <w:p w14:paraId="3506310E" w14:textId="66EC0DB7" w:rsidR="003A0CAE" w:rsidRDefault="003E3082"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3E3082">
        <w:rPr>
          <w:rFonts w:asciiTheme="minorHAnsi" w:hAnsiTheme="minorHAnsi" w:cstheme="minorHAnsi"/>
          <w:color w:val="000000" w:themeColor="text1"/>
          <w:shd w:val="clear" w:color="auto" w:fill="FFFFFF"/>
        </w:rPr>
        <w:t>Rates of Income-Tax as per Finance Act, 2021</w:t>
      </w:r>
      <w:r w:rsidR="00DD423D">
        <w:rPr>
          <w:rFonts w:asciiTheme="minorHAnsi" w:hAnsiTheme="minorHAnsi" w:cstheme="minorHAnsi"/>
          <w:color w:val="000000" w:themeColor="text1"/>
          <w:shd w:val="clear" w:color="auto" w:fill="FFFFFF"/>
        </w:rPr>
        <w:t>.</w:t>
      </w:r>
    </w:p>
    <w:p w14:paraId="28AF28C4" w14:textId="3724F27C" w:rsidR="003A0CAE" w:rsidRDefault="003E3082"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3E3082">
        <w:rPr>
          <w:rFonts w:asciiTheme="minorHAnsi" w:hAnsiTheme="minorHAnsi" w:cstheme="minorHAnsi"/>
          <w:color w:val="000000" w:themeColor="text1"/>
          <w:shd w:val="clear" w:color="auto" w:fill="FFFFFF"/>
        </w:rPr>
        <w:t>Section 192 of the Income-Tax Act, 1961</w:t>
      </w:r>
      <w:r w:rsidR="00DD423D">
        <w:rPr>
          <w:rFonts w:asciiTheme="minorHAnsi" w:hAnsiTheme="minorHAnsi" w:cstheme="minorHAnsi"/>
          <w:color w:val="000000" w:themeColor="text1"/>
          <w:shd w:val="clear" w:color="auto" w:fill="FFFFFF"/>
        </w:rPr>
        <w:t xml:space="preserve"> - </w:t>
      </w:r>
      <w:r w:rsidRPr="00DD423D">
        <w:rPr>
          <w:rFonts w:asciiTheme="minorHAnsi" w:hAnsiTheme="minorHAnsi" w:cstheme="minorHAnsi"/>
          <w:color w:val="000000" w:themeColor="text1"/>
          <w:shd w:val="clear" w:color="auto" w:fill="FFFFFF"/>
        </w:rPr>
        <w:t xml:space="preserve">Broad scheme of Tax Deduction </w:t>
      </w:r>
      <w:proofErr w:type="gramStart"/>
      <w:r w:rsidRPr="00DD423D">
        <w:rPr>
          <w:rFonts w:asciiTheme="minorHAnsi" w:hAnsiTheme="minorHAnsi" w:cstheme="minorHAnsi"/>
          <w:color w:val="000000" w:themeColor="text1"/>
          <w:shd w:val="clear" w:color="auto" w:fill="FFFFFF"/>
        </w:rPr>
        <w:t>At</w:t>
      </w:r>
      <w:proofErr w:type="gramEnd"/>
      <w:r w:rsidRPr="00DD423D">
        <w:rPr>
          <w:rFonts w:asciiTheme="minorHAnsi" w:hAnsiTheme="minorHAnsi" w:cstheme="minorHAnsi"/>
          <w:color w:val="000000" w:themeColor="text1"/>
          <w:shd w:val="clear" w:color="auto" w:fill="FFFFFF"/>
        </w:rPr>
        <w:t xml:space="preserve"> Source from "Salaries"</w:t>
      </w:r>
      <w:r w:rsidR="00DD423D">
        <w:rPr>
          <w:rFonts w:asciiTheme="minorHAnsi" w:hAnsiTheme="minorHAnsi" w:cstheme="minorHAnsi"/>
          <w:color w:val="000000" w:themeColor="text1"/>
          <w:shd w:val="clear" w:color="auto" w:fill="FFFFFF"/>
        </w:rPr>
        <w:t>.</w:t>
      </w:r>
    </w:p>
    <w:p w14:paraId="2222FCBF" w14:textId="212AA84B" w:rsid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 xml:space="preserve">Persons Responsible </w:t>
      </w:r>
      <w:proofErr w:type="gramStart"/>
      <w:r w:rsidRPr="00DD423D">
        <w:rPr>
          <w:rFonts w:asciiTheme="minorHAnsi" w:hAnsiTheme="minorHAnsi" w:cstheme="minorHAnsi"/>
          <w:color w:val="000000" w:themeColor="text1"/>
          <w:shd w:val="clear" w:color="auto" w:fill="FFFFFF"/>
        </w:rPr>
        <w:t>For</w:t>
      </w:r>
      <w:proofErr w:type="gramEnd"/>
      <w:r w:rsidRPr="00DD423D">
        <w:rPr>
          <w:rFonts w:asciiTheme="minorHAnsi" w:hAnsiTheme="minorHAnsi" w:cstheme="minorHAnsi"/>
          <w:color w:val="000000" w:themeColor="text1"/>
          <w:shd w:val="clear" w:color="auto" w:fill="FFFFFF"/>
        </w:rPr>
        <w:t xml:space="preserve"> Deducting Tax And Their Duties</w:t>
      </w:r>
    </w:p>
    <w:p w14:paraId="7C871B8F" w14:textId="3B0E89DD" w:rsid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 xml:space="preserve">Computation Of Income Under </w:t>
      </w:r>
      <w:proofErr w:type="gramStart"/>
      <w:r w:rsidRPr="00DD423D">
        <w:rPr>
          <w:rFonts w:asciiTheme="minorHAnsi" w:hAnsiTheme="minorHAnsi" w:cstheme="minorHAnsi"/>
          <w:color w:val="000000" w:themeColor="text1"/>
          <w:shd w:val="clear" w:color="auto" w:fill="FFFFFF"/>
        </w:rPr>
        <w:t>The</w:t>
      </w:r>
      <w:proofErr w:type="gramEnd"/>
      <w:r w:rsidRPr="00DD423D">
        <w:rPr>
          <w:rFonts w:asciiTheme="minorHAnsi" w:hAnsiTheme="minorHAnsi" w:cstheme="minorHAnsi"/>
          <w:color w:val="000000" w:themeColor="text1"/>
          <w:shd w:val="clear" w:color="auto" w:fill="FFFFFF"/>
        </w:rPr>
        <w:t xml:space="preserve"> Head </w:t>
      </w:r>
      <w:r>
        <w:rPr>
          <w:rFonts w:asciiTheme="minorHAnsi" w:hAnsiTheme="minorHAnsi" w:cstheme="minorHAnsi"/>
          <w:color w:val="000000" w:themeColor="text1"/>
          <w:shd w:val="clear" w:color="auto" w:fill="FFFFFF"/>
        </w:rPr>
        <w:t>“</w:t>
      </w:r>
      <w:r w:rsidRPr="00DD423D">
        <w:rPr>
          <w:rFonts w:asciiTheme="minorHAnsi" w:hAnsiTheme="minorHAnsi" w:cstheme="minorHAnsi"/>
          <w:color w:val="000000" w:themeColor="text1"/>
          <w:shd w:val="clear" w:color="auto" w:fill="FFFFFF"/>
        </w:rPr>
        <w:t>Salaries</w:t>
      </w:r>
      <w:r>
        <w:rPr>
          <w:rFonts w:asciiTheme="minorHAnsi" w:hAnsiTheme="minorHAnsi" w:cstheme="minorHAnsi"/>
          <w:color w:val="000000" w:themeColor="text1"/>
          <w:shd w:val="clear" w:color="auto" w:fill="FFFFFF"/>
        </w:rPr>
        <w:t>”</w:t>
      </w:r>
    </w:p>
    <w:p w14:paraId="3C1B0175" w14:textId="38E6984F" w:rsid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Rebate Of Rs12,500 For Individuals Having Total Income Upto Rs 5 lakh [Section 87A]</w:t>
      </w:r>
    </w:p>
    <w:p w14:paraId="016DDE48" w14:textId="08CABD94" w:rsid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TDS on payment of accumulated balance under recognised provident fund and contribution from approved</w:t>
      </w:r>
      <w:r>
        <w:rPr>
          <w:rFonts w:asciiTheme="minorHAnsi" w:hAnsiTheme="minorHAnsi" w:cstheme="minorHAnsi"/>
          <w:color w:val="000000" w:themeColor="text1"/>
          <w:shd w:val="clear" w:color="auto" w:fill="FFFFFF"/>
        </w:rPr>
        <w:t xml:space="preserve"> </w:t>
      </w:r>
      <w:r w:rsidRPr="00DD423D">
        <w:rPr>
          <w:rFonts w:asciiTheme="minorHAnsi" w:hAnsiTheme="minorHAnsi" w:cstheme="minorHAnsi"/>
          <w:color w:val="000000" w:themeColor="text1"/>
          <w:shd w:val="clear" w:color="auto" w:fill="FFFFFF"/>
        </w:rPr>
        <w:t>superannuation fund</w:t>
      </w:r>
      <w:r>
        <w:rPr>
          <w:rFonts w:asciiTheme="minorHAnsi" w:hAnsiTheme="minorHAnsi" w:cstheme="minorHAnsi"/>
          <w:color w:val="000000" w:themeColor="text1"/>
          <w:shd w:val="clear" w:color="auto" w:fill="FFFFFF"/>
        </w:rPr>
        <w:t>.</w:t>
      </w:r>
    </w:p>
    <w:p w14:paraId="64D78631" w14:textId="74029629" w:rsid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DDOs to obtain e</w:t>
      </w:r>
      <w:r>
        <w:rPr>
          <w:rFonts w:asciiTheme="minorHAnsi" w:hAnsiTheme="minorHAnsi" w:cstheme="minorHAnsi"/>
          <w:color w:val="000000" w:themeColor="text1"/>
          <w:shd w:val="clear" w:color="auto" w:fill="FFFFFF"/>
        </w:rPr>
        <w:t>v</w:t>
      </w:r>
      <w:r w:rsidRPr="00DD423D">
        <w:rPr>
          <w:rFonts w:asciiTheme="minorHAnsi" w:hAnsiTheme="minorHAnsi" w:cstheme="minorHAnsi"/>
          <w:color w:val="000000" w:themeColor="text1"/>
          <w:shd w:val="clear" w:color="auto" w:fill="FFFFFF"/>
        </w:rPr>
        <w:t>idence/proof of claims</w:t>
      </w:r>
    </w:p>
    <w:p w14:paraId="61E3075E" w14:textId="11CB9552" w:rsid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Calculation of income-tax to be deducted</w:t>
      </w:r>
    </w:p>
    <w:p w14:paraId="3CE1EF19" w14:textId="394DD62E" w:rsidR="00DD423D" w:rsidRPr="00DD423D"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Illustrations, Forms, Procedures, Relevant Notifications etc.</w:t>
      </w:r>
    </w:p>
    <w:p w14:paraId="5690F0B2" w14:textId="4FFBCD93" w:rsidR="00DD423D" w:rsidRPr="00293C6E" w:rsidRDefault="00DD423D" w:rsidP="00C117C0">
      <w:pPr>
        <w:pStyle w:val="NormalWeb"/>
        <w:numPr>
          <w:ilvl w:val="0"/>
          <w:numId w:val="34"/>
        </w:numPr>
        <w:spacing w:after="150" w:line="276" w:lineRule="auto"/>
        <w:ind w:left="993"/>
        <w:jc w:val="both"/>
        <w:rPr>
          <w:rFonts w:asciiTheme="minorHAnsi" w:hAnsiTheme="minorHAnsi" w:cstheme="minorHAnsi"/>
          <w:color w:val="000000" w:themeColor="text1"/>
          <w:shd w:val="clear" w:color="auto" w:fill="FFFFFF"/>
        </w:rPr>
      </w:pPr>
      <w:r w:rsidRPr="00DD423D">
        <w:rPr>
          <w:rFonts w:asciiTheme="minorHAnsi" w:hAnsiTheme="minorHAnsi" w:cstheme="minorHAnsi"/>
          <w:color w:val="000000" w:themeColor="text1"/>
          <w:shd w:val="clear" w:color="auto" w:fill="FFFFFF"/>
        </w:rPr>
        <w:t>Miscellaneous</w:t>
      </w:r>
      <w:r>
        <w:rPr>
          <w:rFonts w:asciiTheme="minorHAnsi" w:hAnsiTheme="minorHAnsi" w:cstheme="minorHAnsi"/>
          <w:color w:val="000000" w:themeColor="text1"/>
          <w:shd w:val="clear" w:color="auto" w:fill="FFFFFF"/>
        </w:rPr>
        <w:t>.</w:t>
      </w:r>
    </w:p>
    <w:p w14:paraId="6EF4025F" w14:textId="77777777" w:rsidR="0055319A" w:rsidRPr="00DD423D" w:rsidRDefault="0055319A" w:rsidP="00C117C0">
      <w:pPr>
        <w:pStyle w:val="NormalWeb"/>
        <w:shd w:val="clear" w:color="auto" w:fill="FFFFFF"/>
        <w:spacing w:after="150" w:line="360" w:lineRule="auto"/>
        <w:ind w:left="720"/>
        <w:jc w:val="both"/>
        <w:rPr>
          <w:rFonts w:asciiTheme="minorHAnsi" w:hAnsiTheme="minorHAnsi" w:cstheme="minorHAnsi"/>
          <w:b/>
          <w:bCs/>
          <w:sz w:val="22"/>
          <w:szCs w:val="22"/>
        </w:rPr>
      </w:pPr>
      <w:r w:rsidRPr="00DD423D">
        <w:rPr>
          <w:rFonts w:asciiTheme="minorHAnsi" w:hAnsiTheme="minorHAnsi" w:cstheme="minorHAnsi"/>
          <w:b/>
          <w:bCs/>
          <w:sz w:val="22"/>
          <w:szCs w:val="22"/>
        </w:rPr>
        <w:t>[For further details please refer the Circular]</w:t>
      </w:r>
    </w:p>
    <w:p w14:paraId="1FB771B7" w14:textId="0318768F" w:rsidR="0055319A" w:rsidRPr="00F210EA" w:rsidRDefault="0055319A" w:rsidP="00F210EA">
      <w:pPr>
        <w:pStyle w:val="NormalWeb"/>
        <w:spacing w:after="150" w:line="276" w:lineRule="auto"/>
        <w:jc w:val="both"/>
        <w:rPr>
          <w:rFonts w:asciiTheme="minorHAnsi" w:hAnsiTheme="minorHAnsi" w:cstheme="minorHAnsi"/>
          <w:b/>
          <w:bCs/>
          <w:sz w:val="22"/>
          <w:szCs w:val="22"/>
          <w:shd w:val="clear" w:color="auto" w:fill="FFFFFF"/>
        </w:rPr>
        <w:sectPr w:rsidR="0055319A" w:rsidRPr="00F210EA" w:rsidSect="009E09F1">
          <w:headerReference w:type="default" r:id="rId34"/>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002D4FEE" w14:textId="6DAE767A" w:rsidR="00954B32" w:rsidRPr="0072359D" w:rsidRDefault="001D6EE0"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NORIFICATION</w:t>
      </w:r>
    </w:p>
    <w:p w14:paraId="371556A4" w14:textId="2215E60C" w:rsidR="004E1923" w:rsidRPr="001D6EE0" w:rsidRDefault="001D6EE0" w:rsidP="002A48B7">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1D6EE0">
        <w:rPr>
          <w:rFonts w:asciiTheme="minorHAnsi" w:hAnsiTheme="minorHAnsi" w:cstheme="minorHAnsi"/>
          <w:b/>
          <w:bCs/>
          <w:lang w:val="en-IN"/>
        </w:rPr>
        <w:t xml:space="preserve">POWERS OF ADDITIONAL COMMISSIONER </w:t>
      </w:r>
      <w:r w:rsidR="00676857">
        <w:rPr>
          <w:rFonts w:asciiTheme="minorHAnsi" w:hAnsiTheme="minorHAnsi" w:cstheme="minorHAnsi"/>
          <w:b/>
          <w:bCs/>
          <w:lang w:val="en-IN"/>
        </w:rPr>
        <w:t xml:space="preserve">(AC) </w:t>
      </w:r>
      <w:r w:rsidRPr="001D6EE0">
        <w:rPr>
          <w:rFonts w:asciiTheme="minorHAnsi" w:hAnsiTheme="minorHAnsi" w:cstheme="minorHAnsi"/>
          <w:b/>
          <w:bCs/>
          <w:lang w:val="en-IN"/>
        </w:rPr>
        <w:t xml:space="preserve">OR JOINT COMMISSIONER </w:t>
      </w:r>
      <w:r w:rsidR="00676857">
        <w:rPr>
          <w:rFonts w:asciiTheme="minorHAnsi" w:hAnsiTheme="minorHAnsi" w:cstheme="minorHAnsi"/>
          <w:b/>
          <w:bCs/>
          <w:lang w:val="en-IN"/>
        </w:rPr>
        <w:t xml:space="preserve">(JC) </w:t>
      </w:r>
      <w:r w:rsidRPr="001D6EE0">
        <w:rPr>
          <w:rFonts w:asciiTheme="minorHAnsi" w:hAnsiTheme="minorHAnsi" w:cstheme="minorHAnsi"/>
          <w:b/>
          <w:bCs/>
          <w:lang w:val="en-IN"/>
        </w:rPr>
        <w:t>OF CENTRAL TAX FOR PASSING AN ORDER OR DECISION IN RESPECT OF NOTICES ISSUED BY THE OFFICERS OF DIRECTORATE GENERAL OF GOODS AND SERVICES TAX INTELLIGENCE</w:t>
      </w:r>
      <w:r w:rsidR="00676857">
        <w:rPr>
          <w:rFonts w:asciiTheme="minorHAnsi" w:hAnsiTheme="minorHAnsi" w:cstheme="minorHAnsi"/>
          <w:b/>
          <w:bCs/>
          <w:lang w:val="en-IN"/>
        </w:rPr>
        <w:t xml:space="preserve"> (DGGI)</w:t>
      </w:r>
    </w:p>
    <w:p w14:paraId="04B31CDA" w14:textId="3D272EBB" w:rsidR="001D6EE0" w:rsidRPr="002E6D85" w:rsidRDefault="004C0C12" w:rsidP="001D6EE0">
      <w:pPr>
        <w:pStyle w:val="NormalWeb"/>
        <w:spacing w:line="276" w:lineRule="auto"/>
        <w:jc w:val="both"/>
        <w:rPr>
          <w:rFonts w:asciiTheme="minorHAnsi" w:hAnsiTheme="minorHAnsi" w:cstheme="minorHAnsi"/>
          <w:sz w:val="22"/>
          <w:szCs w:val="22"/>
        </w:rPr>
      </w:pPr>
      <w:r w:rsidRPr="008D3B48">
        <w:rPr>
          <w:rFonts w:asciiTheme="minorHAnsi" w:hAnsiTheme="minorHAnsi" w:cstheme="minorHAnsi"/>
          <w:b/>
          <w:bCs/>
          <w:sz w:val="22"/>
          <w:szCs w:val="22"/>
        </w:rPr>
        <w:t>Our Comments</w:t>
      </w:r>
      <w:r w:rsidRPr="001D6EE0">
        <w:rPr>
          <w:rFonts w:asciiTheme="minorHAnsi" w:hAnsiTheme="minorHAnsi" w:cstheme="minorHAnsi"/>
          <w:b/>
          <w:bCs/>
          <w:sz w:val="22"/>
          <w:szCs w:val="22"/>
        </w:rPr>
        <w:t>:</w:t>
      </w:r>
      <w:r w:rsidRPr="001D6EE0">
        <w:rPr>
          <w:rFonts w:asciiTheme="minorHAnsi" w:hAnsiTheme="minorHAnsi" w:cstheme="minorHAnsi"/>
          <w:sz w:val="22"/>
          <w:szCs w:val="22"/>
        </w:rPr>
        <w:t xml:space="preserve"> </w:t>
      </w:r>
      <w:r w:rsidR="001D6EE0" w:rsidRPr="002E6D85">
        <w:rPr>
          <w:rFonts w:asciiTheme="minorHAnsi" w:hAnsiTheme="minorHAnsi" w:cstheme="minorHAnsi"/>
          <w:sz w:val="22"/>
          <w:szCs w:val="22"/>
        </w:rPr>
        <w:t>The Central Government</w:t>
      </w:r>
      <w:r w:rsidR="00676857">
        <w:rPr>
          <w:rFonts w:asciiTheme="minorHAnsi" w:hAnsiTheme="minorHAnsi" w:cstheme="minorHAnsi"/>
          <w:sz w:val="22"/>
          <w:szCs w:val="22"/>
        </w:rPr>
        <w:t xml:space="preserve"> vide </w:t>
      </w:r>
      <w:r w:rsidR="00676857" w:rsidRPr="00676857">
        <w:rPr>
          <w:rFonts w:asciiTheme="minorHAnsi" w:hAnsiTheme="minorHAnsi" w:cstheme="minorHAnsi"/>
          <w:sz w:val="22"/>
          <w:szCs w:val="22"/>
        </w:rPr>
        <w:t>NOTIFICATION NO. 02/2022-Central Tax</w:t>
      </w:r>
      <w:r w:rsidR="001D6EE0" w:rsidRPr="002E6D85">
        <w:rPr>
          <w:rFonts w:asciiTheme="minorHAnsi" w:hAnsiTheme="minorHAnsi" w:cstheme="minorHAnsi"/>
          <w:sz w:val="22"/>
          <w:szCs w:val="22"/>
        </w:rPr>
        <w:t>,</w:t>
      </w:r>
      <w:r w:rsidR="00676857">
        <w:rPr>
          <w:rFonts w:asciiTheme="minorHAnsi" w:hAnsiTheme="minorHAnsi" w:cstheme="minorHAnsi"/>
          <w:sz w:val="22"/>
          <w:szCs w:val="22"/>
        </w:rPr>
        <w:t xml:space="preserve"> dated 11</w:t>
      </w:r>
      <w:r w:rsidR="00676857" w:rsidRPr="00C117C0">
        <w:rPr>
          <w:rFonts w:asciiTheme="minorHAnsi" w:hAnsiTheme="minorHAnsi" w:cstheme="minorHAnsi"/>
          <w:sz w:val="22"/>
          <w:szCs w:val="22"/>
          <w:vertAlign w:val="superscript"/>
        </w:rPr>
        <w:t>th</w:t>
      </w:r>
      <w:r w:rsidR="00676857">
        <w:rPr>
          <w:rFonts w:asciiTheme="minorHAnsi" w:hAnsiTheme="minorHAnsi" w:cstheme="minorHAnsi"/>
          <w:sz w:val="22"/>
          <w:szCs w:val="22"/>
        </w:rPr>
        <w:t xml:space="preserve"> March 2022</w:t>
      </w:r>
      <w:r w:rsidR="001D6EE0" w:rsidRPr="002E6D85">
        <w:rPr>
          <w:rFonts w:asciiTheme="minorHAnsi" w:hAnsiTheme="minorHAnsi" w:cstheme="minorHAnsi"/>
          <w:sz w:val="22"/>
          <w:szCs w:val="22"/>
        </w:rPr>
        <w:t xml:space="preserve"> hereby ma</w:t>
      </w:r>
      <w:r w:rsidR="00676857">
        <w:rPr>
          <w:rFonts w:asciiTheme="minorHAnsi" w:hAnsiTheme="minorHAnsi" w:cstheme="minorHAnsi"/>
          <w:sz w:val="22"/>
          <w:szCs w:val="22"/>
        </w:rPr>
        <w:t>de</w:t>
      </w:r>
      <w:r w:rsidR="001D6EE0" w:rsidRPr="002E6D85">
        <w:rPr>
          <w:rFonts w:asciiTheme="minorHAnsi" w:hAnsiTheme="minorHAnsi" w:cstheme="minorHAnsi"/>
          <w:sz w:val="22"/>
          <w:szCs w:val="22"/>
        </w:rPr>
        <w:t xml:space="preserve"> the following amendments in the </w:t>
      </w:r>
      <w:r w:rsidR="001D6EE0" w:rsidRPr="00C36658">
        <w:rPr>
          <w:rFonts w:asciiTheme="minorHAnsi" w:hAnsiTheme="minorHAnsi" w:cstheme="minorHAnsi"/>
          <w:sz w:val="22"/>
          <w:szCs w:val="22"/>
        </w:rPr>
        <w:t>notification of the Government of India in the Ministry of Finance (Department of Revenue) No. 02/2017- Central Tax, dated the 19th June, 2017 published in the Gazette of India, Extraordinary, Part II, Section 3, Sub-section (</w:t>
      </w:r>
      <w:proofErr w:type="spellStart"/>
      <w:r w:rsidR="001D6EE0" w:rsidRPr="00C36658">
        <w:rPr>
          <w:rFonts w:asciiTheme="minorHAnsi" w:hAnsiTheme="minorHAnsi" w:cstheme="minorHAnsi"/>
          <w:sz w:val="22"/>
          <w:szCs w:val="22"/>
        </w:rPr>
        <w:t>i</w:t>
      </w:r>
      <w:proofErr w:type="spellEnd"/>
      <w:r w:rsidR="001D6EE0" w:rsidRPr="00C36658">
        <w:rPr>
          <w:rFonts w:asciiTheme="minorHAnsi" w:hAnsiTheme="minorHAnsi" w:cstheme="minorHAnsi"/>
          <w:sz w:val="22"/>
          <w:szCs w:val="22"/>
        </w:rPr>
        <w:t>) vide number G.S.R. 609(E), dated the 19th June, 2017</w:t>
      </w:r>
      <w:r w:rsidR="001D6EE0" w:rsidRPr="002E6D85">
        <w:rPr>
          <w:rFonts w:asciiTheme="minorHAnsi" w:hAnsiTheme="minorHAnsi" w:cstheme="minorHAnsi"/>
          <w:sz w:val="22"/>
          <w:szCs w:val="22"/>
        </w:rPr>
        <w:t xml:space="preserve">, namely: In the said </w:t>
      </w:r>
      <w:proofErr w:type="gramStart"/>
      <w:r w:rsidR="001D6EE0" w:rsidRPr="002E6D85">
        <w:rPr>
          <w:rFonts w:asciiTheme="minorHAnsi" w:hAnsiTheme="minorHAnsi" w:cstheme="minorHAnsi"/>
          <w:sz w:val="22"/>
          <w:szCs w:val="22"/>
        </w:rPr>
        <w:t>notification,–</w:t>
      </w:r>
      <w:proofErr w:type="gramEnd"/>
    </w:p>
    <w:p w14:paraId="66668C2B"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w:t>
      </w:r>
      <w:proofErr w:type="spellStart"/>
      <w:r w:rsidRPr="002E6D85">
        <w:rPr>
          <w:rFonts w:asciiTheme="minorHAnsi" w:hAnsiTheme="minorHAnsi" w:cstheme="minorHAnsi"/>
          <w:sz w:val="22"/>
          <w:szCs w:val="22"/>
        </w:rPr>
        <w:t>i</w:t>
      </w:r>
      <w:proofErr w:type="spellEnd"/>
      <w:r w:rsidRPr="002E6D85">
        <w:rPr>
          <w:rFonts w:asciiTheme="minorHAnsi" w:hAnsiTheme="minorHAnsi" w:cstheme="minorHAnsi"/>
          <w:sz w:val="22"/>
          <w:szCs w:val="22"/>
        </w:rPr>
        <w:t xml:space="preserve">) after paragraph 3, the following paragraph shall be inserted, </w:t>
      </w:r>
      <w:proofErr w:type="gramStart"/>
      <w:r w:rsidRPr="002E6D85">
        <w:rPr>
          <w:rFonts w:asciiTheme="minorHAnsi" w:hAnsiTheme="minorHAnsi" w:cstheme="minorHAnsi"/>
          <w:sz w:val="22"/>
          <w:szCs w:val="22"/>
        </w:rPr>
        <w:t>namely :</w:t>
      </w:r>
      <w:proofErr w:type="gramEnd"/>
      <w:r w:rsidRPr="002E6D85">
        <w:rPr>
          <w:rFonts w:asciiTheme="minorHAnsi" w:hAnsiTheme="minorHAnsi" w:cstheme="minorHAnsi"/>
          <w:sz w:val="22"/>
          <w:szCs w:val="22"/>
        </w:rPr>
        <w:t>-</w:t>
      </w:r>
    </w:p>
    <w:p w14:paraId="071C3793"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“3A. Notwithstanding anything contained in paragraph 3, the Additional Commissioners or the Joint Commissioners of Central Tax, as the case may be, subordinate to the Principal Commissioners of Central Tax or the Commissioners of Central Tax, as specified in column (2) of Table V, are hereby vested with the powers as specified in the corresponding entry in Column (3) of the said Table.”;</w:t>
      </w:r>
    </w:p>
    <w:p w14:paraId="608CAFBB"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 xml:space="preserve">(ii) after Table IV, the following Table shall be inserted, </w:t>
      </w:r>
      <w:proofErr w:type="gramStart"/>
      <w:r w:rsidRPr="002E6D85">
        <w:rPr>
          <w:rFonts w:asciiTheme="minorHAnsi" w:hAnsiTheme="minorHAnsi" w:cstheme="minorHAnsi"/>
          <w:sz w:val="22"/>
          <w:szCs w:val="22"/>
        </w:rPr>
        <w:t>namely:-</w:t>
      </w:r>
      <w:proofErr w:type="gramEnd"/>
    </w:p>
    <w:p w14:paraId="103E9505" w14:textId="77777777" w:rsidR="001D6EE0" w:rsidRPr="002E6D85" w:rsidRDefault="001D6EE0" w:rsidP="001D6EE0">
      <w:pPr>
        <w:pStyle w:val="NormalWeb"/>
        <w:spacing w:line="276" w:lineRule="auto"/>
        <w:jc w:val="center"/>
        <w:rPr>
          <w:rFonts w:asciiTheme="minorHAnsi" w:hAnsiTheme="minorHAnsi" w:cstheme="minorHAnsi"/>
          <w:sz w:val="22"/>
          <w:szCs w:val="22"/>
        </w:rPr>
      </w:pPr>
      <w:r w:rsidRPr="002E6D85">
        <w:rPr>
          <w:rFonts w:asciiTheme="minorHAnsi" w:hAnsiTheme="minorHAnsi" w:cstheme="minorHAnsi"/>
          <w:b/>
          <w:bCs/>
          <w:sz w:val="22"/>
          <w:szCs w:val="22"/>
        </w:rPr>
        <w:t>“TABLE V</w:t>
      </w:r>
    </w:p>
    <w:p w14:paraId="4BE78C80" w14:textId="77777777" w:rsidR="001D6EE0" w:rsidRPr="00676857" w:rsidRDefault="001D6EE0" w:rsidP="001D6EE0">
      <w:pPr>
        <w:pStyle w:val="NormalWeb"/>
        <w:spacing w:line="276" w:lineRule="auto"/>
        <w:jc w:val="both"/>
        <w:rPr>
          <w:rFonts w:asciiTheme="minorHAnsi" w:hAnsiTheme="minorHAnsi" w:cstheme="minorHAnsi"/>
          <w:sz w:val="22"/>
          <w:szCs w:val="22"/>
        </w:rPr>
      </w:pPr>
      <w:r w:rsidRPr="00C117C0">
        <w:rPr>
          <w:rFonts w:asciiTheme="minorHAnsi" w:hAnsiTheme="minorHAnsi" w:cstheme="minorHAnsi"/>
          <w:sz w:val="22"/>
          <w:szCs w:val="22"/>
        </w:rPr>
        <w:t>Powers of Additional Commissioner or Joint Commissioner of Central Tax for passing an order or decision in respect of notices issued by the officers of Directorate General of Goods and Services Tax Intelligence</w:t>
      </w:r>
    </w:p>
    <w:tbl>
      <w:tblPr>
        <w:tblW w:w="5408"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261"/>
        <w:gridCol w:w="1332"/>
        <w:gridCol w:w="2815"/>
      </w:tblGrid>
      <w:tr w:rsidR="001D6EE0" w:rsidRPr="002E6D85" w14:paraId="2016242C" w14:textId="77777777" w:rsidTr="00C36658">
        <w:trPr>
          <w:trHeight w:val="449"/>
          <w:jc w:val="center"/>
        </w:trPr>
        <w:tc>
          <w:tcPr>
            <w:tcW w:w="1261" w:type="dxa"/>
            <w:tcBorders>
              <w:top w:val="single" w:sz="12" w:space="0" w:color="000000"/>
              <w:left w:val="single" w:sz="12" w:space="0" w:color="000000"/>
              <w:bottom w:val="single" w:sz="12" w:space="0" w:color="000000"/>
              <w:right w:val="single" w:sz="12" w:space="0" w:color="000000"/>
            </w:tcBorders>
            <w:shd w:val="clear" w:color="auto" w:fill="FFFFFF"/>
            <w:hideMark/>
          </w:tcPr>
          <w:p w14:paraId="0D05E05F"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Sl. No.</w:t>
            </w:r>
          </w:p>
        </w:tc>
        <w:tc>
          <w:tcPr>
            <w:tcW w:w="754" w:type="dxa"/>
            <w:tcBorders>
              <w:top w:val="single" w:sz="12" w:space="0" w:color="000000"/>
              <w:left w:val="nil"/>
              <w:bottom w:val="single" w:sz="12" w:space="0" w:color="000000"/>
              <w:right w:val="single" w:sz="12" w:space="0" w:color="000000"/>
            </w:tcBorders>
            <w:shd w:val="clear" w:color="auto" w:fill="FFFFFF"/>
            <w:hideMark/>
          </w:tcPr>
          <w:p w14:paraId="357D5622"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 xml:space="preserve">Principal Commissioner or </w:t>
            </w:r>
            <w:r w:rsidRPr="002E6D85">
              <w:rPr>
                <w:rFonts w:asciiTheme="minorHAnsi" w:hAnsiTheme="minorHAnsi" w:cstheme="minorHAnsi"/>
                <w:b/>
                <w:bCs/>
                <w:sz w:val="22"/>
                <w:szCs w:val="22"/>
              </w:rPr>
              <w:t>Commissioner of Central Tax</w:t>
            </w:r>
          </w:p>
        </w:tc>
        <w:tc>
          <w:tcPr>
            <w:tcW w:w="0" w:type="auto"/>
            <w:tcBorders>
              <w:top w:val="single" w:sz="12" w:space="0" w:color="000000"/>
              <w:left w:val="nil"/>
              <w:bottom w:val="single" w:sz="12" w:space="0" w:color="000000"/>
              <w:right w:val="single" w:sz="12" w:space="0" w:color="000000"/>
            </w:tcBorders>
            <w:shd w:val="clear" w:color="auto" w:fill="FFFFFF"/>
            <w:hideMark/>
          </w:tcPr>
          <w:p w14:paraId="245E23FB"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Powers</w:t>
            </w:r>
          </w:p>
          <w:p w14:paraId="4A970E8D"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(Exercisable throughout the territory of India)</w:t>
            </w:r>
          </w:p>
        </w:tc>
      </w:tr>
      <w:tr w:rsidR="001D6EE0" w:rsidRPr="002E6D85" w14:paraId="776C33DA" w14:textId="77777777" w:rsidTr="00C36658">
        <w:trPr>
          <w:trHeight w:val="221"/>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0C766382"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(1)</w:t>
            </w:r>
          </w:p>
        </w:tc>
        <w:tc>
          <w:tcPr>
            <w:tcW w:w="754" w:type="dxa"/>
            <w:tcBorders>
              <w:top w:val="nil"/>
              <w:left w:val="nil"/>
              <w:bottom w:val="single" w:sz="12" w:space="0" w:color="000000"/>
              <w:right w:val="single" w:sz="12" w:space="0" w:color="000000"/>
            </w:tcBorders>
            <w:shd w:val="clear" w:color="auto" w:fill="FFFFFF"/>
            <w:hideMark/>
          </w:tcPr>
          <w:p w14:paraId="34D43C8E"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(2)</w:t>
            </w:r>
          </w:p>
        </w:tc>
        <w:tc>
          <w:tcPr>
            <w:tcW w:w="0" w:type="auto"/>
            <w:tcBorders>
              <w:top w:val="nil"/>
              <w:left w:val="nil"/>
              <w:bottom w:val="single" w:sz="12" w:space="0" w:color="000000"/>
              <w:right w:val="single" w:sz="12" w:space="0" w:color="000000"/>
            </w:tcBorders>
            <w:shd w:val="clear" w:color="auto" w:fill="FFFFFF"/>
            <w:hideMark/>
          </w:tcPr>
          <w:p w14:paraId="4D23F49E"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b/>
                <w:bCs/>
                <w:sz w:val="22"/>
                <w:szCs w:val="22"/>
              </w:rPr>
              <w:t>(3)</w:t>
            </w:r>
          </w:p>
        </w:tc>
      </w:tr>
      <w:tr w:rsidR="001D6EE0" w:rsidRPr="002E6D85" w14:paraId="4BB04FD3" w14:textId="77777777" w:rsidTr="00C36658">
        <w:trPr>
          <w:trHeight w:val="907"/>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0D0E25F7"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1.</w:t>
            </w:r>
          </w:p>
        </w:tc>
        <w:tc>
          <w:tcPr>
            <w:tcW w:w="754" w:type="dxa"/>
            <w:tcBorders>
              <w:top w:val="nil"/>
              <w:left w:val="nil"/>
              <w:bottom w:val="single" w:sz="12" w:space="0" w:color="000000"/>
              <w:right w:val="single" w:sz="12" w:space="0" w:color="000000"/>
            </w:tcBorders>
            <w:shd w:val="clear" w:color="auto" w:fill="FFFFFF"/>
            <w:hideMark/>
          </w:tcPr>
          <w:p w14:paraId="72D31A44"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Ahmedabad South</w:t>
            </w:r>
          </w:p>
        </w:tc>
        <w:tc>
          <w:tcPr>
            <w:tcW w:w="0" w:type="auto"/>
            <w:vMerge w:val="restart"/>
            <w:tcBorders>
              <w:top w:val="nil"/>
              <w:left w:val="nil"/>
              <w:bottom w:val="single" w:sz="12" w:space="0" w:color="000000"/>
              <w:right w:val="single" w:sz="12" w:space="0" w:color="000000"/>
            </w:tcBorders>
            <w:shd w:val="clear" w:color="auto" w:fill="FFFFFF"/>
            <w:hideMark/>
          </w:tcPr>
          <w:p w14:paraId="27A3A2FB" w14:textId="77777777" w:rsidR="001D6EE0" w:rsidRPr="002E6D85" w:rsidRDefault="001D6EE0" w:rsidP="00C117C0">
            <w:pPr>
              <w:pStyle w:val="NormalWeb"/>
              <w:spacing w:line="276" w:lineRule="auto"/>
              <w:ind w:right="170"/>
              <w:jc w:val="both"/>
              <w:rPr>
                <w:rFonts w:asciiTheme="minorHAnsi" w:hAnsiTheme="minorHAnsi" w:cstheme="minorHAnsi"/>
                <w:sz w:val="22"/>
                <w:szCs w:val="22"/>
              </w:rPr>
            </w:pPr>
            <w:r w:rsidRPr="002E6D85">
              <w:rPr>
                <w:rFonts w:asciiTheme="minorHAnsi" w:hAnsiTheme="minorHAnsi" w:cstheme="minorHAnsi"/>
                <w:sz w:val="22"/>
                <w:szCs w:val="22"/>
              </w:rPr>
              <w:t>Passing an order or decision in respect of notices issued by the officers of Directorate General of Goods and Services Tax Intelligence under sections 67, 73, 74, 76, 122, 125, 127, 129 and 130 of Central Goods and Services Tax Act 2017.".</w:t>
            </w:r>
          </w:p>
        </w:tc>
      </w:tr>
      <w:tr w:rsidR="001D6EE0" w:rsidRPr="002E6D85" w14:paraId="259268B2" w14:textId="77777777" w:rsidTr="00C36658">
        <w:trPr>
          <w:trHeight w:val="678"/>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45F326EC"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2.</w:t>
            </w:r>
          </w:p>
        </w:tc>
        <w:tc>
          <w:tcPr>
            <w:tcW w:w="754" w:type="dxa"/>
            <w:tcBorders>
              <w:top w:val="nil"/>
              <w:left w:val="nil"/>
              <w:bottom w:val="single" w:sz="12" w:space="0" w:color="000000"/>
              <w:right w:val="single" w:sz="12" w:space="0" w:color="000000"/>
            </w:tcBorders>
            <w:shd w:val="clear" w:color="auto" w:fill="FFFFFF"/>
            <w:hideMark/>
          </w:tcPr>
          <w:p w14:paraId="1C28FA56"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Bhopal</w:t>
            </w:r>
          </w:p>
        </w:tc>
        <w:tc>
          <w:tcPr>
            <w:tcW w:w="0" w:type="auto"/>
            <w:vMerge/>
            <w:tcBorders>
              <w:top w:val="nil"/>
              <w:left w:val="nil"/>
              <w:bottom w:val="single" w:sz="12" w:space="0" w:color="000000"/>
              <w:right w:val="single" w:sz="12" w:space="0" w:color="000000"/>
            </w:tcBorders>
            <w:shd w:val="clear" w:color="auto" w:fill="FFFFFF"/>
            <w:vAlign w:val="center"/>
            <w:hideMark/>
          </w:tcPr>
          <w:p w14:paraId="6B187D79"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2EE47C61" w14:textId="77777777" w:rsidTr="00C36658">
        <w:trPr>
          <w:trHeight w:val="678"/>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7CC73121"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3.</w:t>
            </w:r>
          </w:p>
        </w:tc>
        <w:tc>
          <w:tcPr>
            <w:tcW w:w="754" w:type="dxa"/>
            <w:tcBorders>
              <w:top w:val="nil"/>
              <w:left w:val="nil"/>
              <w:bottom w:val="single" w:sz="12" w:space="0" w:color="000000"/>
              <w:right w:val="single" w:sz="12" w:space="0" w:color="000000"/>
            </w:tcBorders>
            <w:shd w:val="clear" w:color="auto" w:fill="FFFFFF"/>
            <w:hideMark/>
          </w:tcPr>
          <w:p w14:paraId="00B4AF3C"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Chandigarh</w:t>
            </w:r>
          </w:p>
        </w:tc>
        <w:tc>
          <w:tcPr>
            <w:tcW w:w="0" w:type="auto"/>
            <w:vMerge/>
            <w:tcBorders>
              <w:top w:val="nil"/>
              <w:left w:val="nil"/>
              <w:bottom w:val="single" w:sz="12" w:space="0" w:color="000000"/>
              <w:right w:val="single" w:sz="12" w:space="0" w:color="000000"/>
            </w:tcBorders>
            <w:shd w:val="clear" w:color="auto" w:fill="FFFFFF"/>
            <w:vAlign w:val="center"/>
            <w:hideMark/>
          </w:tcPr>
          <w:p w14:paraId="2EB3482C"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5C114011" w14:textId="77777777" w:rsidTr="00C36658">
        <w:trPr>
          <w:trHeight w:val="457"/>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0E8463A7"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4.</w:t>
            </w:r>
          </w:p>
        </w:tc>
        <w:tc>
          <w:tcPr>
            <w:tcW w:w="754" w:type="dxa"/>
            <w:tcBorders>
              <w:top w:val="nil"/>
              <w:left w:val="nil"/>
              <w:bottom w:val="single" w:sz="12" w:space="0" w:color="000000"/>
              <w:right w:val="single" w:sz="12" w:space="0" w:color="000000"/>
            </w:tcBorders>
            <w:shd w:val="clear" w:color="auto" w:fill="FFFFFF"/>
            <w:hideMark/>
          </w:tcPr>
          <w:p w14:paraId="07EFC7AA"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Commissioner Chennai South</w:t>
            </w:r>
          </w:p>
        </w:tc>
        <w:tc>
          <w:tcPr>
            <w:tcW w:w="0" w:type="auto"/>
            <w:vMerge/>
            <w:tcBorders>
              <w:top w:val="nil"/>
              <w:left w:val="nil"/>
              <w:bottom w:val="single" w:sz="12" w:space="0" w:color="000000"/>
              <w:right w:val="single" w:sz="12" w:space="0" w:color="000000"/>
            </w:tcBorders>
            <w:shd w:val="clear" w:color="auto" w:fill="FFFFFF"/>
            <w:vAlign w:val="center"/>
            <w:hideMark/>
          </w:tcPr>
          <w:p w14:paraId="14CB7341"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67612838" w14:textId="77777777" w:rsidTr="00C36658">
        <w:trPr>
          <w:trHeight w:val="678"/>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CD3BE42"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5.</w:t>
            </w:r>
          </w:p>
        </w:tc>
        <w:tc>
          <w:tcPr>
            <w:tcW w:w="754" w:type="dxa"/>
            <w:tcBorders>
              <w:top w:val="nil"/>
              <w:left w:val="nil"/>
              <w:bottom w:val="single" w:sz="12" w:space="0" w:color="000000"/>
              <w:right w:val="single" w:sz="12" w:space="0" w:color="000000"/>
            </w:tcBorders>
            <w:shd w:val="clear" w:color="auto" w:fill="FFFFFF"/>
            <w:hideMark/>
          </w:tcPr>
          <w:p w14:paraId="02369F54"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Delhi North</w:t>
            </w:r>
          </w:p>
        </w:tc>
        <w:tc>
          <w:tcPr>
            <w:tcW w:w="0" w:type="auto"/>
            <w:vMerge/>
            <w:tcBorders>
              <w:top w:val="nil"/>
              <w:left w:val="nil"/>
              <w:bottom w:val="single" w:sz="12" w:space="0" w:color="000000"/>
              <w:right w:val="single" w:sz="12" w:space="0" w:color="000000"/>
            </w:tcBorders>
            <w:shd w:val="clear" w:color="auto" w:fill="FFFFFF"/>
            <w:vAlign w:val="center"/>
            <w:hideMark/>
          </w:tcPr>
          <w:p w14:paraId="048B1995"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0021A8F4" w14:textId="77777777" w:rsidTr="00C36658">
        <w:trPr>
          <w:trHeight w:val="678"/>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550DAEE"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6.</w:t>
            </w:r>
          </w:p>
        </w:tc>
        <w:tc>
          <w:tcPr>
            <w:tcW w:w="754" w:type="dxa"/>
            <w:tcBorders>
              <w:top w:val="nil"/>
              <w:left w:val="nil"/>
              <w:bottom w:val="single" w:sz="12" w:space="0" w:color="000000"/>
              <w:right w:val="single" w:sz="12" w:space="0" w:color="000000"/>
            </w:tcBorders>
            <w:shd w:val="clear" w:color="auto" w:fill="FFFFFF"/>
            <w:hideMark/>
          </w:tcPr>
          <w:p w14:paraId="59EBAAE9"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Guwahati</w:t>
            </w:r>
          </w:p>
        </w:tc>
        <w:tc>
          <w:tcPr>
            <w:tcW w:w="0" w:type="auto"/>
            <w:vMerge/>
            <w:tcBorders>
              <w:top w:val="nil"/>
              <w:left w:val="nil"/>
              <w:bottom w:val="single" w:sz="12" w:space="0" w:color="000000"/>
              <w:right w:val="single" w:sz="12" w:space="0" w:color="000000"/>
            </w:tcBorders>
            <w:shd w:val="clear" w:color="auto" w:fill="FFFFFF"/>
            <w:vAlign w:val="center"/>
            <w:hideMark/>
          </w:tcPr>
          <w:p w14:paraId="41088D4D"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77CD3574" w14:textId="77777777" w:rsidTr="00C36658">
        <w:trPr>
          <w:trHeight w:val="449"/>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265B5449"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7.</w:t>
            </w:r>
          </w:p>
        </w:tc>
        <w:tc>
          <w:tcPr>
            <w:tcW w:w="754" w:type="dxa"/>
            <w:tcBorders>
              <w:top w:val="nil"/>
              <w:left w:val="nil"/>
              <w:bottom w:val="single" w:sz="12" w:space="0" w:color="000000"/>
              <w:right w:val="single" w:sz="12" w:space="0" w:color="000000"/>
            </w:tcBorders>
            <w:shd w:val="clear" w:color="auto" w:fill="FFFFFF"/>
            <w:hideMark/>
          </w:tcPr>
          <w:p w14:paraId="18BD3E7A"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 xml:space="preserve">Commissioner </w:t>
            </w:r>
            <w:proofErr w:type="spellStart"/>
            <w:r w:rsidRPr="002E6D85">
              <w:rPr>
                <w:rFonts w:asciiTheme="minorHAnsi" w:hAnsiTheme="minorHAnsi" w:cstheme="minorHAnsi"/>
                <w:sz w:val="22"/>
                <w:szCs w:val="22"/>
              </w:rPr>
              <w:t>Rangareddy</w:t>
            </w:r>
            <w:proofErr w:type="spellEnd"/>
          </w:p>
        </w:tc>
        <w:tc>
          <w:tcPr>
            <w:tcW w:w="0" w:type="auto"/>
            <w:vMerge/>
            <w:tcBorders>
              <w:top w:val="nil"/>
              <w:left w:val="nil"/>
              <w:bottom w:val="single" w:sz="12" w:space="0" w:color="000000"/>
              <w:right w:val="single" w:sz="12" w:space="0" w:color="000000"/>
            </w:tcBorders>
            <w:shd w:val="clear" w:color="auto" w:fill="FFFFFF"/>
            <w:vAlign w:val="center"/>
            <w:hideMark/>
          </w:tcPr>
          <w:p w14:paraId="2F129AE6"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4B497C85" w14:textId="77777777" w:rsidTr="00C36658">
        <w:trPr>
          <w:trHeight w:val="678"/>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1688A36C"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8.</w:t>
            </w:r>
          </w:p>
        </w:tc>
        <w:tc>
          <w:tcPr>
            <w:tcW w:w="754" w:type="dxa"/>
            <w:tcBorders>
              <w:top w:val="nil"/>
              <w:left w:val="nil"/>
              <w:bottom w:val="single" w:sz="12" w:space="0" w:color="000000"/>
              <w:right w:val="single" w:sz="12" w:space="0" w:color="000000"/>
            </w:tcBorders>
            <w:shd w:val="clear" w:color="auto" w:fill="FFFFFF"/>
            <w:hideMark/>
          </w:tcPr>
          <w:p w14:paraId="12F21884"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Kolkata North</w:t>
            </w:r>
          </w:p>
        </w:tc>
        <w:tc>
          <w:tcPr>
            <w:tcW w:w="0" w:type="auto"/>
            <w:vMerge/>
            <w:tcBorders>
              <w:top w:val="nil"/>
              <w:left w:val="nil"/>
              <w:bottom w:val="single" w:sz="12" w:space="0" w:color="000000"/>
              <w:right w:val="single" w:sz="12" w:space="0" w:color="000000"/>
            </w:tcBorders>
            <w:shd w:val="clear" w:color="auto" w:fill="FFFFFF"/>
            <w:vAlign w:val="center"/>
            <w:hideMark/>
          </w:tcPr>
          <w:p w14:paraId="6CA32EDB"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6FE9B8BF" w14:textId="77777777" w:rsidTr="00C36658">
        <w:trPr>
          <w:trHeight w:val="685"/>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5D3AE8FC"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9.</w:t>
            </w:r>
          </w:p>
        </w:tc>
        <w:tc>
          <w:tcPr>
            <w:tcW w:w="754" w:type="dxa"/>
            <w:tcBorders>
              <w:top w:val="nil"/>
              <w:left w:val="nil"/>
              <w:bottom w:val="single" w:sz="12" w:space="0" w:color="000000"/>
              <w:right w:val="single" w:sz="12" w:space="0" w:color="000000"/>
            </w:tcBorders>
            <w:shd w:val="clear" w:color="auto" w:fill="FFFFFF"/>
            <w:hideMark/>
          </w:tcPr>
          <w:p w14:paraId="3808F040"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Principal Commissioner Lucknow</w:t>
            </w:r>
          </w:p>
        </w:tc>
        <w:tc>
          <w:tcPr>
            <w:tcW w:w="0" w:type="auto"/>
            <w:vMerge/>
            <w:tcBorders>
              <w:top w:val="nil"/>
              <w:left w:val="nil"/>
              <w:bottom w:val="single" w:sz="12" w:space="0" w:color="000000"/>
              <w:right w:val="single" w:sz="12" w:space="0" w:color="000000"/>
            </w:tcBorders>
            <w:shd w:val="clear" w:color="auto" w:fill="FFFFFF"/>
            <w:vAlign w:val="center"/>
            <w:hideMark/>
          </w:tcPr>
          <w:p w14:paraId="49F5A5E2"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r w:rsidR="001D6EE0" w:rsidRPr="002E6D85" w14:paraId="148AFF13" w14:textId="77777777" w:rsidTr="00C36658">
        <w:trPr>
          <w:trHeight w:val="449"/>
          <w:jc w:val="center"/>
        </w:trPr>
        <w:tc>
          <w:tcPr>
            <w:tcW w:w="1261" w:type="dxa"/>
            <w:tcBorders>
              <w:top w:val="nil"/>
              <w:left w:val="single" w:sz="12" w:space="0" w:color="000000"/>
              <w:bottom w:val="single" w:sz="12" w:space="0" w:color="000000"/>
              <w:right w:val="single" w:sz="12" w:space="0" w:color="000000"/>
            </w:tcBorders>
            <w:shd w:val="clear" w:color="auto" w:fill="FFFFFF"/>
            <w:hideMark/>
          </w:tcPr>
          <w:p w14:paraId="74617BEF" w14:textId="77777777" w:rsidR="001D6EE0"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10.</w:t>
            </w:r>
          </w:p>
        </w:tc>
        <w:tc>
          <w:tcPr>
            <w:tcW w:w="754" w:type="dxa"/>
            <w:tcBorders>
              <w:top w:val="nil"/>
              <w:left w:val="nil"/>
              <w:bottom w:val="single" w:sz="12" w:space="0" w:color="000000"/>
              <w:right w:val="single" w:sz="12" w:space="0" w:color="000000"/>
            </w:tcBorders>
            <w:shd w:val="clear" w:color="auto" w:fill="FFFFFF"/>
            <w:hideMark/>
          </w:tcPr>
          <w:p w14:paraId="5ADC661A" w14:textId="10FC964D" w:rsidR="00C36658" w:rsidRPr="002E6D85" w:rsidRDefault="001D6EE0" w:rsidP="001D6EE0">
            <w:pPr>
              <w:pStyle w:val="NormalWeb"/>
              <w:spacing w:line="276" w:lineRule="auto"/>
              <w:jc w:val="both"/>
              <w:rPr>
                <w:rFonts w:asciiTheme="minorHAnsi" w:hAnsiTheme="minorHAnsi" w:cstheme="minorHAnsi"/>
                <w:sz w:val="22"/>
                <w:szCs w:val="22"/>
              </w:rPr>
            </w:pPr>
            <w:r w:rsidRPr="002E6D85">
              <w:rPr>
                <w:rFonts w:asciiTheme="minorHAnsi" w:hAnsiTheme="minorHAnsi" w:cstheme="minorHAnsi"/>
                <w:sz w:val="22"/>
                <w:szCs w:val="22"/>
              </w:rPr>
              <w:t>Commissioner Thane</w:t>
            </w:r>
          </w:p>
        </w:tc>
        <w:tc>
          <w:tcPr>
            <w:tcW w:w="0" w:type="auto"/>
            <w:vMerge/>
            <w:tcBorders>
              <w:top w:val="nil"/>
              <w:left w:val="nil"/>
              <w:bottom w:val="single" w:sz="12" w:space="0" w:color="000000"/>
              <w:right w:val="single" w:sz="12" w:space="0" w:color="000000"/>
            </w:tcBorders>
            <w:shd w:val="clear" w:color="auto" w:fill="FFFFFF"/>
            <w:vAlign w:val="center"/>
            <w:hideMark/>
          </w:tcPr>
          <w:p w14:paraId="5445CB09" w14:textId="77777777" w:rsidR="001D6EE0" w:rsidRPr="002E6D85" w:rsidRDefault="001D6EE0" w:rsidP="001D6EE0">
            <w:pPr>
              <w:pStyle w:val="NormalWeb"/>
              <w:spacing w:line="276" w:lineRule="auto"/>
              <w:jc w:val="both"/>
              <w:rPr>
                <w:rFonts w:asciiTheme="minorHAnsi" w:hAnsiTheme="minorHAnsi" w:cstheme="minorHAnsi"/>
                <w:sz w:val="22"/>
                <w:szCs w:val="22"/>
              </w:rPr>
            </w:pPr>
          </w:p>
        </w:tc>
      </w:tr>
    </w:tbl>
    <w:p w14:paraId="0125B374" w14:textId="33683779" w:rsidR="00357F9C" w:rsidRPr="00184CC2" w:rsidRDefault="00357F9C" w:rsidP="002E6D85">
      <w:pPr>
        <w:pStyle w:val="NoSpacing"/>
        <w:sectPr w:rsidR="00357F9C" w:rsidRPr="00184CC2" w:rsidSect="006245F0">
          <w:headerReference w:type="default" r:id="rId35"/>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3F27D503" w:rsidR="00D14461" w:rsidRPr="008A2360" w:rsidRDefault="00532FAA" w:rsidP="00BB74B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FDI GUIDELINES</w:t>
      </w:r>
    </w:p>
    <w:p w14:paraId="3DAD17B4" w14:textId="34678314" w:rsidR="00B71F42" w:rsidRPr="00AF6801" w:rsidRDefault="00532FAA" w:rsidP="007B1EA6">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532FAA">
        <w:rPr>
          <w:rFonts w:asciiTheme="minorHAnsi" w:hAnsiTheme="minorHAnsi" w:cstheme="minorHAnsi"/>
          <w:b/>
          <w:bCs/>
          <w:caps/>
          <w:color w:val="000000" w:themeColor="text1"/>
          <w:lang w:val="en-IN"/>
        </w:rPr>
        <w:t>Review of FDI Policy for permitting foreign investment in Life Insurance Corporation of India (LIC) and other modifications for further clarity of the existing FDI Policy</w:t>
      </w:r>
    </w:p>
    <w:p w14:paraId="6325D9EA" w14:textId="233883A4" w:rsidR="00532FAA" w:rsidRPr="00532FAA" w:rsidRDefault="00C52DE1" w:rsidP="00532FAA">
      <w:pPr>
        <w:pStyle w:val="NormalWeb"/>
        <w:spacing w:line="276" w:lineRule="auto"/>
        <w:jc w:val="both"/>
        <w:rPr>
          <w:rFonts w:asciiTheme="minorHAnsi" w:hAnsiTheme="minorHAnsi" w:cstheme="minorHAnsi"/>
          <w:bCs/>
          <w:sz w:val="22"/>
          <w:szCs w:val="22"/>
        </w:rPr>
      </w:pPr>
      <w:r w:rsidRPr="00BD77E9">
        <w:rPr>
          <w:rFonts w:asciiTheme="minorHAnsi" w:hAnsiTheme="minorHAnsi" w:cstheme="minorHAnsi"/>
          <w:b/>
          <w:sz w:val="22"/>
          <w:szCs w:val="22"/>
        </w:rPr>
        <w:t>OUR COMMENTS</w:t>
      </w:r>
      <w:r w:rsidR="00F83748">
        <w:rPr>
          <w:rFonts w:asciiTheme="minorHAnsi" w:hAnsiTheme="minorHAnsi" w:cstheme="minorHAnsi"/>
          <w:b/>
          <w:sz w:val="22"/>
          <w:szCs w:val="22"/>
        </w:rPr>
        <w:t xml:space="preserve">: </w:t>
      </w:r>
      <w:r w:rsidR="00532FAA" w:rsidRPr="00532FAA">
        <w:rPr>
          <w:rFonts w:asciiTheme="minorHAnsi" w:hAnsiTheme="minorHAnsi" w:cstheme="minorHAnsi"/>
          <w:bCs/>
          <w:sz w:val="22"/>
          <w:szCs w:val="22"/>
        </w:rPr>
        <w:t>The</w:t>
      </w:r>
      <w:r w:rsidR="00676857">
        <w:rPr>
          <w:rFonts w:asciiTheme="minorHAnsi" w:hAnsiTheme="minorHAnsi" w:cstheme="minorHAnsi"/>
          <w:bCs/>
          <w:sz w:val="22"/>
          <w:szCs w:val="22"/>
        </w:rPr>
        <w:t xml:space="preserve"> </w:t>
      </w:r>
      <w:r w:rsidR="00676857" w:rsidRPr="00676857">
        <w:rPr>
          <w:rFonts w:asciiTheme="minorHAnsi" w:hAnsiTheme="minorHAnsi" w:cstheme="minorHAnsi"/>
          <w:bCs/>
          <w:sz w:val="22"/>
          <w:szCs w:val="22"/>
        </w:rPr>
        <w:t>FDI Policy Section</w:t>
      </w:r>
      <w:r w:rsidR="00676857">
        <w:rPr>
          <w:rFonts w:asciiTheme="minorHAnsi" w:hAnsiTheme="minorHAnsi" w:cstheme="minorHAnsi"/>
          <w:bCs/>
          <w:sz w:val="22"/>
          <w:szCs w:val="22"/>
        </w:rPr>
        <w:t xml:space="preserve"> of the </w:t>
      </w:r>
      <w:r w:rsidR="00676857" w:rsidRPr="00676857">
        <w:rPr>
          <w:rFonts w:asciiTheme="minorHAnsi" w:hAnsiTheme="minorHAnsi" w:cstheme="minorHAnsi"/>
          <w:bCs/>
          <w:sz w:val="22"/>
          <w:szCs w:val="22"/>
        </w:rPr>
        <w:t>Department for Promotion of Industry and Internal Trade</w:t>
      </w:r>
      <w:r w:rsidR="00676857">
        <w:rPr>
          <w:rFonts w:asciiTheme="minorHAnsi" w:hAnsiTheme="minorHAnsi" w:cstheme="minorHAnsi"/>
          <w:bCs/>
          <w:sz w:val="22"/>
          <w:szCs w:val="22"/>
        </w:rPr>
        <w:t xml:space="preserve">, </w:t>
      </w:r>
      <w:r w:rsidR="00676857" w:rsidRPr="00676857">
        <w:rPr>
          <w:rFonts w:asciiTheme="minorHAnsi" w:hAnsiTheme="minorHAnsi" w:cstheme="minorHAnsi"/>
          <w:bCs/>
          <w:sz w:val="22"/>
          <w:szCs w:val="22"/>
        </w:rPr>
        <w:t>Ministry of Commerce &amp; Industry</w:t>
      </w:r>
      <w:r w:rsidR="00676857">
        <w:rPr>
          <w:rFonts w:asciiTheme="minorHAnsi" w:hAnsiTheme="minorHAnsi" w:cstheme="minorHAnsi"/>
          <w:bCs/>
          <w:sz w:val="22"/>
          <w:szCs w:val="22"/>
        </w:rPr>
        <w:t xml:space="preserve">, </w:t>
      </w:r>
      <w:r w:rsidR="00532FAA" w:rsidRPr="00532FAA">
        <w:rPr>
          <w:rFonts w:asciiTheme="minorHAnsi" w:hAnsiTheme="minorHAnsi" w:cstheme="minorHAnsi"/>
          <w:bCs/>
          <w:sz w:val="22"/>
          <w:szCs w:val="22"/>
        </w:rPr>
        <w:t>Government of India has reviewed the extant FDI policy for permitting foreign investment in Life Insurance Corporation of India (LIC) and other modifications for consistency and further clarity of the existing FDI Policy. Accordingly, the following amendments have been made under the </w:t>
      </w:r>
      <w:hyperlink r:id="rId36" w:history="1">
        <w:r w:rsidR="00532FAA" w:rsidRPr="00532FAA">
          <w:rPr>
            <w:rStyle w:val="Hyperlink"/>
            <w:rFonts w:asciiTheme="minorHAnsi" w:hAnsiTheme="minorHAnsi" w:cstheme="minorHAnsi"/>
            <w:bCs/>
            <w:color w:val="auto"/>
            <w:sz w:val="22"/>
            <w:szCs w:val="22"/>
            <w:u w:val="none"/>
          </w:rPr>
          <w:t>Consolidated FDI Policy Circular of 2020</w:t>
        </w:r>
      </w:hyperlink>
      <w:r w:rsidR="00532FAA" w:rsidRPr="00532FAA">
        <w:rPr>
          <w:rFonts w:asciiTheme="minorHAnsi" w:hAnsiTheme="minorHAnsi" w:cstheme="minorHAnsi"/>
          <w:bCs/>
          <w:sz w:val="22"/>
          <w:szCs w:val="22"/>
        </w:rPr>
        <w:t>, as amended from time to time (FDI Policy):</w:t>
      </w:r>
    </w:p>
    <w:p w14:paraId="4C8DB35A" w14:textId="317257A0" w:rsidR="00532FAA" w:rsidRPr="00532FAA" w:rsidRDefault="00532FAA" w:rsidP="00532FAA">
      <w:pPr>
        <w:pStyle w:val="NormalWeb"/>
        <w:spacing w:line="276" w:lineRule="auto"/>
        <w:jc w:val="both"/>
        <w:rPr>
          <w:rFonts w:asciiTheme="minorHAnsi" w:hAnsiTheme="minorHAnsi" w:cstheme="minorHAnsi"/>
          <w:bCs/>
          <w:sz w:val="22"/>
          <w:szCs w:val="22"/>
        </w:rPr>
      </w:pPr>
      <w:r w:rsidRPr="00532FAA">
        <w:rPr>
          <w:rFonts w:asciiTheme="minorHAnsi" w:hAnsiTheme="minorHAnsi" w:cstheme="minorHAnsi"/>
          <w:bCs/>
          <w:sz w:val="22"/>
          <w:szCs w:val="22"/>
        </w:rPr>
        <w:t xml:space="preserve">1.1   Para 2.1.5 of the FDI Policy is amended to be read as </w:t>
      </w:r>
      <w:proofErr w:type="spellStart"/>
      <w:r w:rsidRPr="00532FAA">
        <w:rPr>
          <w:rFonts w:asciiTheme="minorHAnsi" w:hAnsiTheme="minorHAnsi" w:cstheme="minorHAnsi"/>
          <w:bCs/>
          <w:sz w:val="22"/>
          <w:szCs w:val="22"/>
        </w:rPr>
        <w:t>under:'Capital</w:t>
      </w:r>
      <w:proofErr w:type="spellEnd"/>
      <w:r w:rsidRPr="00532FAA">
        <w:rPr>
          <w:rFonts w:asciiTheme="minorHAnsi" w:hAnsiTheme="minorHAnsi" w:cstheme="minorHAnsi"/>
          <w:bCs/>
          <w:sz w:val="22"/>
          <w:szCs w:val="22"/>
        </w:rPr>
        <w:t>' means equity shares; fully, compulsorily and mandatorily convertible preference shares; fully, compulsorily and mandatorily convertible debentures and warrants;</w:t>
      </w:r>
    </w:p>
    <w:p w14:paraId="732668FF" w14:textId="77777777" w:rsidR="00532FAA" w:rsidRPr="00532FAA" w:rsidRDefault="00532FAA" w:rsidP="00532FAA">
      <w:pPr>
        <w:pStyle w:val="NormalWeb"/>
        <w:spacing w:line="276" w:lineRule="auto"/>
        <w:jc w:val="both"/>
        <w:rPr>
          <w:rFonts w:asciiTheme="minorHAnsi" w:hAnsiTheme="minorHAnsi" w:cstheme="minorHAnsi"/>
          <w:bCs/>
          <w:sz w:val="22"/>
          <w:szCs w:val="22"/>
        </w:rPr>
      </w:pPr>
      <w:r w:rsidRPr="00532FAA">
        <w:rPr>
          <w:rFonts w:asciiTheme="minorHAnsi" w:hAnsiTheme="minorHAnsi" w:cstheme="minorHAnsi"/>
          <w:bCs/>
          <w:sz w:val="22"/>
          <w:szCs w:val="22"/>
        </w:rPr>
        <w:t>Note: The equity shares issued by an Indian Company in accordance with the provisions of the </w:t>
      </w:r>
      <w:hyperlink r:id="rId37" w:history="1">
        <w:r w:rsidRPr="00532FAA">
          <w:rPr>
            <w:rStyle w:val="Hyperlink"/>
            <w:rFonts w:asciiTheme="minorHAnsi" w:hAnsiTheme="minorHAnsi" w:cstheme="minorHAnsi"/>
            <w:bCs/>
            <w:color w:val="auto"/>
            <w:sz w:val="22"/>
            <w:szCs w:val="22"/>
            <w:u w:val="none"/>
          </w:rPr>
          <w:t>Companies Act, 2013</w:t>
        </w:r>
      </w:hyperlink>
      <w:r w:rsidRPr="00532FAA">
        <w:rPr>
          <w:rFonts w:asciiTheme="minorHAnsi" w:hAnsiTheme="minorHAnsi" w:cstheme="minorHAnsi"/>
          <w:bCs/>
          <w:sz w:val="22"/>
          <w:szCs w:val="22"/>
        </w:rPr>
        <w:t> or any other applicable law, shall include equity shares that have been partly paid. Preference shares and convertible debentures shall be required to be fully paid, and to be mandatorily and fully convertible. Further, 'warrant' includes Share Warrant issued by an Indian Company in accordance with the regulations made by the Securities and Exchange Board of India (SEBI), the </w:t>
      </w:r>
      <w:hyperlink r:id="rId38" w:history="1">
        <w:r w:rsidRPr="00532FAA">
          <w:rPr>
            <w:rStyle w:val="Hyperlink"/>
            <w:rFonts w:asciiTheme="minorHAnsi" w:hAnsiTheme="minorHAnsi" w:cstheme="minorHAnsi"/>
            <w:bCs/>
            <w:color w:val="auto"/>
            <w:sz w:val="22"/>
            <w:szCs w:val="22"/>
            <w:u w:val="none"/>
          </w:rPr>
          <w:t>Companies Act, 2013</w:t>
        </w:r>
      </w:hyperlink>
      <w:r w:rsidRPr="00532FAA">
        <w:rPr>
          <w:rFonts w:asciiTheme="minorHAnsi" w:hAnsiTheme="minorHAnsi" w:cstheme="minorHAnsi"/>
          <w:bCs/>
          <w:sz w:val="22"/>
          <w:szCs w:val="22"/>
        </w:rPr>
        <w:t> or any other applicable law.</w:t>
      </w:r>
    </w:p>
    <w:p w14:paraId="704E6BC9" w14:textId="0A986C7F" w:rsidR="00532FAA" w:rsidRPr="00532FAA" w:rsidRDefault="00532FAA" w:rsidP="00532FAA">
      <w:pPr>
        <w:pStyle w:val="NormalWeb"/>
        <w:spacing w:line="276" w:lineRule="auto"/>
        <w:jc w:val="both"/>
        <w:rPr>
          <w:rFonts w:asciiTheme="minorHAnsi" w:hAnsiTheme="minorHAnsi" w:cstheme="minorHAnsi"/>
          <w:bCs/>
          <w:sz w:val="22"/>
          <w:szCs w:val="22"/>
        </w:rPr>
      </w:pPr>
      <w:r w:rsidRPr="00532FAA">
        <w:rPr>
          <w:rFonts w:asciiTheme="minorHAnsi" w:hAnsiTheme="minorHAnsi" w:cstheme="minorHAnsi"/>
          <w:bCs/>
          <w:sz w:val="22"/>
          <w:szCs w:val="22"/>
        </w:rPr>
        <w:t xml:space="preserve">1.2   Para 2.1.9 of the FDI Policy is amended to be read as </w:t>
      </w:r>
      <w:proofErr w:type="spellStart"/>
      <w:r w:rsidRPr="00532FAA">
        <w:rPr>
          <w:rFonts w:asciiTheme="minorHAnsi" w:hAnsiTheme="minorHAnsi" w:cstheme="minorHAnsi"/>
          <w:bCs/>
          <w:sz w:val="22"/>
          <w:szCs w:val="22"/>
        </w:rPr>
        <w:t>under:'Convertible</w:t>
      </w:r>
      <w:proofErr w:type="spellEnd"/>
      <w:r w:rsidRPr="00532FAA">
        <w:rPr>
          <w:rFonts w:asciiTheme="minorHAnsi" w:hAnsiTheme="minorHAnsi" w:cstheme="minorHAnsi"/>
          <w:bCs/>
          <w:sz w:val="22"/>
          <w:szCs w:val="22"/>
        </w:rPr>
        <w:t xml:space="preserve">  Note'  means an  instrument issued  by a </w:t>
      </w:r>
      <w:proofErr w:type="spellStart"/>
      <w:r w:rsidRPr="00532FAA">
        <w:rPr>
          <w:rFonts w:asciiTheme="minorHAnsi" w:hAnsiTheme="minorHAnsi" w:cstheme="minorHAnsi"/>
          <w:bCs/>
          <w:sz w:val="22"/>
          <w:szCs w:val="22"/>
        </w:rPr>
        <w:t>startup</w:t>
      </w:r>
      <w:proofErr w:type="spellEnd"/>
      <w:r w:rsidRPr="00532FAA">
        <w:rPr>
          <w:rFonts w:asciiTheme="minorHAnsi" w:hAnsiTheme="minorHAnsi" w:cstheme="minorHAnsi"/>
          <w:bCs/>
          <w:sz w:val="22"/>
          <w:szCs w:val="22"/>
        </w:rPr>
        <w:t xml:space="preserve"> company acknowledging receipt of money initially as debt, which is repayable at the option of the holder, or which is convertible into such number of equity shares of such </w:t>
      </w:r>
      <w:proofErr w:type="spellStart"/>
      <w:r w:rsidRPr="00532FAA">
        <w:rPr>
          <w:rFonts w:asciiTheme="minorHAnsi" w:hAnsiTheme="minorHAnsi" w:cstheme="minorHAnsi"/>
          <w:bCs/>
          <w:sz w:val="22"/>
          <w:szCs w:val="22"/>
        </w:rPr>
        <w:t>startup</w:t>
      </w:r>
      <w:proofErr w:type="spellEnd"/>
      <w:r w:rsidRPr="00532FAA">
        <w:rPr>
          <w:rFonts w:asciiTheme="minorHAnsi" w:hAnsiTheme="minorHAnsi" w:cstheme="minorHAnsi"/>
          <w:bCs/>
          <w:sz w:val="22"/>
          <w:szCs w:val="22"/>
        </w:rPr>
        <w:t xml:space="preserve"> company, within a period not exceeding ten years from the date of issue of the convertible note, upon occurrence of specified events as per the other terms and conditions agreed to and indicated in the instrument.</w:t>
      </w:r>
    </w:p>
    <w:p w14:paraId="444FEC0B" w14:textId="17A5616B" w:rsidR="00532FAA" w:rsidRPr="00532FAA" w:rsidRDefault="00532FAA" w:rsidP="00532FAA">
      <w:pPr>
        <w:pStyle w:val="NormalWeb"/>
        <w:spacing w:line="276" w:lineRule="auto"/>
        <w:jc w:val="both"/>
        <w:rPr>
          <w:rFonts w:asciiTheme="minorHAnsi" w:hAnsiTheme="minorHAnsi" w:cstheme="minorHAnsi"/>
          <w:bCs/>
          <w:sz w:val="22"/>
          <w:szCs w:val="22"/>
        </w:rPr>
      </w:pPr>
      <w:proofErr w:type="gramStart"/>
      <w:r w:rsidRPr="00532FAA">
        <w:rPr>
          <w:rFonts w:asciiTheme="minorHAnsi" w:hAnsiTheme="minorHAnsi" w:cstheme="minorHAnsi"/>
          <w:bCs/>
          <w:sz w:val="22"/>
          <w:szCs w:val="22"/>
        </w:rPr>
        <w:t>1.3  Para</w:t>
      </w:r>
      <w:proofErr w:type="gramEnd"/>
      <w:r w:rsidRPr="00532FAA">
        <w:rPr>
          <w:rFonts w:asciiTheme="minorHAnsi" w:hAnsiTheme="minorHAnsi" w:cstheme="minorHAnsi"/>
          <w:bCs/>
          <w:sz w:val="22"/>
          <w:szCs w:val="22"/>
        </w:rPr>
        <w:t xml:space="preserve"> 2.1.17 of FDI Policy is amended to be read as </w:t>
      </w:r>
      <w:proofErr w:type="spellStart"/>
      <w:r w:rsidRPr="00532FAA">
        <w:rPr>
          <w:rFonts w:asciiTheme="minorHAnsi" w:hAnsiTheme="minorHAnsi" w:cstheme="minorHAnsi"/>
          <w:bCs/>
          <w:sz w:val="22"/>
          <w:szCs w:val="22"/>
        </w:rPr>
        <w:t>under:`Foreign</w:t>
      </w:r>
      <w:proofErr w:type="spellEnd"/>
      <w:r w:rsidRPr="00532FAA">
        <w:rPr>
          <w:rFonts w:asciiTheme="minorHAnsi" w:hAnsiTheme="minorHAnsi" w:cstheme="minorHAnsi"/>
          <w:bCs/>
          <w:sz w:val="22"/>
          <w:szCs w:val="22"/>
        </w:rPr>
        <w:t xml:space="preserve"> Investment' means any investment made by a person resident outside India on a repatriable basis in capital instruments of an Indian company or to the capital of a LLP;</w:t>
      </w:r>
    </w:p>
    <w:p w14:paraId="4D52FD68" w14:textId="1486EFAC" w:rsidR="00532FAA" w:rsidRPr="00532FAA" w:rsidRDefault="00532FAA" w:rsidP="00532FAA">
      <w:pPr>
        <w:pStyle w:val="NormalWeb"/>
        <w:spacing w:line="276" w:lineRule="auto"/>
        <w:jc w:val="both"/>
        <w:rPr>
          <w:rFonts w:asciiTheme="minorHAnsi" w:hAnsiTheme="minorHAnsi" w:cstheme="minorHAnsi"/>
          <w:bCs/>
          <w:sz w:val="22"/>
          <w:szCs w:val="22"/>
        </w:rPr>
      </w:pPr>
      <w:r w:rsidRPr="00532FAA">
        <w:rPr>
          <w:rFonts w:asciiTheme="minorHAnsi" w:hAnsiTheme="minorHAnsi" w:cstheme="minorHAnsi"/>
          <w:bCs/>
          <w:sz w:val="22"/>
          <w:szCs w:val="22"/>
        </w:rPr>
        <w:t>Explanation: If a declaration is made by a person as per the provisions of the </w:t>
      </w:r>
      <w:hyperlink r:id="rId39" w:history="1">
        <w:r w:rsidRPr="00532FAA">
          <w:rPr>
            <w:rStyle w:val="Hyperlink"/>
            <w:rFonts w:asciiTheme="minorHAnsi" w:hAnsiTheme="minorHAnsi" w:cstheme="minorHAnsi"/>
            <w:bCs/>
            <w:color w:val="auto"/>
            <w:sz w:val="22"/>
            <w:szCs w:val="22"/>
            <w:u w:val="none"/>
          </w:rPr>
          <w:t>Companies Act, 2013</w:t>
        </w:r>
      </w:hyperlink>
      <w:r w:rsidRPr="00532FAA">
        <w:rPr>
          <w:rFonts w:asciiTheme="minorHAnsi" w:hAnsiTheme="minorHAnsi" w:cstheme="minorHAnsi"/>
          <w:bCs/>
          <w:sz w:val="22"/>
          <w:szCs w:val="22"/>
        </w:rPr>
        <w:t xml:space="preserve"> or any other applicable law, about a beneficial interest being held by a person resident outside India, then even though the investment may be made by a resident Indian citizen, the same shall be counted as foreign </w:t>
      </w:r>
      <w:proofErr w:type="spellStart"/>
      <w:r w:rsidRPr="00532FAA">
        <w:rPr>
          <w:rFonts w:asciiTheme="minorHAnsi" w:hAnsiTheme="minorHAnsi" w:cstheme="minorHAnsi"/>
          <w:bCs/>
          <w:sz w:val="22"/>
          <w:szCs w:val="22"/>
        </w:rPr>
        <w:t>investment;Note</w:t>
      </w:r>
      <w:proofErr w:type="spellEnd"/>
      <w:r w:rsidRPr="00532FAA">
        <w:rPr>
          <w:rFonts w:asciiTheme="minorHAnsi" w:hAnsiTheme="minorHAnsi" w:cstheme="minorHAnsi"/>
          <w:bCs/>
          <w:sz w:val="22"/>
          <w:szCs w:val="22"/>
        </w:rPr>
        <w:t>: A person resident outside India may hold foreign investment either as FDI or as FPI in any particular Indian company;</w:t>
      </w:r>
    </w:p>
    <w:p w14:paraId="6B93F58B" w14:textId="3E9707BC" w:rsidR="00532FAA" w:rsidRPr="00532FAA" w:rsidRDefault="00532FAA" w:rsidP="00532FAA">
      <w:pPr>
        <w:pStyle w:val="NormalWeb"/>
        <w:spacing w:line="276" w:lineRule="auto"/>
        <w:jc w:val="both"/>
        <w:rPr>
          <w:rFonts w:asciiTheme="minorHAnsi" w:hAnsiTheme="minorHAnsi" w:cstheme="minorHAnsi"/>
          <w:bCs/>
          <w:sz w:val="22"/>
          <w:szCs w:val="22"/>
        </w:rPr>
      </w:pPr>
      <w:r w:rsidRPr="00532FAA">
        <w:rPr>
          <w:rFonts w:asciiTheme="minorHAnsi" w:hAnsiTheme="minorHAnsi" w:cstheme="minorHAnsi"/>
          <w:bCs/>
          <w:sz w:val="22"/>
          <w:szCs w:val="22"/>
        </w:rPr>
        <w:t xml:space="preserve">1.4   Para 2.1.27 of FDI Policy is amended to be read as </w:t>
      </w:r>
      <w:proofErr w:type="spellStart"/>
      <w:r w:rsidRPr="00532FAA">
        <w:rPr>
          <w:rFonts w:asciiTheme="minorHAnsi" w:hAnsiTheme="minorHAnsi" w:cstheme="minorHAnsi"/>
          <w:bCs/>
          <w:sz w:val="22"/>
          <w:szCs w:val="22"/>
        </w:rPr>
        <w:t>under:`Indian</w:t>
      </w:r>
      <w:proofErr w:type="spellEnd"/>
      <w:r w:rsidRPr="00532FAA">
        <w:rPr>
          <w:rFonts w:asciiTheme="minorHAnsi" w:hAnsiTheme="minorHAnsi" w:cstheme="minorHAnsi"/>
          <w:bCs/>
          <w:sz w:val="22"/>
          <w:szCs w:val="22"/>
        </w:rPr>
        <w:t xml:space="preserve"> Company' means a company as defined in the </w:t>
      </w:r>
      <w:hyperlink r:id="rId40" w:history="1">
        <w:r w:rsidRPr="00532FAA">
          <w:rPr>
            <w:rStyle w:val="Hyperlink"/>
            <w:rFonts w:asciiTheme="minorHAnsi" w:hAnsiTheme="minorHAnsi" w:cstheme="minorHAnsi"/>
            <w:bCs/>
            <w:color w:val="auto"/>
            <w:sz w:val="22"/>
            <w:szCs w:val="22"/>
            <w:u w:val="none"/>
          </w:rPr>
          <w:t>Companies Act, 2013</w:t>
        </w:r>
      </w:hyperlink>
      <w:r w:rsidRPr="00532FAA">
        <w:rPr>
          <w:rFonts w:asciiTheme="minorHAnsi" w:hAnsiTheme="minorHAnsi" w:cstheme="minorHAnsi"/>
          <w:bCs/>
          <w:sz w:val="22"/>
          <w:szCs w:val="22"/>
        </w:rPr>
        <w:t> which is incorporated in India, or a body corporate established or constituted by or under any Central or State Act;</w:t>
      </w:r>
    </w:p>
    <w:p w14:paraId="61F43DFF" w14:textId="11A4ABF6" w:rsidR="00CE6AD3" w:rsidRPr="00C117C0" w:rsidRDefault="00CE6AD3" w:rsidP="00C117C0">
      <w:pPr>
        <w:pStyle w:val="NormalWeb"/>
        <w:spacing w:line="276" w:lineRule="auto"/>
        <w:jc w:val="both"/>
        <w:rPr>
          <w:rFonts w:asciiTheme="minorHAnsi" w:hAnsiTheme="minorHAnsi" w:cstheme="minorHAnsi"/>
          <w:bCs/>
          <w:sz w:val="22"/>
          <w:szCs w:val="22"/>
        </w:rPr>
      </w:pPr>
      <w:r w:rsidRPr="00C117C0">
        <w:rPr>
          <w:rFonts w:asciiTheme="minorHAnsi" w:hAnsiTheme="minorHAnsi" w:cstheme="minorHAnsi"/>
          <w:bCs/>
          <w:sz w:val="22"/>
          <w:szCs w:val="22"/>
        </w:rPr>
        <w:t>1.5 A new</w:t>
      </w:r>
      <w:r w:rsidRPr="00CE6AD3">
        <w:rPr>
          <w:rFonts w:asciiTheme="minorHAnsi" w:hAnsiTheme="minorHAnsi" w:cstheme="minorHAnsi"/>
          <w:bCs/>
          <w:sz w:val="22"/>
          <w:szCs w:val="22"/>
        </w:rPr>
        <w:t xml:space="preserve"> </w:t>
      </w:r>
      <w:r w:rsidRPr="00C117C0">
        <w:rPr>
          <w:rFonts w:asciiTheme="minorHAnsi" w:hAnsiTheme="minorHAnsi" w:cstheme="minorHAnsi"/>
          <w:bCs/>
          <w:sz w:val="22"/>
          <w:szCs w:val="22"/>
        </w:rPr>
        <w:t>Para 2.1.47A</w:t>
      </w:r>
      <w:r w:rsidRPr="00CE6AD3">
        <w:rPr>
          <w:rFonts w:asciiTheme="minorHAnsi" w:hAnsiTheme="minorHAnsi" w:cstheme="minorHAnsi"/>
          <w:bCs/>
          <w:sz w:val="22"/>
          <w:szCs w:val="22"/>
        </w:rPr>
        <w:t xml:space="preserve"> </w:t>
      </w:r>
      <w:r w:rsidRPr="00C117C0">
        <w:rPr>
          <w:rFonts w:asciiTheme="minorHAnsi" w:hAnsiTheme="minorHAnsi" w:cstheme="minorHAnsi"/>
          <w:bCs/>
          <w:sz w:val="22"/>
          <w:szCs w:val="22"/>
        </w:rPr>
        <w:t>is inserted under the FDI Policy as follows:</w:t>
      </w:r>
    </w:p>
    <w:p w14:paraId="0C6BB102" w14:textId="70BCC92B" w:rsidR="00CE6AD3" w:rsidRDefault="00CE6AD3" w:rsidP="00CE6AD3">
      <w:pPr>
        <w:pStyle w:val="NormalWeb"/>
        <w:jc w:val="both"/>
        <w:rPr>
          <w:rFonts w:asciiTheme="minorHAnsi" w:hAnsiTheme="minorHAnsi" w:cstheme="minorHAnsi"/>
          <w:bCs/>
          <w:sz w:val="22"/>
          <w:szCs w:val="22"/>
        </w:rPr>
      </w:pPr>
      <w:r>
        <w:rPr>
          <w:rFonts w:asciiTheme="minorHAnsi" w:hAnsiTheme="minorHAnsi" w:cstheme="minorHAnsi"/>
          <w:bCs/>
          <w:sz w:val="22"/>
          <w:szCs w:val="22"/>
        </w:rPr>
        <w:t>‘</w:t>
      </w:r>
      <w:r w:rsidRPr="00C117C0">
        <w:rPr>
          <w:rFonts w:asciiTheme="minorHAnsi" w:hAnsiTheme="minorHAnsi" w:cstheme="minorHAnsi"/>
          <w:bCs/>
          <w:sz w:val="22"/>
          <w:szCs w:val="22"/>
        </w:rPr>
        <w:t>Share Based Employee Benefits</w:t>
      </w:r>
      <w:r>
        <w:rPr>
          <w:rFonts w:asciiTheme="minorHAnsi" w:hAnsiTheme="minorHAnsi" w:cstheme="minorHAnsi"/>
          <w:bCs/>
          <w:sz w:val="22"/>
          <w:szCs w:val="22"/>
        </w:rPr>
        <w:t>’</w:t>
      </w:r>
      <w:r w:rsidRPr="00CE6AD3">
        <w:rPr>
          <w:rFonts w:asciiTheme="minorHAnsi" w:hAnsiTheme="minorHAnsi" w:cstheme="minorHAnsi"/>
          <w:bCs/>
          <w:sz w:val="22"/>
          <w:szCs w:val="22"/>
        </w:rPr>
        <w:t xml:space="preserve"> </w:t>
      </w:r>
      <w:r w:rsidRPr="00C117C0">
        <w:rPr>
          <w:rFonts w:asciiTheme="minorHAnsi" w:hAnsiTheme="minorHAnsi" w:cstheme="minorHAnsi"/>
          <w:bCs/>
          <w:sz w:val="22"/>
          <w:szCs w:val="22"/>
        </w:rPr>
        <w:t>means any issue of capital instruments to employees, pursuant</w:t>
      </w:r>
      <w:r w:rsidRPr="00CE6AD3">
        <w:rPr>
          <w:rFonts w:asciiTheme="minorHAnsi" w:hAnsiTheme="minorHAnsi" w:cstheme="minorHAnsi"/>
          <w:bCs/>
          <w:sz w:val="22"/>
          <w:szCs w:val="22"/>
        </w:rPr>
        <w:t xml:space="preserve"> </w:t>
      </w:r>
      <w:r w:rsidRPr="00C117C0">
        <w:rPr>
          <w:rFonts w:asciiTheme="minorHAnsi" w:hAnsiTheme="minorHAnsi" w:cstheme="minorHAnsi"/>
          <w:bCs/>
          <w:sz w:val="22"/>
          <w:szCs w:val="22"/>
        </w:rPr>
        <w:t>to share based employee benefits schemes formulated by a body corporate established or</w:t>
      </w:r>
      <w:r w:rsidRPr="00CE6AD3">
        <w:rPr>
          <w:rFonts w:asciiTheme="minorHAnsi" w:hAnsiTheme="minorHAnsi" w:cstheme="minorHAnsi"/>
          <w:bCs/>
          <w:sz w:val="22"/>
          <w:szCs w:val="22"/>
        </w:rPr>
        <w:t xml:space="preserve"> </w:t>
      </w:r>
      <w:r w:rsidRPr="00C117C0">
        <w:rPr>
          <w:rFonts w:asciiTheme="minorHAnsi" w:hAnsiTheme="minorHAnsi" w:cstheme="minorHAnsi"/>
          <w:bCs/>
          <w:sz w:val="22"/>
          <w:szCs w:val="22"/>
        </w:rPr>
        <w:t xml:space="preserve">constituted by or under any Central or State Act. </w:t>
      </w:r>
    </w:p>
    <w:p w14:paraId="4EAB7CBB" w14:textId="26C022FE" w:rsidR="00CE6AD3" w:rsidRPr="00CE6AD3" w:rsidRDefault="00CE6AD3" w:rsidP="00CE6AD3">
      <w:pPr>
        <w:pStyle w:val="NormalWeb"/>
        <w:jc w:val="both"/>
        <w:rPr>
          <w:rFonts w:asciiTheme="minorHAnsi" w:hAnsiTheme="minorHAnsi" w:cstheme="minorHAnsi"/>
          <w:bCs/>
          <w:sz w:val="22"/>
          <w:szCs w:val="22"/>
        </w:rPr>
      </w:pPr>
      <w:r w:rsidRPr="00CE6AD3">
        <w:rPr>
          <w:rFonts w:asciiTheme="minorHAnsi" w:hAnsiTheme="minorHAnsi" w:cstheme="minorHAnsi"/>
          <w:bCs/>
          <w:sz w:val="22"/>
          <w:szCs w:val="22"/>
        </w:rPr>
        <w:t>1.6 A new</w:t>
      </w:r>
      <w:r>
        <w:rPr>
          <w:rFonts w:asciiTheme="minorHAnsi" w:hAnsiTheme="minorHAnsi" w:cstheme="minorHAnsi"/>
          <w:bCs/>
          <w:sz w:val="22"/>
          <w:szCs w:val="22"/>
        </w:rPr>
        <w:t xml:space="preserve"> </w:t>
      </w:r>
      <w:r w:rsidRPr="00CE6AD3">
        <w:rPr>
          <w:rFonts w:asciiTheme="minorHAnsi" w:hAnsiTheme="minorHAnsi" w:cstheme="minorHAnsi"/>
          <w:bCs/>
          <w:sz w:val="22"/>
          <w:szCs w:val="22"/>
        </w:rPr>
        <w:t>Para 2.1.48A</w:t>
      </w:r>
      <w:r>
        <w:rPr>
          <w:rFonts w:asciiTheme="minorHAnsi" w:hAnsiTheme="minorHAnsi" w:cstheme="minorHAnsi"/>
          <w:bCs/>
          <w:sz w:val="22"/>
          <w:szCs w:val="22"/>
        </w:rPr>
        <w:t xml:space="preserve"> </w:t>
      </w:r>
      <w:r w:rsidRPr="00CE6AD3">
        <w:rPr>
          <w:rFonts w:asciiTheme="minorHAnsi" w:hAnsiTheme="minorHAnsi" w:cstheme="minorHAnsi"/>
          <w:bCs/>
          <w:sz w:val="22"/>
          <w:szCs w:val="22"/>
        </w:rPr>
        <w:t>is inserted under the FDI Policy as follows:</w:t>
      </w:r>
    </w:p>
    <w:p w14:paraId="40B74B4D" w14:textId="476D3F8D" w:rsidR="00CE6AD3" w:rsidRDefault="00CE6AD3" w:rsidP="00CE6AD3">
      <w:pPr>
        <w:pStyle w:val="NormalWeb"/>
        <w:jc w:val="both"/>
        <w:rPr>
          <w:rFonts w:asciiTheme="minorHAnsi" w:hAnsiTheme="minorHAnsi" w:cstheme="minorHAnsi"/>
          <w:bCs/>
          <w:sz w:val="22"/>
          <w:szCs w:val="22"/>
        </w:rPr>
      </w:pPr>
      <w:r>
        <w:rPr>
          <w:rFonts w:asciiTheme="minorHAnsi" w:hAnsiTheme="minorHAnsi" w:cstheme="minorHAnsi"/>
          <w:bCs/>
          <w:sz w:val="22"/>
          <w:szCs w:val="22"/>
        </w:rPr>
        <w:t>‘</w:t>
      </w:r>
      <w:r w:rsidRPr="00CE6AD3">
        <w:rPr>
          <w:rFonts w:asciiTheme="minorHAnsi" w:hAnsiTheme="minorHAnsi" w:cstheme="minorHAnsi"/>
          <w:bCs/>
          <w:sz w:val="22"/>
          <w:szCs w:val="22"/>
        </w:rPr>
        <w:t>Subsidiary' shall have the same meaning as is assigned to it under the</w:t>
      </w:r>
      <w:r>
        <w:rPr>
          <w:rFonts w:asciiTheme="minorHAnsi" w:hAnsiTheme="minorHAnsi" w:cstheme="minorHAnsi"/>
          <w:bCs/>
          <w:sz w:val="22"/>
          <w:szCs w:val="22"/>
        </w:rPr>
        <w:t xml:space="preserve"> </w:t>
      </w:r>
      <w:r w:rsidRPr="00CE6AD3">
        <w:rPr>
          <w:rFonts w:asciiTheme="minorHAnsi" w:hAnsiTheme="minorHAnsi" w:cstheme="minorHAnsi"/>
          <w:bCs/>
          <w:sz w:val="22"/>
          <w:szCs w:val="22"/>
        </w:rPr>
        <w:t>Companies Act, 2013, as</w:t>
      </w:r>
      <w:r>
        <w:rPr>
          <w:rFonts w:asciiTheme="minorHAnsi" w:hAnsiTheme="minorHAnsi" w:cstheme="minorHAnsi"/>
          <w:bCs/>
          <w:sz w:val="22"/>
          <w:szCs w:val="22"/>
        </w:rPr>
        <w:t xml:space="preserve"> </w:t>
      </w:r>
      <w:r w:rsidRPr="00CE6AD3">
        <w:rPr>
          <w:rFonts w:asciiTheme="minorHAnsi" w:hAnsiTheme="minorHAnsi" w:cstheme="minorHAnsi"/>
          <w:bCs/>
          <w:sz w:val="22"/>
          <w:szCs w:val="22"/>
        </w:rPr>
        <w:t>amended from time to time.</w:t>
      </w:r>
    </w:p>
    <w:p w14:paraId="452BE82D" w14:textId="040C0EEB" w:rsidR="00CE6AD3" w:rsidRPr="00C117C0" w:rsidRDefault="00CE6AD3" w:rsidP="00C117C0">
      <w:pPr>
        <w:pStyle w:val="NormalWeb"/>
        <w:jc w:val="both"/>
        <w:rPr>
          <w:rFonts w:asciiTheme="minorHAnsi" w:hAnsiTheme="minorHAnsi" w:cstheme="minorHAnsi"/>
          <w:bCs/>
          <w:sz w:val="22"/>
          <w:szCs w:val="22"/>
        </w:rPr>
      </w:pPr>
      <w:r>
        <w:rPr>
          <w:rFonts w:asciiTheme="minorHAnsi" w:hAnsiTheme="minorHAnsi" w:cstheme="minorHAnsi"/>
          <w:bCs/>
          <w:sz w:val="22"/>
          <w:szCs w:val="22"/>
        </w:rPr>
        <w:t xml:space="preserve">1.7 </w:t>
      </w:r>
      <w:r w:rsidRPr="00CE6AD3">
        <w:rPr>
          <w:rFonts w:asciiTheme="minorHAnsi" w:hAnsiTheme="minorHAnsi" w:cstheme="minorHAnsi"/>
          <w:bCs/>
          <w:sz w:val="22"/>
          <w:szCs w:val="22"/>
        </w:rPr>
        <w:t>The existing provisions under Para 3.4.2 (vi) and Para 3.4.2 (vii) of the FDI Policy are re-numbered</w:t>
      </w:r>
      <w:r>
        <w:rPr>
          <w:rFonts w:asciiTheme="minorHAnsi" w:hAnsiTheme="minorHAnsi" w:cstheme="minorHAnsi"/>
          <w:bCs/>
          <w:sz w:val="22"/>
          <w:szCs w:val="22"/>
        </w:rPr>
        <w:t xml:space="preserve"> </w:t>
      </w:r>
      <w:r w:rsidRPr="00CE6AD3">
        <w:rPr>
          <w:rFonts w:asciiTheme="minorHAnsi" w:hAnsiTheme="minorHAnsi" w:cstheme="minorHAnsi"/>
          <w:bCs/>
          <w:sz w:val="22"/>
          <w:szCs w:val="22"/>
        </w:rPr>
        <w:t>as new Para 3.4.3 and new Para 3.4.4.</w:t>
      </w:r>
    </w:p>
    <w:p w14:paraId="164C92F1" w14:textId="3B68DB71" w:rsidR="0093278C" w:rsidRPr="005E6733" w:rsidRDefault="0093278C" w:rsidP="00CE6AD3">
      <w:pPr>
        <w:pStyle w:val="NormalWeb"/>
        <w:shd w:val="clear" w:color="auto" w:fill="FFFFFF"/>
        <w:spacing w:line="360" w:lineRule="auto"/>
        <w:jc w:val="both"/>
        <w:rPr>
          <w:rFonts w:asciiTheme="minorHAnsi" w:hAnsiTheme="minorHAnsi" w:cstheme="minorHAnsi"/>
          <w:b/>
          <w:bCs/>
          <w:sz w:val="22"/>
          <w:szCs w:val="22"/>
        </w:rPr>
      </w:pPr>
      <w:r w:rsidRPr="005E6733">
        <w:rPr>
          <w:rFonts w:asciiTheme="minorHAnsi" w:hAnsiTheme="minorHAnsi" w:cstheme="minorHAnsi"/>
          <w:b/>
          <w:bCs/>
          <w:sz w:val="22"/>
          <w:szCs w:val="22"/>
        </w:rPr>
        <w:t>[For further details please refer the</w:t>
      </w:r>
      <w:r w:rsidR="001E5CB7">
        <w:rPr>
          <w:rFonts w:asciiTheme="minorHAnsi" w:hAnsiTheme="minorHAnsi" w:cstheme="minorHAnsi"/>
          <w:b/>
          <w:bCs/>
          <w:sz w:val="22"/>
          <w:szCs w:val="22"/>
        </w:rPr>
        <w:t xml:space="preserve"> Guidelines</w:t>
      </w:r>
      <w:r w:rsidRPr="005E6733">
        <w:rPr>
          <w:rFonts w:asciiTheme="minorHAnsi" w:hAnsiTheme="minorHAnsi" w:cstheme="minorHAnsi"/>
          <w:b/>
          <w:bCs/>
          <w:sz w:val="22"/>
          <w:szCs w:val="22"/>
        </w:rPr>
        <w:t>]</w:t>
      </w:r>
    </w:p>
    <w:p w14:paraId="0F4AAC3C" w14:textId="5A53C72C" w:rsidR="0093278C" w:rsidRDefault="0093278C" w:rsidP="002F5448">
      <w:pPr>
        <w:pStyle w:val="NormalWeb"/>
        <w:spacing w:after="150"/>
        <w:jc w:val="both"/>
        <w:rPr>
          <w:rFonts w:asciiTheme="minorHAnsi" w:hAnsiTheme="minorHAnsi" w:cstheme="minorHAnsi"/>
          <w:b/>
          <w:bCs/>
        </w:rPr>
        <w:sectPr w:rsidR="0093278C" w:rsidSect="00421927">
          <w:headerReference w:type="default" r:id="rId41"/>
          <w:footerReference w:type="default" r:id="rId42"/>
          <w:headerReference w:type="first" r:id="rId4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F2FA081" w:rsidR="007A6471" w:rsidRPr="008B67BF" w:rsidRDefault="00333A50"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74218607" w:rsidR="00EB5F8A" w:rsidRPr="009C317D" w:rsidRDefault="00552D1F" w:rsidP="00C117C0">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552D1F">
        <w:rPr>
          <w:rFonts w:asciiTheme="minorHAnsi" w:hAnsiTheme="minorHAnsi" w:cstheme="minorHAnsi"/>
          <w:b/>
          <w:bCs/>
          <w:caps/>
          <w:color w:val="000000" w:themeColor="text1"/>
          <w:lang w:val="en-IN"/>
        </w:rPr>
        <w:t>Fixation of Traiff Values - Edible Oils, Brass Scrap, Poppy Seeds, Areca Nut, Gold and Sliver etc, (including Crude Palm Oil, RBD Palm Oil, Others)</w:t>
      </w:r>
    </w:p>
    <w:p w14:paraId="0923C3D9" w14:textId="0373230F" w:rsidR="00377333" w:rsidRPr="00333A50" w:rsidRDefault="00B96B14"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640B5D">
        <w:rPr>
          <w:rFonts w:asciiTheme="minorHAnsi" w:hAnsiTheme="minorHAnsi" w:cstheme="minorHAnsi"/>
          <w:b/>
          <w:bCs/>
          <w:sz w:val="22"/>
          <w:szCs w:val="22"/>
          <w:shd w:val="clear" w:color="auto" w:fill="FFFFFF"/>
        </w:rPr>
        <w:t>OUR COMMENTS</w:t>
      </w:r>
      <w:r w:rsidRPr="00774EE9">
        <w:rPr>
          <w:rFonts w:asciiTheme="minorHAnsi" w:hAnsiTheme="minorHAnsi" w:cstheme="minorHAnsi"/>
          <w:sz w:val="22"/>
          <w:szCs w:val="22"/>
          <w:shd w:val="clear" w:color="auto" w:fill="FFFFFF"/>
        </w:rPr>
        <w:t>:</w:t>
      </w:r>
      <w:r w:rsidR="00E93BB1">
        <w:rPr>
          <w:rFonts w:asciiTheme="minorHAnsi" w:hAnsiTheme="minorHAnsi" w:cstheme="minorHAnsi"/>
          <w:sz w:val="22"/>
          <w:szCs w:val="22"/>
          <w:shd w:val="clear" w:color="auto" w:fill="FFFFFF"/>
        </w:rPr>
        <w:t xml:space="preserve"> </w:t>
      </w:r>
      <w:r w:rsidR="00377333" w:rsidRPr="00377333">
        <w:rPr>
          <w:rFonts w:asciiTheme="minorHAnsi" w:hAnsiTheme="minorHAnsi" w:cstheme="minorHAnsi"/>
          <w:sz w:val="22"/>
          <w:szCs w:val="22"/>
          <w:shd w:val="clear" w:color="auto" w:fill="FFFFFF"/>
        </w:rPr>
        <w:t> </w:t>
      </w:r>
      <w:r w:rsidR="00333A50" w:rsidRPr="00333A50">
        <w:rPr>
          <w:rFonts w:asciiTheme="minorHAnsi" w:hAnsiTheme="minorHAnsi" w:cstheme="minorHAnsi"/>
          <w:sz w:val="22"/>
          <w:szCs w:val="22"/>
          <w:shd w:val="clear" w:color="auto" w:fill="FFFFFF"/>
        </w:rPr>
        <w:t>T</w:t>
      </w:r>
      <w:r w:rsidR="00377333" w:rsidRPr="00333A50">
        <w:rPr>
          <w:rFonts w:asciiTheme="minorHAnsi" w:hAnsiTheme="minorHAnsi" w:cstheme="minorHAnsi"/>
          <w:sz w:val="22"/>
          <w:szCs w:val="22"/>
          <w:shd w:val="clear" w:color="auto" w:fill="FFFFFF"/>
        </w:rPr>
        <w:t>he Central Board of Indirect Taxes &amp; Customs</w:t>
      </w:r>
      <w:r w:rsidR="00A6244B">
        <w:rPr>
          <w:rFonts w:asciiTheme="minorHAnsi" w:hAnsiTheme="minorHAnsi" w:cstheme="minorHAnsi"/>
          <w:sz w:val="22"/>
          <w:szCs w:val="22"/>
          <w:shd w:val="clear" w:color="auto" w:fill="FFFFFF"/>
        </w:rPr>
        <w:t xml:space="preserve"> vide notification </w:t>
      </w:r>
      <w:r w:rsidR="00980487">
        <w:rPr>
          <w:rFonts w:asciiTheme="minorHAnsi" w:hAnsiTheme="minorHAnsi" w:cstheme="minorHAnsi"/>
          <w:sz w:val="22"/>
          <w:szCs w:val="22"/>
          <w:shd w:val="clear" w:color="auto" w:fill="FFFFFF"/>
        </w:rPr>
        <w:t>17/2022 dated 15</w:t>
      </w:r>
      <w:r w:rsidR="00980487" w:rsidRPr="00333A50">
        <w:rPr>
          <w:rFonts w:asciiTheme="minorHAnsi" w:hAnsiTheme="minorHAnsi" w:cstheme="minorHAnsi"/>
          <w:sz w:val="22"/>
          <w:szCs w:val="22"/>
          <w:shd w:val="clear" w:color="auto" w:fill="FFFFFF"/>
          <w:vertAlign w:val="superscript"/>
        </w:rPr>
        <w:t>th</w:t>
      </w:r>
      <w:r w:rsidR="00980487">
        <w:rPr>
          <w:rFonts w:asciiTheme="minorHAnsi" w:hAnsiTheme="minorHAnsi" w:cstheme="minorHAnsi"/>
          <w:sz w:val="22"/>
          <w:szCs w:val="22"/>
          <w:shd w:val="clear" w:color="auto" w:fill="FFFFFF"/>
        </w:rPr>
        <w:t xml:space="preserve"> March 2022</w:t>
      </w:r>
      <w:r w:rsidR="00A6244B">
        <w:rPr>
          <w:rFonts w:asciiTheme="minorHAnsi" w:hAnsiTheme="minorHAnsi" w:cstheme="minorHAnsi"/>
          <w:sz w:val="22"/>
          <w:szCs w:val="22"/>
          <w:shd w:val="clear" w:color="auto" w:fill="FFFFFF"/>
        </w:rPr>
        <w:t xml:space="preserve">  </w:t>
      </w:r>
      <w:r w:rsidR="00377333" w:rsidRPr="00333A50">
        <w:rPr>
          <w:rFonts w:asciiTheme="minorHAnsi" w:hAnsiTheme="minorHAnsi" w:cstheme="minorHAnsi"/>
          <w:sz w:val="22"/>
          <w:szCs w:val="22"/>
          <w:shd w:val="clear" w:color="auto" w:fill="FFFFFF"/>
        </w:rPr>
        <w:t xml:space="preserve"> made </w:t>
      </w:r>
      <w:r w:rsidR="00333A50" w:rsidRPr="00333A50">
        <w:rPr>
          <w:rFonts w:asciiTheme="minorHAnsi" w:hAnsiTheme="minorHAnsi" w:cstheme="minorHAnsi"/>
          <w:sz w:val="22"/>
          <w:szCs w:val="22"/>
          <w:shd w:val="clear" w:color="auto" w:fill="FFFFFF"/>
        </w:rPr>
        <w:t>amendments</w:t>
      </w:r>
      <w:r w:rsidR="00333A50">
        <w:rPr>
          <w:rFonts w:asciiTheme="minorHAnsi" w:hAnsiTheme="minorHAnsi" w:cstheme="minorHAnsi"/>
          <w:sz w:val="22"/>
          <w:szCs w:val="22"/>
          <w:shd w:val="clear" w:color="auto" w:fill="FFFFFF"/>
        </w:rPr>
        <w:t xml:space="preserve"> vide,</w:t>
      </w:r>
      <w:r w:rsidR="00333A50" w:rsidRPr="00333A50">
        <w:rPr>
          <w:rFonts w:asciiTheme="minorHAnsi" w:hAnsiTheme="minorHAnsi" w:cstheme="minorHAnsi"/>
          <w:sz w:val="22"/>
          <w:szCs w:val="22"/>
          <w:shd w:val="clear" w:color="auto" w:fill="FFFFFF"/>
        </w:rPr>
        <w:t xml:space="preserve"> </w:t>
      </w:r>
      <w:proofErr w:type="gramStart"/>
      <w:r w:rsidR="00333A50" w:rsidRPr="00333A50">
        <w:rPr>
          <w:rFonts w:asciiTheme="minorHAnsi" w:hAnsiTheme="minorHAnsi" w:cstheme="minorHAnsi"/>
          <w:sz w:val="22"/>
          <w:szCs w:val="22"/>
          <w:shd w:val="clear" w:color="auto" w:fill="FFFFFF"/>
        </w:rPr>
        <w:t>namely</w:t>
      </w:r>
      <w:r w:rsidR="00377333" w:rsidRPr="00333A50">
        <w:rPr>
          <w:rFonts w:asciiTheme="minorHAnsi" w:hAnsiTheme="minorHAnsi" w:cstheme="minorHAnsi"/>
          <w:sz w:val="22"/>
          <w:szCs w:val="22"/>
          <w:shd w:val="clear" w:color="auto" w:fill="FFFFFF"/>
        </w:rPr>
        <w:t>:-</w:t>
      </w:r>
      <w:proofErr w:type="gramEnd"/>
    </w:p>
    <w:p w14:paraId="445F3EA9" w14:textId="5145D0B2" w:rsidR="00377333" w:rsidRPr="00333A50" w:rsidRDefault="00377333" w:rsidP="00F35679">
      <w:pPr>
        <w:pStyle w:val="NormalWeb"/>
        <w:spacing w:line="276" w:lineRule="auto"/>
        <w:jc w:val="center"/>
        <w:rPr>
          <w:rFonts w:asciiTheme="minorHAnsi" w:hAnsiTheme="minorHAnsi" w:cstheme="minorHAnsi"/>
          <w:b/>
          <w:bCs/>
          <w:sz w:val="22"/>
          <w:szCs w:val="22"/>
          <w:shd w:val="clear" w:color="auto" w:fill="FFFFFF"/>
        </w:rPr>
      </w:pPr>
      <w:r w:rsidRPr="00377333">
        <w:rPr>
          <w:rFonts w:asciiTheme="minorHAnsi" w:hAnsiTheme="minorHAnsi" w:cstheme="minorHAnsi"/>
          <w:b/>
          <w:bCs/>
          <w:sz w:val="22"/>
          <w:szCs w:val="22"/>
          <w:shd w:val="clear" w:color="auto" w:fill="FFFFFF"/>
        </w:rPr>
        <w:t>“TABLE-1</w:t>
      </w:r>
    </w:p>
    <w:tbl>
      <w:tblPr>
        <w:tblStyle w:val="TableGrid"/>
        <w:tblW w:w="5671" w:type="dxa"/>
        <w:tblInd w:w="-147" w:type="dxa"/>
        <w:tblLook w:val="04A0" w:firstRow="1" w:lastRow="0" w:firstColumn="1" w:lastColumn="0" w:noHBand="0" w:noVBand="1"/>
      </w:tblPr>
      <w:tblGrid>
        <w:gridCol w:w="573"/>
        <w:gridCol w:w="1570"/>
        <w:gridCol w:w="1538"/>
        <w:gridCol w:w="1990"/>
      </w:tblGrid>
      <w:tr w:rsidR="00BB327C" w:rsidRPr="00333A50" w14:paraId="436C4AE3" w14:textId="77777777" w:rsidTr="00333A50">
        <w:trPr>
          <w:trHeight w:val="1037"/>
        </w:trPr>
        <w:tc>
          <w:tcPr>
            <w:tcW w:w="573" w:type="dxa"/>
          </w:tcPr>
          <w:p w14:paraId="297C6195" w14:textId="54B1AA5C"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Sl. No.</w:t>
            </w:r>
          </w:p>
        </w:tc>
        <w:tc>
          <w:tcPr>
            <w:tcW w:w="1570" w:type="dxa"/>
          </w:tcPr>
          <w:p w14:paraId="23B84DD3" w14:textId="3EE16D34"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Chapter/ heading/ sub-heading/tariff item</w:t>
            </w:r>
          </w:p>
        </w:tc>
        <w:tc>
          <w:tcPr>
            <w:tcW w:w="1538" w:type="dxa"/>
          </w:tcPr>
          <w:p w14:paraId="708E5012" w14:textId="69273F4D"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Description of goods</w:t>
            </w:r>
          </w:p>
        </w:tc>
        <w:tc>
          <w:tcPr>
            <w:tcW w:w="1990" w:type="dxa"/>
          </w:tcPr>
          <w:p w14:paraId="21B45DE4" w14:textId="77777777" w:rsidR="00BB327C" w:rsidRPr="00377333" w:rsidRDefault="00BB327C" w:rsidP="00BB327C">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Tariff value</w:t>
            </w:r>
          </w:p>
          <w:p w14:paraId="1EA2BA21" w14:textId="1F82C367"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(US $Per Metric Tonne)</w:t>
            </w:r>
          </w:p>
        </w:tc>
      </w:tr>
      <w:tr w:rsidR="00BB327C" w:rsidRPr="00333A50" w14:paraId="7F8BC1F0" w14:textId="77777777" w:rsidTr="00333A50">
        <w:trPr>
          <w:trHeight w:val="629"/>
        </w:trPr>
        <w:tc>
          <w:tcPr>
            <w:tcW w:w="573" w:type="dxa"/>
          </w:tcPr>
          <w:p w14:paraId="2C581AD6" w14:textId="0F010201"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w:t>
            </w:r>
          </w:p>
        </w:tc>
        <w:tc>
          <w:tcPr>
            <w:tcW w:w="1570" w:type="dxa"/>
          </w:tcPr>
          <w:p w14:paraId="4B0A532A" w14:textId="34B6A2A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1511 10 00</w:t>
            </w:r>
          </w:p>
        </w:tc>
        <w:tc>
          <w:tcPr>
            <w:tcW w:w="1538" w:type="dxa"/>
          </w:tcPr>
          <w:p w14:paraId="662560C6" w14:textId="5D8BAE2C"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Crude Palm Oil</w:t>
            </w:r>
          </w:p>
        </w:tc>
        <w:tc>
          <w:tcPr>
            <w:tcW w:w="1990" w:type="dxa"/>
          </w:tcPr>
          <w:p w14:paraId="42FE890F" w14:textId="52A5BA54"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1449</w:t>
            </w:r>
          </w:p>
        </w:tc>
      </w:tr>
      <w:tr w:rsidR="00BB327C" w:rsidRPr="00333A50" w14:paraId="49FE131C" w14:textId="77777777" w:rsidTr="00333A50">
        <w:trPr>
          <w:trHeight w:val="629"/>
        </w:trPr>
        <w:tc>
          <w:tcPr>
            <w:tcW w:w="573" w:type="dxa"/>
          </w:tcPr>
          <w:p w14:paraId="6B3CB80D" w14:textId="3AEA1B62"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2</w:t>
            </w:r>
          </w:p>
        </w:tc>
        <w:tc>
          <w:tcPr>
            <w:tcW w:w="1570" w:type="dxa"/>
          </w:tcPr>
          <w:p w14:paraId="136DAFF4" w14:textId="42294389"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1511 90 10</w:t>
            </w:r>
          </w:p>
        </w:tc>
        <w:tc>
          <w:tcPr>
            <w:tcW w:w="1538" w:type="dxa"/>
          </w:tcPr>
          <w:p w14:paraId="7203E666" w14:textId="4410BCC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RBD Palm Oil</w:t>
            </w:r>
          </w:p>
        </w:tc>
        <w:tc>
          <w:tcPr>
            <w:tcW w:w="1990" w:type="dxa"/>
          </w:tcPr>
          <w:p w14:paraId="1AAAD131" w14:textId="5128031A"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1496</w:t>
            </w:r>
          </w:p>
        </w:tc>
      </w:tr>
      <w:tr w:rsidR="00BB327C" w:rsidRPr="00333A50" w14:paraId="36EA1188" w14:textId="77777777" w:rsidTr="00333A50">
        <w:trPr>
          <w:trHeight w:val="618"/>
        </w:trPr>
        <w:tc>
          <w:tcPr>
            <w:tcW w:w="573" w:type="dxa"/>
          </w:tcPr>
          <w:p w14:paraId="66DF884A" w14:textId="070BD53D"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3</w:t>
            </w:r>
          </w:p>
        </w:tc>
        <w:tc>
          <w:tcPr>
            <w:tcW w:w="1570" w:type="dxa"/>
          </w:tcPr>
          <w:p w14:paraId="287C7340" w14:textId="6C004200"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1511 90 90</w:t>
            </w:r>
          </w:p>
        </w:tc>
        <w:tc>
          <w:tcPr>
            <w:tcW w:w="1538" w:type="dxa"/>
          </w:tcPr>
          <w:p w14:paraId="495E1519" w14:textId="60F0E6B8"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Others – Palm Oil</w:t>
            </w:r>
          </w:p>
        </w:tc>
        <w:tc>
          <w:tcPr>
            <w:tcW w:w="1990" w:type="dxa"/>
          </w:tcPr>
          <w:p w14:paraId="395C386C" w14:textId="14D01044"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1473</w:t>
            </w:r>
          </w:p>
        </w:tc>
      </w:tr>
      <w:tr w:rsidR="00BB327C" w:rsidRPr="00333A50" w14:paraId="5B703880" w14:textId="77777777" w:rsidTr="00333A50">
        <w:trPr>
          <w:trHeight w:val="629"/>
        </w:trPr>
        <w:tc>
          <w:tcPr>
            <w:tcW w:w="573" w:type="dxa"/>
          </w:tcPr>
          <w:p w14:paraId="6B8EAD0A" w14:textId="7B34650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4</w:t>
            </w:r>
          </w:p>
        </w:tc>
        <w:tc>
          <w:tcPr>
            <w:tcW w:w="1570" w:type="dxa"/>
          </w:tcPr>
          <w:p w14:paraId="5B915B62" w14:textId="2415D322"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1511 10 00</w:t>
            </w:r>
          </w:p>
        </w:tc>
        <w:tc>
          <w:tcPr>
            <w:tcW w:w="1538" w:type="dxa"/>
          </w:tcPr>
          <w:p w14:paraId="726B9717" w14:textId="74517B5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 xml:space="preserve">Crude </w:t>
            </w:r>
            <w:proofErr w:type="spellStart"/>
            <w:r w:rsidRPr="00377333">
              <w:rPr>
                <w:rFonts w:asciiTheme="minorHAnsi" w:hAnsiTheme="minorHAnsi" w:cstheme="minorHAnsi"/>
                <w:sz w:val="22"/>
                <w:szCs w:val="22"/>
                <w:shd w:val="clear" w:color="auto" w:fill="FFFFFF"/>
              </w:rPr>
              <w:t>Palmolein</w:t>
            </w:r>
            <w:proofErr w:type="spellEnd"/>
          </w:p>
        </w:tc>
        <w:tc>
          <w:tcPr>
            <w:tcW w:w="1990" w:type="dxa"/>
          </w:tcPr>
          <w:p w14:paraId="24903B0D" w14:textId="74F6B1F1"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1502</w:t>
            </w:r>
          </w:p>
        </w:tc>
      </w:tr>
      <w:tr w:rsidR="00BB327C" w:rsidRPr="00333A50" w14:paraId="2D27AF16" w14:textId="77777777" w:rsidTr="00333A50">
        <w:trPr>
          <w:trHeight w:val="629"/>
        </w:trPr>
        <w:tc>
          <w:tcPr>
            <w:tcW w:w="573" w:type="dxa"/>
          </w:tcPr>
          <w:p w14:paraId="6278C6EE" w14:textId="6674B96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5</w:t>
            </w:r>
          </w:p>
        </w:tc>
        <w:tc>
          <w:tcPr>
            <w:tcW w:w="1570" w:type="dxa"/>
          </w:tcPr>
          <w:p w14:paraId="4E74869B" w14:textId="26FA9405"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1511 90 20</w:t>
            </w:r>
          </w:p>
        </w:tc>
        <w:tc>
          <w:tcPr>
            <w:tcW w:w="1538" w:type="dxa"/>
          </w:tcPr>
          <w:p w14:paraId="675CC298" w14:textId="760D3C3C"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 xml:space="preserve">RBD </w:t>
            </w:r>
            <w:proofErr w:type="spellStart"/>
            <w:r w:rsidRPr="00377333">
              <w:rPr>
                <w:rFonts w:asciiTheme="minorHAnsi" w:hAnsiTheme="minorHAnsi" w:cstheme="minorHAnsi"/>
                <w:sz w:val="22"/>
                <w:szCs w:val="22"/>
                <w:shd w:val="clear" w:color="auto" w:fill="FFFFFF"/>
              </w:rPr>
              <w:t>Palmolein</w:t>
            </w:r>
            <w:proofErr w:type="spellEnd"/>
          </w:p>
        </w:tc>
        <w:tc>
          <w:tcPr>
            <w:tcW w:w="1990" w:type="dxa"/>
          </w:tcPr>
          <w:p w14:paraId="6CA23CB3" w14:textId="74CCC161"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1505</w:t>
            </w:r>
          </w:p>
        </w:tc>
      </w:tr>
      <w:tr w:rsidR="00BB327C" w:rsidRPr="00333A50" w14:paraId="61EDA517" w14:textId="77777777" w:rsidTr="00333A50">
        <w:trPr>
          <w:trHeight w:val="629"/>
        </w:trPr>
        <w:tc>
          <w:tcPr>
            <w:tcW w:w="573" w:type="dxa"/>
          </w:tcPr>
          <w:p w14:paraId="26748915" w14:textId="74E35937"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6</w:t>
            </w:r>
          </w:p>
        </w:tc>
        <w:tc>
          <w:tcPr>
            <w:tcW w:w="1570" w:type="dxa"/>
          </w:tcPr>
          <w:p w14:paraId="5FBBBBD9" w14:textId="50E28878"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1511 90 90</w:t>
            </w:r>
          </w:p>
        </w:tc>
        <w:tc>
          <w:tcPr>
            <w:tcW w:w="1538" w:type="dxa"/>
          </w:tcPr>
          <w:p w14:paraId="40227023" w14:textId="1D9A363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 xml:space="preserve">Others – </w:t>
            </w:r>
            <w:proofErr w:type="spellStart"/>
            <w:r w:rsidRPr="00377333">
              <w:rPr>
                <w:rFonts w:asciiTheme="minorHAnsi" w:hAnsiTheme="minorHAnsi" w:cstheme="minorHAnsi"/>
                <w:sz w:val="22"/>
                <w:szCs w:val="22"/>
                <w:shd w:val="clear" w:color="auto" w:fill="FFFFFF"/>
              </w:rPr>
              <w:t>Palmolein</w:t>
            </w:r>
            <w:proofErr w:type="spellEnd"/>
          </w:p>
        </w:tc>
        <w:tc>
          <w:tcPr>
            <w:tcW w:w="1990" w:type="dxa"/>
          </w:tcPr>
          <w:p w14:paraId="0434D5AC" w14:textId="401FA969"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1504</w:t>
            </w:r>
          </w:p>
        </w:tc>
      </w:tr>
      <w:tr w:rsidR="00BB327C" w:rsidRPr="00333A50" w14:paraId="1B42AB30" w14:textId="77777777" w:rsidTr="00333A50">
        <w:trPr>
          <w:trHeight w:val="629"/>
        </w:trPr>
        <w:tc>
          <w:tcPr>
            <w:tcW w:w="573" w:type="dxa"/>
          </w:tcPr>
          <w:p w14:paraId="08DD79C7" w14:textId="67AE0A48"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7</w:t>
            </w:r>
          </w:p>
        </w:tc>
        <w:tc>
          <w:tcPr>
            <w:tcW w:w="1570" w:type="dxa"/>
          </w:tcPr>
          <w:p w14:paraId="339582F0" w14:textId="1ACD4EB1"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1507 10 00</w:t>
            </w:r>
          </w:p>
        </w:tc>
        <w:tc>
          <w:tcPr>
            <w:tcW w:w="1538" w:type="dxa"/>
          </w:tcPr>
          <w:p w14:paraId="09CCFB25" w14:textId="51508A4E"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Crude Soya bean Oil</w:t>
            </w:r>
          </w:p>
        </w:tc>
        <w:tc>
          <w:tcPr>
            <w:tcW w:w="1990" w:type="dxa"/>
          </w:tcPr>
          <w:p w14:paraId="17CB78A2" w14:textId="19D6C069"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1537</w:t>
            </w:r>
          </w:p>
        </w:tc>
      </w:tr>
      <w:tr w:rsidR="00BB327C" w:rsidRPr="00333A50" w14:paraId="308214C2" w14:textId="77777777" w:rsidTr="00333A50">
        <w:trPr>
          <w:trHeight w:val="629"/>
        </w:trPr>
        <w:tc>
          <w:tcPr>
            <w:tcW w:w="573" w:type="dxa"/>
          </w:tcPr>
          <w:p w14:paraId="20ABC703" w14:textId="096310D9"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8</w:t>
            </w:r>
          </w:p>
        </w:tc>
        <w:tc>
          <w:tcPr>
            <w:tcW w:w="1570" w:type="dxa"/>
          </w:tcPr>
          <w:p w14:paraId="78FE7FF3" w14:textId="388A1B6A"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7404 00 22</w:t>
            </w:r>
          </w:p>
        </w:tc>
        <w:tc>
          <w:tcPr>
            <w:tcW w:w="1538" w:type="dxa"/>
          </w:tcPr>
          <w:p w14:paraId="567F8084" w14:textId="254A8F65"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Brass Scrap (all grades)</w:t>
            </w:r>
          </w:p>
        </w:tc>
        <w:tc>
          <w:tcPr>
            <w:tcW w:w="1990" w:type="dxa"/>
          </w:tcPr>
          <w:p w14:paraId="74722FE0" w14:textId="386BE005" w:rsidR="00BB327C" w:rsidRPr="00333A50" w:rsidRDefault="00BB327C" w:rsidP="00BB327C">
            <w:pPr>
              <w:pStyle w:val="NormalWeb"/>
              <w:spacing w:line="276" w:lineRule="auto"/>
              <w:jc w:val="center"/>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5926</w:t>
            </w:r>
          </w:p>
        </w:tc>
      </w:tr>
    </w:tbl>
    <w:p w14:paraId="130F1CFA" w14:textId="648F5F6B" w:rsidR="00377333" w:rsidRPr="00377333" w:rsidRDefault="00377333" w:rsidP="0039263B">
      <w:pPr>
        <w:pStyle w:val="NormalWeb"/>
        <w:spacing w:line="276" w:lineRule="auto"/>
        <w:jc w:val="center"/>
        <w:rPr>
          <w:rFonts w:asciiTheme="minorHAnsi" w:hAnsiTheme="minorHAnsi" w:cstheme="minorHAnsi"/>
          <w:b/>
          <w:bCs/>
          <w:sz w:val="22"/>
          <w:szCs w:val="22"/>
          <w:shd w:val="clear" w:color="auto" w:fill="FFFFFF"/>
        </w:rPr>
      </w:pPr>
      <w:r w:rsidRPr="00377333">
        <w:rPr>
          <w:rFonts w:asciiTheme="minorHAnsi" w:hAnsiTheme="minorHAnsi" w:cstheme="minorHAnsi"/>
          <w:b/>
          <w:bCs/>
          <w:sz w:val="22"/>
          <w:szCs w:val="22"/>
          <w:shd w:val="clear" w:color="auto" w:fill="FFFFFF"/>
        </w:rPr>
        <w:t>TABLE-2</w:t>
      </w:r>
    </w:p>
    <w:tbl>
      <w:tblPr>
        <w:tblW w:w="5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33"/>
        <w:gridCol w:w="995"/>
        <w:gridCol w:w="2756"/>
        <w:gridCol w:w="880"/>
      </w:tblGrid>
      <w:tr w:rsidR="00F35679" w:rsidRPr="00333A50" w14:paraId="16C38544" w14:textId="77777777" w:rsidTr="00F35679">
        <w:trPr>
          <w:jc w:val="center"/>
        </w:trPr>
        <w:tc>
          <w:tcPr>
            <w:tcW w:w="833" w:type="dxa"/>
            <w:shd w:val="clear" w:color="auto" w:fill="FFFFFF"/>
            <w:hideMark/>
          </w:tcPr>
          <w:p w14:paraId="1DFD77D3"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w:t>
            </w:r>
          </w:p>
        </w:tc>
        <w:tc>
          <w:tcPr>
            <w:tcW w:w="995" w:type="dxa"/>
            <w:shd w:val="clear" w:color="auto" w:fill="FFFFFF"/>
            <w:hideMark/>
          </w:tcPr>
          <w:p w14:paraId="1FEA930D"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71 or 98</w:t>
            </w:r>
          </w:p>
        </w:tc>
        <w:tc>
          <w:tcPr>
            <w:tcW w:w="2756" w:type="dxa"/>
            <w:shd w:val="clear" w:color="auto" w:fill="FFFFFF"/>
            <w:hideMark/>
          </w:tcPr>
          <w:p w14:paraId="05181273"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Gold, in any form, in respect of which the benefit of entries at </w:t>
            </w:r>
            <w:hyperlink r:id="rId44" w:history="1">
              <w:r w:rsidRPr="00377333">
                <w:rPr>
                  <w:rStyle w:val="Hyperlink"/>
                  <w:rFonts w:asciiTheme="minorHAnsi" w:hAnsiTheme="minorHAnsi" w:cstheme="minorHAnsi"/>
                  <w:color w:val="auto"/>
                  <w:sz w:val="22"/>
                  <w:szCs w:val="22"/>
                  <w:u w:val="none"/>
                  <w:shd w:val="clear" w:color="auto" w:fill="FFFFFF"/>
                </w:rPr>
                <w:t>serial number 356 of the Notification No. 50/2017-Customs dated 30.06.2017</w:t>
              </w:r>
            </w:hyperlink>
            <w:r w:rsidRPr="00377333">
              <w:rPr>
                <w:rFonts w:asciiTheme="minorHAnsi" w:hAnsiTheme="minorHAnsi" w:cstheme="minorHAnsi"/>
                <w:sz w:val="22"/>
                <w:szCs w:val="22"/>
                <w:shd w:val="clear" w:color="auto" w:fill="FFFFFF"/>
              </w:rPr>
              <w:t> is availed</w:t>
            </w:r>
          </w:p>
        </w:tc>
        <w:tc>
          <w:tcPr>
            <w:tcW w:w="880" w:type="dxa"/>
            <w:shd w:val="clear" w:color="auto" w:fill="FFFFFF"/>
            <w:hideMark/>
          </w:tcPr>
          <w:p w14:paraId="07886626"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629 per 10 grams</w:t>
            </w:r>
          </w:p>
        </w:tc>
      </w:tr>
      <w:tr w:rsidR="00F35679" w:rsidRPr="00333A50" w14:paraId="7BC54847" w14:textId="77777777" w:rsidTr="00F35679">
        <w:trPr>
          <w:jc w:val="center"/>
        </w:trPr>
        <w:tc>
          <w:tcPr>
            <w:tcW w:w="833" w:type="dxa"/>
            <w:shd w:val="clear" w:color="auto" w:fill="FFFFFF"/>
            <w:hideMark/>
          </w:tcPr>
          <w:p w14:paraId="65DC43CA"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2.</w:t>
            </w:r>
          </w:p>
        </w:tc>
        <w:tc>
          <w:tcPr>
            <w:tcW w:w="995" w:type="dxa"/>
            <w:shd w:val="clear" w:color="auto" w:fill="FFFFFF"/>
            <w:hideMark/>
          </w:tcPr>
          <w:p w14:paraId="4E217E2A"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71 or 98</w:t>
            </w:r>
          </w:p>
        </w:tc>
        <w:tc>
          <w:tcPr>
            <w:tcW w:w="2756" w:type="dxa"/>
            <w:shd w:val="clear" w:color="auto" w:fill="FFFFFF"/>
            <w:hideMark/>
          </w:tcPr>
          <w:p w14:paraId="75F1ECAB"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Silver, in any form, in respect of which the benefit of entries at </w:t>
            </w:r>
            <w:hyperlink r:id="rId45" w:history="1">
              <w:r w:rsidRPr="00377333">
                <w:rPr>
                  <w:rStyle w:val="Hyperlink"/>
                  <w:rFonts w:asciiTheme="minorHAnsi" w:hAnsiTheme="minorHAnsi" w:cstheme="minorHAnsi"/>
                  <w:color w:val="auto"/>
                  <w:sz w:val="22"/>
                  <w:szCs w:val="22"/>
                  <w:u w:val="none"/>
                  <w:shd w:val="clear" w:color="auto" w:fill="FFFFFF"/>
                </w:rPr>
                <w:t xml:space="preserve">serial number 357 of the </w:t>
              </w:r>
              <w:r w:rsidRPr="00377333">
                <w:rPr>
                  <w:rStyle w:val="Hyperlink"/>
                  <w:rFonts w:asciiTheme="minorHAnsi" w:hAnsiTheme="minorHAnsi" w:cstheme="minorHAnsi"/>
                  <w:color w:val="auto"/>
                  <w:sz w:val="22"/>
                  <w:szCs w:val="22"/>
                  <w:u w:val="none"/>
                  <w:shd w:val="clear" w:color="auto" w:fill="FFFFFF"/>
                </w:rPr>
                <w:t>Notification No. 50/2017-Customs dated 30.06.2017</w:t>
              </w:r>
            </w:hyperlink>
            <w:r w:rsidRPr="00377333">
              <w:rPr>
                <w:rFonts w:asciiTheme="minorHAnsi" w:hAnsiTheme="minorHAnsi" w:cstheme="minorHAnsi"/>
                <w:sz w:val="22"/>
                <w:szCs w:val="22"/>
                <w:shd w:val="clear" w:color="auto" w:fill="FFFFFF"/>
              </w:rPr>
              <w:t> is availed</w:t>
            </w:r>
          </w:p>
        </w:tc>
        <w:tc>
          <w:tcPr>
            <w:tcW w:w="880" w:type="dxa"/>
            <w:shd w:val="clear" w:color="auto" w:fill="FFFFFF"/>
            <w:hideMark/>
          </w:tcPr>
          <w:p w14:paraId="5D114D09"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825 per kilogram</w:t>
            </w:r>
          </w:p>
        </w:tc>
      </w:tr>
      <w:tr w:rsidR="00F35679" w:rsidRPr="00333A50" w14:paraId="1BA139E0" w14:textId="77777777" w:rsidTr="00F35679">
        <w:trPr>
          <w:jc w:val="center"/>
        </w:trPr>
        <w:tc>
          <w:tcPr>
            <w:tcW w:w="833" w:type="dxa"/>
            <w:shd w:val="clear" w:color="auto" w:fill="FFFFFF"/>
            <w:hideMark/>
          </w:tcPr>
          <w:p w14:paraId="5A72CF37"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3.</w:t>
            </w:r>
          </w:p>
        </w:tc>
        <w:tc>
          <w:tcPr>
            <w:tcW w:w="995" w:type="dxa"/>
            <w:shd w:val="clear" w:color="auto" w:fill="FFFFFF"/>
            <w:hideMark/>
          </w:tcPr>
          <w:p w14:paraId="018461E7"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71</w:t>
            </w:r>
          </w:p>
        </w:tc>
        <w:tc>
          <w:tcPr>
            <w:tcW w:w="2756" w:type="dxa"/>
            <w:shd w:val="clear" w:color="auto" w:fill="FFFFFF"/>
            <w:hideMark/>
          </w:tcPr>
          <w:p w14:paraId="4B55BC15" w14:textId="7CDB3FC4"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w:t>
            </w:r>
            <w:proofErr w:type="spellStart"/>
            <w:r w:rsidRPr="00377333">
              <w:rPr>
                <w:rFonts w:asciiTheme="minorHAnsi" w:hAnsiTheme="minorHAnsi" w:cstheme="minorHAnsi"/>
                <w:sz w:val="22"/>
                <w:szCs w:val="22"/>
                <w:shd w:val="clear" w:color="auto" w:fill="FFFFFF"/>
              </w:rPr>
              <w:t>i</w:t>
            </w:r>
            <w:proofErr w:type="spellEnd"/>
            <w:r w:rsidRPr="00377333">
              <w:rPr>
                <w:rFonts w:asciiTheme="minorHAnsi" w:hAnsiTheme="minorHAnsi" w:cstheme="minorHAnsi"/>
                <w:sz w:val="22"/>
                <w:szCs w:val="22"/>
                <w:shd w:val="clear" w:color="auto" w:fill="FFFFFF"/>
              </w:rPr>
              <w:t>) Silver, in any form, other than medallions and silver coins having silver content not below 99.9% or semi-manufactured forms of silver falling under sub-heading 7106 92;(ii) Medallions and silver coins having silver content not below 99.9% or semi-manufactured forms of silver falling under sub-heading 7106 92, other than imports of such goods through post, courier or baggage.</w:t>
            </w:r>
          </w:p>
          <w:p w14:paraId="331D4B9E" w14:textId="64A1B09B"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p>
        </w:tc>
        <w:tc>
          <w:tcPr>
            <w:tcW w:w="880" w:type="dxa"/>
            <w:shd w:val="clear" w:color="auto" w:fill="FFFFFF"/>
            <w:hideMark/>
          </w:tcPr>
          <w:p w14:paraId="05EACC03"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825 per kilogram</w:t>
            </w:r>
          </w:p>
        </w:tc>
      </w:tr>
      <w:tr w:rsidR="00F35679" w:rsidRPr="00333A50" w14:paraId="601B0738" w14:textId="77777777" w:rsidTr="00F35679">
        <w:trPr>
          <w:jc w:val="center"/>
        </w:trPr>
        <w:tc>
          <w:tcPr>
            <w:tcW w:w="833" w:type="dxa"/>
            <w:shd w:val="clear" w:color="auto" w:fill="FFFFFF"/>
            <w:hideMark/>
          </w:tcPr>
          <w:p w14:paraId="1336155A"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4.</w:t>
            </w:r>
          </w:p>
        </w:tc>
        <w:tc>
          <w:tcPr>
            <w:tcW w:w="995" w:type="dxa"/>
            <w:shd w:val="clear" w:color="auto" w:fill="FFFFFF"/>
            <w:hideMark/>
          </w:tcPr>
          <w:p w14:paraId="1CDDE268"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71</w:t>
            </w:r>
          </w:p>
        </w:tc>
        <w:tc>
          <w:tcPr>
            <w:tcW w:w="2756" w:type="dxa"/>
            <w:shd w:val="clear" w:color="auto" w:fill="FFFFFF"/>
            <w:hideMark/>
          </w:tcPr>
          <w:p w14:paraId="42826746" w14:textId="0C3E955A"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w:t>
            </w:r>
            <w:proofErr w:type="spellStart"/>
            <w:r w:rsidRPr="00377333">
              <w:rPr>
                <w:rFonts w:asciiTheme="minorHAnsi" w:hAnsiTheme="minorHAnsi" w:cstheme="minorHAnsi"/>
                <w:sz w:val="22"/>
                <w:szCs w:val="22"/>
                <w:shd w:val="clear" w:color="auto" w:fill="FFFFFF"/>
              </w:rPr>
              <w:t>i</w:t>
            </w:r>
            <w:proofErr w:type="spellEnd"/>
            <w:r w:rsidRPr="00377333">
              <w:rPr>
                <w:rFonts w:asciiTheme="minorHAnsi" w:hAnsiTheme="minorHAnsi" w:cstheme="minorHAnsi"/>
                <w:sz w:val="22"/>
                <w:szCs w:val="22"/>
                <w:shd w:val="clear" w:color="auto" w:fill="FFFFFF"/>
              </w:rPr>
              <w:t xml:space="preserve">) Gold   bars, other   than   tola   bars, bearing </w:t>
            </w:r>
            <w:proofErr w:type="gramStart"/>
            <w:r w:rsidRPr="00377333">
              <w:rPr>
                <w:rFonts w:asciiTheme="minorHAnsi" w:hAnsiTheme="minorHAnsi" w:cstheme="minorHAnsi"/>
                <w:sz w:val="22"/>
                <w:szCs w:val="22"/>
                <w:shd w:val="clear" w:color="auto" w:fill="FFFFFF"/>
              </w:rPr>
              <w:t>manufacturer’s</w:t>
            </w:r>
            <w:proofErr w:type="gramEnd"/>
            <w:r w:rsidRPr="00377333">
              <w:rPr>
                <w:rFonts w:asciiTheme="minorHAnsi" w:hAnsiTheme="minorHAnsi" w:cstheme="minorHAnsi"/>
                <w:sz w:val="22"/>
                <w:szCs w:val="22"/>
                <w:shd w:val="clear" w:color="auto" w:fill="FFFFFF"/>
              </w:rPr>
              <w:t xml:space="preserve"> or refiner’s engraved serial number and weight expressed in metric units;(ii) Gold coins having gold content not below 99.5% and gold findings, other than imports of such goods through post, courier or baggage.</w:t>
            </w:r>
          </w:p>
          <w:p w14:paraId="1FC0C019" w14:textId="2A010AAB"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p>
        </w:tc>
        <w:tc>
          <w:tcPr>
            <w:tcW w:w="880" w:type="dxa"/>
            <w:shd w:val="clear" w:color="auto" w:fill="FFFFFF"/>
            <w:hideMark/>
          </w:tcPr>
          <w:p w14:paraId="4096467D" w14:textId="77777777" w:rsidR="00377333" w:rsidRPr="00377333" w:rsidRDefault="00377333" w:rsidP="00377333">
            <w:pPr>
              <w:pStyle w:val="NormalWeb"/>
              <w:shd w:val="clear" w:color="auto" w:fill="FFFFFF"/>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629 per 10 grams</w:t>
            </w:r>
          </w:p>
        </w:tc>
      </w:tr>
    </w:tbl>
    <w:p w14:paraId="07F0D912" w14:textId="59B866A6" w:rsidR="00377333" w:rsidRPr="00333A50" w:rsidRDefault="00377333" w:rsidP="0039263B">
      <w:pPr>
        <w:pStyle w:val="NormalWeb"/>
        <w:spacing w:line="276" w:lineRule="auto"/>
        <w:jc w:val="center"/>
        <w:rPr>
          <w:rFonts w:asciiTheme="minorHAnsi" w:hAnsiTheme="minorHAnsi" w:cstheme="minorHAnsi"/>
          <w:b/>
          <w:bCs/>
          <w:sz w:val="22"/>
          <w:szCs w:val="22"/>
          <w:shd w:val="clear" w:color="auto" w:fill="FFFFFF"/>
        </w:rPr>
      </w:pPr>
      <w:r w:rsidRPr="00377333">
        <w:rPr>
          <w:rFonts w:asciiTheme="minorHAnsi" w:hAnsiTheme="minorHAnsi" w:cstheme="minorHAnsi"/>
          <w:b/>
          <w:bCs/>
          <w:sz w:val="22"/>
          <w:szCs w:val="22"/>
          <w:shd w:val="clear" w:color="auto" w:fill="FFFFFF"/>
        </w:rPr>
        <w:t>TABLE-3</w:t>
      </w:r>
    </w:p>
    <w:tbl>
      <w:tblPr>
        <w:tblStyle w:val="TableGrid"/>
        <w:tblW w:w="5382" w:type="dxa"/>
        <w:tblLook w:val="04A0" w:firstRow="1" w:lastRow="0" w:firstColumn="1" w:lastColumn="0" w:noHBand="0" w:noVBand="1"/>
      </w:tblPr>
      <w:tblGrid>
        <w:gridCol w:w="703"/>
        <w:gridCol w:w="946"/>
        <w:gridCol w:w="792"/>
        <w:gridCol w:w="2941"/>
      </w:tblGrid>
      <w:tr w:rsidR="005A3C2B" w:rsidRPr="00333A50" w14:paraId="5F5524A2" w14:textId="77777777" w:rsidTr="005A3C2B">
        <w:trPr>
          <w:trHeight w:val="356"/>
        </w:trPr>
        <w:tc>
          <w:tcPr>
            <w:tcW w:w="703" w:type="dxa"/>
          </w:tcPr>
          <w:p w14:paraId="29397456" w14:textId="6977C4C8" w:rsidR="005A3C2B" w:rsidRPr="00333A50" w:rsidRDefault="005A3C2B" w:rsidP="005A3C2B">
            <w:pPr>
              <w:pStyle w:val="NormalWeb"/>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1</w:t>
            </w:r>
          </w:p>
        </w:tc>
        <w:tc>
          <w:tcPr>
            <w:tcW w:w="946" w:type="dxa"/>
          </w:tcPr>
          <w:p w14:paraId="1C30C788" w14:textId="32C51FD2" w:rsidR="005A3C2B" w:rsidRPr="00333A50" w:rsidRDefault="005A3C2B" w:rsidP="005A3C2B">
            <w:pPr>
              <w:pStyle w:val="NormalWeb"/>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080280</w:t>
            </w:r>
          </w:p>
        </w:tc>
        <w:tc>
          <w:tcPr>
            <w:tcW w:w="792" w:type="dxa"/>
          </w:tcPr>
          <w:p w14:paraId="16638067" w14:textId="4F629C19" w:rsidR="005A3C2B" w:rsidRPr="00333A50" w:rsidRDefault="005A3C2B" w:rsidP="005A3C2B">
            <w:pPr>
              <w:pStyle w:val="NormalWeb"/>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Areca nuts</w:t>
            </w:r>
          </w:p>
        </w:tc>
        <w:tc>
          <w:tcPr>
            <w:tcW w:w="2941" w:type="dxa"/>
          </w:tcPr>
          <w:p w14:paraId="0241BAA6" w14:textId="150B38A3" w:rsidR="005A3C2B" w:rsidRPr="00333A50" w:rsidRDefault="005A3C2B" w:rsidP="005A3C2B">
            <w:pPr>
              <w:pStyle w:val="NormalWeb"/>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5589 (i.e., no change)”</w:t>
            </w:r>
          </w:p>
        </w:tc>
      </w:tr>
    </w:tbl>
    <w:p w14:paraId="1CFAAFF3" w14:textId="70C38820" w:rsidR="004A48B7" w:rsidRPr="00BC0131" w:rsidRDefault="00377333" w:rsidP="00BC0131">
      <w:pPr>
        <w:pStyle w:val="NormalWeb"/>
        <w:spacing w:line="276" w:lineRule="auto"/>
        <w:jc w:val="both"/>
        <w:rPr>
          <w:rFonts w:asciiTheme="minorHAnsi" w:hAnsiTheme="minorHAnsi" w:cstheme="minorHAnsi"/>
          <w:sz w:val="22"/>
          <w:szCs w:val="22"/>
          <w:shd w:val="clear" w:color="auto" w:fill="FFFFFF"/>
        </w:rPr>
      </w:pPr>
      <w:r w:rsidRPr="00377333">
        <w:rPr>
          <w:rFonts w:asciiTheme="minorHAnsi" w:hAnsiTheme="minorHAnsi" w:cstheme="minorHAnsi"/>
          <w:sz w:val="22"/>
          <w:szCs w:val="22"/>
          <w:shd w:val="clear" w:color="auto" w:fill="FFFFFF"/>
        </w:rPr>
        <w:t>2. This notification shall come into force with effect from the 16th day of March, 2022</w:t>
      </w:r>
    </w:p>
    <w:p w14:paraId="134E729F" w14:textId="3CD4BEB4" w:rsidR="00721FE0" w:rsidRPr="00333A50" w:rsidRDefault="00540A5C" w:rsidP="00241214">
      <w:pPr>
        <w:pStyle w:val="NormalWeb"/>
        <w:shd w:val="clear" w:color="auto" w:fill="FFFFFF"/>
        <w:spacing w:line="276" w:lineRule="auto"/>
        <w:jc w:val="both"/>
        <w:rPr>
          <w:rFonts w:asciiTheme="minorHAnsi" w:hAnsiTheme="minorHAnsi" w:cstheme="minorHAnsi"/>
          <w:b/>
          <w:bCs/>
          <w:sz w:val="22"/>
          <w:szCs w:val="22"/>
        </w:rPr>
      </w:pPr>
      <w:r w:rsidRPr="00333A50">
        <w:rPr>
          <w:rFonts w:asciiTheme="minorHAnsi" w:hAnsiTheme="minorHAnsi" w:cstheme="minorHAnsi"/>
          <w:sz w:val="22"/>
          <w:szCs w:val="22"/>
        </w:rPr>
        <w:t xml:space="preserve"> </w:t>
      </w:r>
      <w:r w:rsidR="00721FE0" w:rsidRPr="00333A50">
        <w:rPr>
          <w:rFonts w:asciiTheme="minorHAnsi" w:hAnsiTheme="minorHAnsi" w:cstheme="minorHAnsi"/>
          <w:b/>
          <w:bCs/>
          <w:sz w:val="22"/>
          <w:szCs w:val="22"/>
        </w:rPr>
        <w:t xml:space="preserve">[For further details please refer the </w:t>
      </w:r>
      <w:r w:rsidR="00552D1F">
        <w:rPr>
          <w:rFonts w:asciiTheme="minorHAnsi" w:hAnsiTheme="minorHAnsi" w:cstheme="minorHAnsi"/>
          <w:b/>
          <w:bCs/>
          <w:sz w:val="22"/>
          <w:szCs w:val="22"/>
        </w:rPr>
        <w:t>Notification</w:t>
      </w:r>
      <w:r w:rsidR="00721FE0" w:rsidRPr="00333A50">
        <w:rPr>
          <w:rFonts w:asciiTheme="minorHAnsi" w:hAnsiTheme="minorHAnsi" w:cstheme="minorHAnsi"/>
          <w:b/>
          <w:bCs/>
          <w:sz w:val="22"/>
          <w:szCs w:val="22"/>
        </w:rPr>
        <w:t>]</w:t>
      </w: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ED052E">
          <w:headerReference w:type="default" r:id="rId4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0EDC0374" w14:textId="48932CF9" w:rsidR="00CE4178" w:rsidRPr="008A2360" w:rsidRDefault="00A6244B" w:rsidP="00CE4178">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 xml:space="preserve">TRADE </w:t>
      </w:r>
      <w:r w:rsidR="00077262">
        <w:rPr>
          <w:b/>
          <w:bCs/>
          <w:noProof/>
          <w:color w:val="FFFFFF" w:themeColor="background1"/>
          <w:sz w:val="22"/>
          <w:szCs w:val="22"/>
          <w:u w:val="none"/>
          <w:lang w:val="en-US"/>
        </w:rPr>
        <w:t>NOTICE</w:t>
      </w:r>
    </w:p>
    <w:p w14:paraId="41AB3F84" w14:textId="7060A006" w:rsidR="00065B3A" w:rsidRPr="00065B3A" w:rsidRDefault="00077262" w:rsidP="00FD72CE">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bookmarkStart w:id="1" w:name="OLE_LINK1"/>
      <w:r w:rsidRPr="00077262">
        <w:rPr>
          <w:rFonts w:asciiTheme="minorHAnsi" w:hAnsiTheme="minorHAnsi" w:cstheme="minorHAnsi"/>
          <w:b/>
          <w:bCs/>
          <w:caps/>
          <w:color w:val="000000" w:themeColor="text1"/>
          <w:lang w:val="en-IN"/>
        </w:rPr>
        <w:t>Operationalisation of new online IT Module for Interest Equalisation Scheme w.e.f. 01.04.2022</w:t>
      </w:r>
    </w:p>
    <w:bookmarkEnd w:id="1"/>
    <w:p w14:paraId="1655ABFF" w14:textId="330D25C8" w:rsidR="00077262" w:rsidRPr="00077262" w:rsidRDefault="00CE4178" w:rsidP="00077262">
      <w:pPr>
        <w:pStyle w:val="NormalWeb"/>
        <w:spacing w:after="150"/>
        <w:jc w:val="both"/>
        <w:rPr>
          <w:rFonts w:asciiTheme="minorHAnsi" w:hAnsiTheme="minorHAnsi" w:cstheme="minorHAnsi"/>
          <w:bCs/>
          <w:sz w:val="22"/>
          <w:szCs w:val="22"/>
        </w:rPr>
      </w:pPr>
      <w:r w:rsidRPr="00E93BB1">
        <w:rPr>
          <w:rFonts w:asciiTheme="minorHAnsi" w:hAnsiTheme="minorHAnsi" w:cstheme="minorHAnsi"/>
          <w:b/>
          <w:sz w:val="22"/>
          <w:szCs w:val="22"/>
        </w:rPr>
        <w:t>OUR COMMENTS:</w:t>
      </w:r>
      <w:r w:rsidRPr="00EB25A9">
        <w:rPr>
          <w:rFonts w:asciiTheme="minorHAnsi" w:hAnsiTheme="minorHAnsi" w:cstheme="minorHAnsi"/>
          <w:bCs/>
          <w:sz w:val="22"/>
          <w:szCs w:val="22"/>
        </w:rPr>
        <w:t xml:space="preserve"> </w:t>
      </w:r>
      <w:r w:rsidR="00077262">
        <w:rPr>
          <w:rFonts w:asciiTheme="minorHAnsi" w:hAnsiTheme="minorHAnsi" w:cstheme="minorHAnsi"/>
          <w:bCs/>
          <w:sz w:val="22"/>
          <w:szCs w:val="22"/>
        </w:rPr>
        <w:t>Vi</w:t>
      </w:r>
      <w:r w:rsidR="00861CB2">
        <w:rPr>
          <w:rFonts w:asciiTheme="minorHAnsi" w:hAnsiTheme="minorHAnsi" w:cstheme="minorHAnsi"/>
          <w:bCs/>
          <w:sz w:val="22"/>
          <w:szCs w:val="22"/>
        </w:rPr>
        <w:t>de Trade Notice number38/2021-2022, dated 15</w:t>
      </w:r>
      <w:r w:rsidR="00861CB2" w:rsidRPr="00861CB2">
        <w:rPr>
          <w:rFonts w:asciiTheme="minorHAnsi" w:hAnsiTheme="minorHAnsi" w:cstheme="minorHAnsi"/>
          <w:bCs/>
          <w:sz w:val="22"/>
          <w:szCs w:val="22"/>
          <w:vertAlign w:val="superscript"/>
        </w:rPr>
        <w:t>th</w:t>
      </w:r>
      <w:r w:rsidR="00861CB2">
        <w:rPr>
          <w:rFonts w:asciiTheme="minorHAnsi" w:hAnsiTheme="minorHAnsi" w:cstheme="minorHAnsi"/>
          <w:bCs/>
          <w:sz w:val="22"/>
          <w:szCs w:val="22"/>
        </w:rPr>
        <w:t xml:space="preserve"> March 2022, a</w:t>
      </w:r>
      <w:r w:rsidR="00077262" w:rsidRPr="00077262">
        <w:rPr>
          <w:rFonts w:asciiTheme="minorHAnsi" w:hAnsiTheme="minorHAnsi" w:cstheme="minorHAnsi"/>
          <w:bCs/>
          <w:sz w:val="22"/>
          <w:szCs w:val="22"/>
        </w:rPr>
        <w:t>ttention of the trade and industry is drawn towards the extension of the Interest Equalisation Scheme (IES) upto 31.3.2024, as notified by RBI vide its circular no. DOR.STR.REC.93/04.02.001/2021-22 dated 08.03.2022. In order to capture granular data about the beneficiaries of the scheme and its effective monitoring, it has been decided to operationalise a new online module for filing of electronic registration for Interest Equalisation Scheme w.e.f. 01.04.2022.</w:t>
      </w:r>
    </w:p>
    <w:p w14:paraId="6FB424E9"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2. All exporters seeking benefit under the Interest Equalisation Scheme need to apply online by navigating to the DGFT website (https:// dgft.gov.in) → Services → Interest Equalisation Scheme</w:t>
      </w:r>
      <w:r w:rsidRPr="00077262">
        <w:rPr>
          <w:rFonts w:asciiTheme="minorHAnsi" w:hAnsiTheme="minorHAnsi" w:cstheme="minorHAnsi"/>
          <w:b/>
          <w:bCs/>
          <w:sz w:val="22"/>
          <w:szCs w:val="22"/>
        </w:rPr>
        <w:t>. A Unique IES Identification Number (UIN) will get generated automatically which is required to be submitted to the concerned bank when availing Interest Equalisation</w:t>
      </w:r>
      <w:r w:rsidRPr="00077262">
        <w:rPr>
          <w:rFonts w:asciiTheme="minorHAnsi" w:hAnsiTheme="minorHAnsi" w:cstheme="minorHAnsi"/>
          <w:bCs/>
          <w:sz w:val="22"/>
          <w:szCs w:val="22"/>
        </w:rPr>
        <w:t> against their pre and post shipment rupee export credit applications.</w:t>
      </w:r>
    </w:p>
    <w:p w14:paraId="6CF8DF3A"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3.  For generating UIN the following steps need to be followed by all concerned exporters –</w:t>
      </w:r>
    </w:p>
    <w:p w14:paraId="22989328" w14:textId="77777777" w:rsidR="00077262" w:rsidRPr="00077262" w:rsidRDefault="00077262" w:rsidP="00077262">
      <w:pPr>
        <w:pStyle w:val="NormalWeb"/>
        <w:spacing w:after="150"/>
        <w:jc w:val="both"/>
        <w:rPr>
          <w:rFonts w:asciiTheme="minorHAnsi" w:hAnsiTheme="minorHAnsi" w:cstheme="minorHAnsi"/>
          <w:bCs/>
          <w:sz w:val="22"/>
          <w:szCs w:val="22"/>
        </w:rPr>
      </w:pPr>
      <w:proofErr w:type="spellStart"/>
      <w:r w:rsidRPr="00077262">
        <w:rPr>
          <w:rFonts w:asciiTheme="minorHAnsi" w:hAnsiTheme="minorHAnsi" w:cstheme="minorHAnsi"/>
          <w:bCs/>
          <w:sz w:val="22"/>
          <w:szCs w:val="22"/>
        </w:rPr>
        <w:t>i</w:t>
      </w:r>
      <w:proofErr w:type="spellEnd"/>
      <w:r w:rsidRPr="00077262">
        <w:rPr>
          <w:rFonts w:asciiTheme="minorHAnsi" w:hAnsiTheme="minorHAnsi" w:cstheme="minorHAnsi"/>
          <w:bCs/>
          <w:sz w:val="22"/>
          <w:szCs w:val="22"/>
        </w:rPr>
        <w:t xml:space="preserve">.  As a first step, any exporter seeking to apply under IES, need to register on the DGFT Website (if not already registered). It may be ensured that applicant's IEC is linked to its online account, the IEC (ANF-2A) and the Exporter-Importer </w:t>
      </w:r>
      <w:proofErr w:type="gramStart"/>
      <w:r w:rsidRPr="00077262">
        <w:rPr>
          <w:rFonts w:asciiTheme="minorHAnsi" w:hAnsiTheme="minorHAnsi" w:cstheme="minorHAnsi"/>
          <w:bCs/>
          <w:sz w:val="22"/>
          <w:szCs w:val="22"/>
        </w:rPr>
        <w:t>Profile(</w:t>
      </w:r>
      <w:proofErr w:type="gramEnd"/>
      <w:r w:rsidRPr="00077262">
        <w:rPr>
          <w:rFonts w:asciiTheme="minorHAnsi" w:hAnsiTheme="minorHAnsi" w:cstheme="minorHAnsi"/>
          <w:bCs/>
          <w:sz w:val="22"/>
          <w:szCs w:val="22"/>
        </w:rPr>
        <w:t>ANF-1) is updated to reflect correct and up-to-date details.</w:t>
      </w:r>
    </w:p>
    <w:p w14:paraId="52522C56"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ii. Thereafter, exporter need to login with its registered credentials → navigate to Services → Interest Equalisation Scheme → Apply for Interest Equalisation Scheme and fill in the required details. Basic data about the applicant's IEC would get auto-populated.</w:t>
      </w:r>
    </w:p>
    <w:p w14:paraId="357BD209"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iii.  An acknowledgement containing Unique IES Identification Number (UIN) would be auto-generated when duly completed application is submitted online.</w:t>
      </w:r>
    </w:p>
    <w:p w14:paraId="6A35613C"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iv. An SMS and email intimation of the UIN generated will be sent to the registered email account and mobile number of the exporter.</w:t>
      </w:r>
    </w:p>
    <w:p w14:paraId="1CE01CF5"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v. The user charge for generating a UIN shall be ₹ 200 and is to be paid online.</w:t>
      </w:r>
    </w:p>
    <w:p w14:paraId="5CC39488"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vi. After generation of the UIN no changes will be allowed. In case of any correction/amendment exporter may generate new UIN.</w:t>
      </w:r>
    </w:p>
    <w:p w14:paraId="562601B8" w14:textId="53C8E213" w:rsidR="00077262" w:rsidRPr="00DA4D93" w:rsidRDefault="00077262" w:rsidP="00077262">
      <w:pPr>
        <w:pStyle w:val="NormalWeb"/>
        <w:spacing w:after="150"/>
        <w:jc w:val="both"/>
        <w:rPr>
          <w:rFonts w:asciiTheme="minorHAnsi" w:hAnsiTheme="minorHAnsi" w:cstheme="minorHAnsi"/>
          <w:bCs/>
          <w:sz w:val="22"/>
          <w:szCs w:val="22"/>
        </w:rPr>
      </w:pPr>
      <w:r w:rsidRPr="00DA4D93">
        <w:rPr>
          <w:rFonts w:asciiTheme="minorHAnsi" w:hAnsiTheme="minorHAnsi" w:cstheme="minorHAnsi"/>
          <w:bCs/>
          <w:sz w:val="22"/>
          <w:szCs w:val="22"/>
        </w:rPr>
        <w:t>4. The UIN generated shall have a validity of 1 year from the date of registration, during which an application for availing benefit of IES can be submitted to the concerned bank. </w:t>
      </w:r>
      <w:r w:rsidRPr="00C117C0">
        <w:rPr>
          <w:rFonts w:asciiTheme="minorHAnsi" w:hAnsiTheme="minorHAnsi" w:cstheme="minorHAnsi"/>
          <w:bCs/>
          <w:sz w:val="22"/>
          <w:szCs w:val="22"/>
        </w:rPr>
        <w:t>The auto generated Acknowledgement containing UIN number need to be submitted to the concerned bank along</w:t>
      </w:r>
      <w:r w:rsidR="00DA4D93" w:rsidRPr="00C117C0">
        <w:rPr>
          <w:rFonts w:asciiTheme="minorHAnsi" w:hAnsiTheme="minorHAnsi" w:cstheme="minorHAnsi"/>
          <w:bCs/>
          <w:sz w:val="22"/>
          <w:szCs w:val="22"/>
        </w:rPr>
        <w:t xml:space="preserve"> </w:t>
      </w:r>
      <w:r w:rsidRPr="00C117C0">
        <w:rPr>
          <w:rFonts w:asciiTheme="minorHAnsi" w:hAnsiTheme="minorHAnsi" w:cstheme="minorHAnsi"/>
          <w:bCs/>
          <w:sz w:val="22"/>
          <w:szCs w:val="22"/>
        </w:rPr>
        <w:t>with the prescribed application by the bank, if any, for availing benefit under </w:t>
      </w:r>
      <w:r w:rsidRPr="00DA4D93">
        <w:rPr>
          <w:rFonts w:asciiTheme="minorHAnsi" w:hAnsiTheme="minorHAnsi" w:cstheme="minorHAnsi"/>
          <w:bCs/>
          <w:sz w:val="22"/>
          <w:szCs w:val="22"/>
        </w:rPr>
        <w:t>IES.</w:t>
      </w:r>
    </w:p>
    <w:p w14:paraId="0B1CC14B"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5. It will be mandatory for exporter to submit UIN acknowledgment to concerned bank for all applications made on or after 01.04.2022.</w:t>
      </w:r>
    </w:p>
    <w:p w14:paraId="69301EBA"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6. Banks will continue to scrutinize and issue benefits as per their own internal process. The guidelines for the bank for validation of submission made by the exporter are being issued separately through RBI.</w:t>
      </w:r>
    </w:p>
    <w:p w14:paraId="7617C685"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7. For any help and guidance on this new process, the Help Manual &amp; F AQs may be accessed on DGFT Website (https://dgft.gov.in) → Learn → Application Help &amp; FAQs. For any further assistance, any of the following channels may be accessed-</w:t>
      </w:r>
    </w:p>
    <w:p w14:paraId="0927CD50" w14:textId="77777777" w:rsidR="00077262" w:rsidRPr="00077262" w:rsidRDefault="00077262" w:rsidP="00077262">
      <w:pPr>
        <w:pStyle w:val="NormalWeb"/>
        <w:spacing w:after="150"/>
        <w:jc w:val="both"/>
        <w:rPr>
          <w:rFonts w:asciiTheme="minorHAnsi" w:hAnsiTheme="minorHAnsi" w:cstheme="minorHAnsi"/>
          <w:bCs/>
          <w:sz w:val="22"/>
          <w:szCs w:val="22"/>
        </w:rPr>
      </w:pPr>
      <w:proofErr w:type="spellStart"/>
      <w:r w:rsidRPr="00077262">
        <w:rPr>
          <w:rFonts w:asciiTheme="minorHAnsi" w:hAnsiTheme="minorHAnsi" w:cstheme="minorHAnsi"/>
          <w:bCs/>
          <w:sz w:val="22"/>
          <w:szCs w:val="22"/>
        </w:rPr>
        <w:t>i</w:t>
      </w:r>
      <w:proofErr w:type="spellEnd"/>
      <w:r w:rsidRPr="00077262">
        <w:rPr>
          <w:rFonts w:asciiTheme="minorHAnsi" w:hAnsiTheme="minorHAnsi" w:cstheme="minorHAnsi"/>
          <w:bCs/>
          <w:sz w:val="22"/>
          <w:szCs w:val="22"/>
        </w:rPr>
        <w:t>. Raise a service request ticket through DGFT Helpdesk service under Services → 'DGFT Helpdesk Service'.</w:t>
      </w:r>
    </w:p>
    <w:p w14:paraId="56FC263E"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ii. Call the DGFT Toll-free-Helpline number.</w:t>
      </w:r>
    </w:p>
    <w:p w14:paraId="2253EA7F" w14:textId="77777777" w:rsidR="00077262" w:rsidRPr="00077262"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iii. Send an email to the Helpdesk on dgftedi@gov.in</w:t>
      </w:r>
    </w:p>
    <w:p w14:paraId="6505E4BC" w14:textId="577AE56C" w:rsidR="00077262" w:rsidRPr="0011103F" w:rsidRDefault="00077262" w:rsidP="00077262">
      <w:pPr>
        <w:pStyle w:val="NormalWeb"/>
        <w:spacing w:after="150"/>
        <w:jc w:val="both"/>
        <w:rPr>
          <w:rFonts w:asciiTheme="minorHAnsi" w:hAnsiTheme="minorHAnsi" w:cstheme="minorHAnsi"/>
          <w:bCs/>
          <w:sz w:val="22"/>
          <w:szCs w:val="22"/>
        </w:rPr>
      </w:pPr>
      <w:r w:rsidRPr="00077262">
        <w:rPr>
          <w:rFonts w:asciiTheme="minorHAnsi" w:hAnsiTheme="minorHAnsi" w:cstheme="minorHAnsi"/>
          <w:bCs/>
          <w:sz w:val="22"/>
          <w:szCs w:val="22"/>
        </w:rPr>
        <w:t xml:space="preserve">8. </w:t>
      </w:r>
      <w:proofErr w:type="gramStart"/>
      <w:r w:rsidRPr="00077262">
        <w:rPr>
          <w:rFonts w:asciiTheme="minorHAnsi" w:hAnsiTheme="minorHAnsi" w:cstheme="minorHAnsi"/>
          <w:bCs/>
          <w:sz w:val="22"/>
          <w:szCs w:val="22"/>
        </w:rPr>
        <w:t>This issues</w:t>
      </w:r>
      <w:proofErr w:type="gramEnd"/>
      <w:r w:rsidRPr="00077262">
        <w:rPr>
          <w:rFonts w:asciiTheme="minorHAnsi" w:hAnsiTheme="minorHAnsi" w:cstheme="minorHAnsi"/>
          <w:bCs/>
          <w:sz w:val="22"/>
          <w:szCs w:val="22"/>
        </w:rPr>
        <w:t xml:space="preserve"> with the approval of the Competent Authority.</w:t>
      </w:r>
    </w:p>
    <w:p w14:paraId="2ED5B484" w14:textId="7F9D399A" w:rsidR="0011103F" w:rsidRPr="00333A50" w:rsidRDefault="0011103F" w:rsidP="0011103F">
      <w:pPr>
        <w:pStyle w:val="NormalWeb"/>
        <w:shd w:val="clear" w:color="auto" w:fill="FFFFFF"/>
        <w:spacing w:line="276" w:lineRule="auto"/>
        <w:jc w:val="both"/>
        <w:rPr>
          <w:rFonts w:asciiTheme="minorHAnsi" w:hAnsiTheme="minorHAnsi" w:cstheme="minorHAnsi"/>
          <w:b/>
          <w:bCs/>
          <w:sz w:val="22"/>
          <w:szCs w:val="22"/>
        </w:rPr>
      </w:pPr>
      <w:r w:rsidRPr="00333A50">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333A50">
        <w:rPr>
          <w:rFonts w:asciiTheme="minorHAnsi" w:hAnsiTheme="minorHAnsi" w:cstheme="minorHAnsi"/>
          <w:b/>
          <w:bCs/>
          <w:sz w:val="22"/>
          <w:szCs w:val="22"/>
        </w:rPr>
        <w:t>]</w:t>
      </w:r>
    </w:p>
    <w:p w14:paraId="42935819" w14:textId="14D1C7AF" w:rsidR="00C864A7" w:rsidRPr="00C864A7" w:rsidRDefault="00C864A7" w:rsidP="005E6733">
      <w:pPr>
        <w:jc w:val="both"/>
        <w:rPr>
          <w:rFonts w:asciiTheme="minorHAnsi" w:hAnsiTheme="minorHAnsi" w:cstheme="minorHAnsi"/>
          <w:lang w:val="en-IN" w:eastAsia="en-IN"/>
        </w:rPr>
        <w:sectPr w:rsidR="00C864A7" w:rsidRPr="00C864A7" w:rsidSect="00181F0C">
          <w:headerReference w:type="default" r:id="rId47"/>
          <w:pgSz w:w="11909" w:h="16834" w:code="9"/>
          <w:pgMar w:top="1710" w:right="143"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69752040" w:rsidR="004203B5" w:rsidRPr="00AA76A8" w:rsidRDefault="004203B5" w:rsidP="002C1B00">
      <w:pPr>
        <w:spacing w:after="0" w:line="360" w:lineRule="auto"/>
        <w:jc w:val="both"/>
        <w:rPr>
          <w:rFonts w:asciiTheme="minorHAnsi" w:hAnsiTheme="minorHAnsi" w:cstheme="minorHAnsi"/>
          <w:b/>
        </w:rPr>
        <w:sectPr w:rsidR="004203B5" w:rsidRPr="00AA76A8" w:rsidSect="00421927">
          <w:headerReference w:type="default" r:id="rId4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 8777784162, 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3"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59ADC313"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w:t>
      </w:r>
      <w:r w:rsidR="00D353C6">
        <w:rPr>
          <w:rFonts w:ascii="Bookman Old Style" w:hAnsi="Bookman Old Style" w:cs="Arial"/>
          <w:color w:val="222222"/>
          <w:sz w:val="17"/>
          <w:szCs w:val="17"/>
          <w:bdr w:val="none" w:sz="0" w:space="0" w:color="auto" w:frame="1"/>
        </w:rPr>
        <w:t>8777784162</w:t>
      </w:r>
      <w:r w:rsidR="00937AC4">
        <w:rPr>
          <w:rFonts w:ascii="Bookman Old Style" w:hAnsi="Bookman Old Style" w:cs="Arial"/>
          <w:color w:val="222222"/>
          <w:sz w:val="17"/>
          <w:szCs w:val="17"/>
          <w:bdr w:val="none" w:sz="0" w:space="0" w:color="auto" w:frame="1"/>
        </w:rPr>
        <w:t>,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55"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8"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61"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62"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65"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66"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8"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69"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0"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73"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74"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77"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78"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77"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78"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79"/>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4A13E" w14:textId="77777777" w:rsidR="00E62085" w:rsidRDefault="00E62085" w:rsidP="008A20D1">
      <w:pPr>
        <w:spacing w:after="0" w:line="240" w:lineRule="auto"/>
      </w:pPr>
      <w:r>
        <w:separator/>
      </w:r>
    </w:p>
  </w:endnote>
  <w:endnote w:type="continuationSeparator" w:id="0">
    <w:p w14:paraId="6F61CB46" w14:textId="77777777" w:rsidR="00E62085" w:rsidRDefault="00E62085"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4DCCF30D" w14:textId="5C9E03A4" w:rsidR="00184CC2" w:rsidRPr="0057669E" w:rsidRDefault="00184CC2" w:rsidP="00184CC2">
                          <w:pPr>
                            <w:spacing w:after="0"/>
                            <w:rPr>
                              <w:rFonts w:ascii="Cambria" w:hAnsi="Cambria"/>
                              <w:b/>
                              <w:color w:val="002060"/>
                              <w:sz w:val="20"/>
                              <w:szCs w:val="20"/>
                            </w:rPr>
                          </w:pPr>
                          <w:r>
                            <w:rPr>
                              <w:rFonts w:ascii="Bookman Old Style" w:hAnsi="Bookman Old Style"/>
                              <w:color w:val="14415C"/>
                              <w:sz w:val="18"/>
                              <w:szCs w:val="18"/>
                            </w:rPr>
                            <w:t>Tax Connect: 34</w:t>
                          </w:r>
                          <w:r w:rsidR="003D5F1E">
                            <w:rPr>
                              <w:rFonts w:ascii="Bookman Old Style" w:hAnsi="Bookman Old Style"/>
                              <w:color w:val="14415C"/>
                              <w:sz w:val="18"/>
                              <w:szCs w:val="18"/>
                            </w:rPr>
                            <w:t>2</w:t>
                          </w:r>
                          <w:r w:rsidR="003D5F1E">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A951DFA" w14:textId="6C516A85" w:rsidR="00184CC2" w:rsidRDefault="003D5F1E" w:rsidP="00184CC2">
                          <w:pPr>
                            <w:spacing w:after="0"/>
                            <w:rPr>
                              <w:rFonts w:ascii="Bookman Old Style" w:hAnsi="Bookman Old Style"/>
                              <w:b/>
                              <w:color w:val="14415C"/>
                              <w:sz w:val="18"/>
                              <w:szCs w:val="18"/>
                            </w:rPr>
                          </w:pPr>
                          <w:r>
                            <w:rPr>
                              <w:rFonts w:ascii="Bookman Old Style" w:hAnsi="Bookman Old Style"/>
                              <w:color w:val="14415C"/>
                              <w:sz w:val="18"/>
                              <w:szCs w:val="18"/>
                            </w:rPr>
                            <w:t>20</w:t>
                          </w:r>
                          <w:r w:rsidR="00184CC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 </w:t>
                          </w:r>
                          <w:r>
                            <w:rPr>
                              <w:rFonts w:ascii="Bookman Old Style" w:hAnsi="Bookman Old Style"/>
                              <w:color w:val="14415C"/>
                              <w:sz w:val="18"/>
                              <w:szCs w:val="18"/>
                            </w:rPr>
                            <w:t>26</w:t>
                          </w:r>
                          <w:r w:rsidR="00184CC2" w:rsidRPr="00136D6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w:t>
                          </w:r>
                        </w:p>
                        <w:p w14:paraId="113C5D3B" w14:textId="64A73146" w:rsidR="00473553" w:rsidRDefault="00473553" w:rsidP="00AC1AD7">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4DCCF30D" w14:textId="5C9E03A4" w:rsidR="00184CC2" w:rsidRPr="0057669E" w:rsidRDefault="00184CC2" w:rsidP="00184CC2">
                    <w:pPr>
                      <w:spacing w:after="0"/>
                      <w:rPr>
                        <w:rFonts w:ascii="Cambria" w:hAnsi="Cambria"/>
                        <w:b/>
                        <w:color w:val="002060"/>
                        <w:sz w:val="20"/>
                        <w:szCs w:val="20"/>
                      </w:rPr>
                    </w:pPr>
                    <w:r>
                      <w:rPr>
                        <w:rFonts w:ascii="Bookman Old Style" w:hAnsi="Bookman Old Style"/>
                        <w:color w:val="14415C"/>
                        <w:sz w:val="18"/>
                        <w:szCs w:val="18"/>
                      </w:rPr>
                      <w:t>Tax Connect: 34</w:t>
                    </w:r>
                    <w:r w:rsidR="003D5F1E">
                      <w:rPr>
                        <w:rFonts w:ascii="Bookman Old Style" w:hAnsi="Bookman Old Style"/>
                        <w:color w:val="14415C"/>
                        <w:sz w:val="18"/>
                        <w:szCs w:val="18"/>
                      </w:rPr>
                      <w:t>2</w:t>
                    </w:r>
                    <w:r w:rsidR="003D5F1E">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A951DFA" w14:textId="6C516A85" w:rsidR="00184CC2" w:rsidRDefault="003D5F1E" w:rsidP="00184CC2">
                    <w:pPr>
                      <w:spacing w:after="0"/>
                      <w:rPr>
                        <w:rFonts w:ascii="Bookman Old Style" w:hAnsi="Bookman Old Style"/>
                        <w:b/>
                        <w:color w:val="14415C"/>
                        <w:sz w:val="18"/>
                        <w:szCs w:val="18"/>
                      </w:rPr>
                    </w:pPr>
                    <w:r>
                      <w:rPr>
                        <w:rFonts w:ascii="Bookman Old Style" w:hAnsi="Bookman Old Style"/>
                        <w:color w:val="14415C"/>
                        <w:sz w:val="18"/>
                        <w:szCs w:val="18"/>
                      </w:rPr>
                      <w:t>20</w:t>
                    </w:r>
                    <w:r w:rsidR="00184CC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 </w:t>
                    </w:r>
                    <w:r>
                      <w:rPr>
                        <w:rFonts w:ascii="Bookman Old Style" w:hAnsi="Bookman Old Style"/>
                        <w:color w:val="14415C"/>
                        <w:sz w:val="18"/>
                        <w:szCs w:val="18"/>
                      </w:rPr>
                      <w:t>26</w:t>
                    </w:r>
                    <w:r w:rsidR="00184CC2" w:rsidRPr="00136D6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w:t>
                    </w:r>
                  </w:p>
                  <w:p w14:paraId="113C5D3B" w14:textId="64A73146" w:rsidR="00473553" w:rsidRDefault="00473553" w:rsidP="00AC1AD7">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314503CD"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w:t>
                          </w:r>
                          <w:r w:rsidR="00513625">
                            <w:rPr>
                              <w:rFonts w:ascii="Bookman Old Style" w:hAnsi="Bookman Old Style"/>
                              <w:color w:val="14415C"/>
                              <w:sz w:val="18"/>
                              <w:szCs w:val="18"/>
                            </w:rPr>
                            <w:t>2</w:t>
                          </w:r>
                          <w:r w:rsidR="00513625">
                            <w:rPr>
                              <w:rFonts w:ascii="Bookman Old Style" w:hAnsi="Bookman Old Style"/>
                              <w:color w:val="14415C"/>
                              <w:sz w:val="18"/>
                              <w:szCs w:val="18"/>
                              <w:vertAlign w:val="superscript"/>
                            </w:rPr>
                            <w:t>nd</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74D70FCE" w:rsidR="00EE3189" w:rsidRDefault="00513625" w:rsidP="00EE3189">
                          <w:pPr>
                            <w:spacing w:after="0"/>
                            <w:rPr>
                              <w:rFonts w:ascii="Bookman Old Style" w:hAnsi="Bookman Old Style"/>
                              <w:b/>
                              <w:color w:val="14415C"/>
                              <w:sz w:val="18"/>
                              <w:szCs w:val="18"/>
                            </w:rPr>
                          </w:pPr>
                          <w:r>
                            <w:rPr>
                              <w:rFonts w:ascii="Bookman Old Style" w:hAnsi="Bookman Old Style"/>
                              <w:color w:val="14415C"/>
                              <w:sz w:val="18"/>
                              <w:szCs w:val="18"/>
                            </w:rPr>
                            <w:t>20</w:t>
                          </w:r>
                          <w:r w:rsidR="00A75CC6">
                            <w:rPr>
                              <w:rFonts w:ascii="Bookman Old Style" w:hAnsi="Bookman Old Style"/>
                              <w:color w:val="14415C"/>
                              <w:sz w:val="18"/>
                              <w:szCs w:val="18"/>
                              <w:vertAlign w:val="superscript"/>
                            </w:rPr>
                            <w:t>th</w:t>
                          </w:r>
                          <w:r w:rsidR="00A75CC6">
                            <w:rPr>
                              <w:rFonts w:ascii="Bookman Old Style" w:hAnsi="Bookman Old Style"/>
                              <w:color w:val="14415C"/>
                              <w:sz w:val="18"/>
                              <w:szCs w:val="18"/>
                            </w:rPr>
                            <w:t xml:space="preserve"> </w:t>
                          </w:r>
                          <w:r w:rsidR="00AC1AD7">
                            <w:rPr>
                              <w:rFonts w:ascii="Bookman Old Style" w:hAnsi="Bookman Old Style"/>
                              <w:color w:val="14415C"/>
                              <w:sz w:val="18"/>
                              <w:szCs w:val="18"/>
                            </w:rPr>
                            <w:t>March</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26</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w:t>
                          </w:r>
                          <w:r w:rsidR="00A553B4">
                            <w:rPr>
                              <w:rFonts w:ascii="Bookman Old Style" w:hAnsi="Bookman Old Style"/>
                              <w:color w:val="14415C"/>
                              <w:sz w:val="18"/>
                              <w:szCs w:val="18"/>
                            </w:rPr>
                            <w:t>March</w:t>
                          </w:r>
                          <w:r w:rsidR="00136D62">
                            <w:rPr>
                              <w:rFonts w:ascii="Bookman Old Style" w:hAnsi="Bookman Old Style"/>
                              <w:color w:val="14415C"/>
                              <w:sz w:val="18"/>
                              <w:szCs w:val="18"/>
                            </w:rPr>
                            <w:t xml:space="preserve">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314503CD"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w:t>
                    </w:r>
                    <w:r w:rsidR="00513625">
                      <w:rPr>
                        <w:rFonts w:ascii="Bookman Old Style" w:hAnsi="Bookman Old Style"/>
                        <w:color w:val="14415C"/>
                        <w:sz w:val="18"/>
                        <w:szCs w:val="18"/>
                      </w:rPr>
                      <w:t>2</w:t>
                    </w:r>
                    <w:r w:rsidR="00513625">
                      <w:rPr>
                        <w:rFonts w:ascii="Bookman Old Style" w:hAnsi="Bookman Old Style"/>
                        <w:color w:val="14415C"/>
                        <w:sz w:val="18"/>
                        <w:szCs w:val="18"/>
                        <w:vertAlign w:val="superscript"/>
                      </w:rPr>
                      <w:t>nd</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74D70FCE" w:rsidR="00EE3189" w:rsidRDefault="00513625" w:rsidP="00EE3189">
                    <w:pPr>
                      <w:spacing w:after="0"/>
                      <w:rPr>
                        <w:rFonts w:ascii="Bookman Old Style" w:hAnsi="Bookman Old Style"/>
                        <w:b/>
                        <w:color w:val="14415C"/>
                        <w:sz w:val="18"/>
                        <w:szCs w:val="18"/>
                      </w:rPr>
                    </w:pPr>
                    <w:r>
                      <w:rPr>
                        <w:rFonts w:ascii="Bookman Old Style" w:hAnsi="Bookman Old Style"/>
                        <w:color w:val="14415C"/>
                        <w:sz w:val="18"/>
                        <w:szCs w:val="18"/>
                      </w:rPr>
                      <w:t>20</w:t>
                    </w:r>
                    <w:r w:rsidR="00A75CC6">
                      <w:rPr>
                        <w:rFonts w:ascii="Bookman Old Style" w:hAnsi="Bookman Old Style"/>
                        <w:color w:val="14415C"/>
                        <w:sz w:val="18"/>
                        <w:szCs w:val="18"/>
                        <w:vertAlign w:val="superscript"/>
                      </w:rPr>
                      <w:t>th</w:t>
                    </w:r>
                    <w:r w:rsidR="00A75CC6">
                      <w:rPr>
                        <w:rFonts w:ascii="Bookman Old Style" w:hAnsi="Bookman Old Style"/>
                        <w:color w:val="14415C"/>
                        <w:sz w:val="18"/>
                        <w:szCs w:val="18"/>
                      </w:rPr>
                      <w:t xml:space="preserve"> </w:t>
                    </w:r>
                    <w:r w:rsidR="00AC1AD7">
                      <w:rPr>
                        <w:rFonts w:ascii="Bookman Old Style" w:hAnsi="Bookman Old Style"/>
                        <w:color w:val="14415C"/>
                        <w:sz w:val="18"/>
                        <w:szCs w:val="18"/>
                      </w:rPr>
                      <w:t>March</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26</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w:t>
                    </w:r>
                    <w:r w:rsidR="00A553B4">
                      <w:rPr>
                        <w:rFonts w:ascii="Bookman Old Style" w:hAnsi="Bookman Old Style"/>
                        <w:color w:val="14415C"/>
                        <w:sz w:val="18"/>
                        <w:szCs w:val="18"/>
                      </w:rPr>
                      <w:t>March</w:t>
                    </w:r>
                    <w:r w:rsidR="00136D62">
                      <w:rPr>
                        <w:rFonts w:ascii="Bookman Old Style" w:hAnsi="Bookman Old Style"/>
                        <w:color w:val="14415C"/>
                        <w:sz w:val="18"/>
                        <w:szCs w:val="18"/>
                      </w:rPr>
                      <w:t xml:space="preserve">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0F232577" w14:textId="00946FCD" w:rsidR="00184CC2" w:rsidRPr="0057669E" w:rsidRDefault="00184CC2" w:rsidP="00184CC2">
                          <w:pPr>
                            <w:spacing w:after="0"/>
                            <w:rPr>
                              <w:rFonts w:ascii="Cambria" w:hAnsi="Cambria"/>
                              <w:b/>
                              <w:color w:val="002060"/>
                              <w:sz w:val="20"/>
                              <w:szCs w:val="20"/>
                            </w:rPr>
                          </w:pPr>
                          <w:r>
                            <w:rPr>
                              <w:rFonts w:ascii="Bookman Old Style" w:hAnsi="Bookman Old Style"/>
                              <w:color w:val="14415C"/>
                              <w:sz w:val="18"/>
                              <w:szCs w:val="18"/>
                            </w:rPr>
                            <w:t>Tax Connect: 34</w:t>
                          </w:r>
                          <w:r w:rsidR="00863A55">
                            <w:rPr>
                              <w:rFonts w:ascii="Bookman Old Style" w:hAnsi="Bookman Old Style"/>
                              <w:color w:val="14415C"/>
                              <w:sz w:val="18"/>
                              <w:szCs w:val="18"/>
                            </w:rPr>
                            <w:t>2</w:t>
                          </w:r>
                          <w:r w:rsidR="00863A55">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52610685" w14:textId="24AE6B7D" w:rsidR="00184CC2" w:rsidRDefault="00863A55" w:rsidP="00184CC2">
                          <w:pPr>
                            <w:spacing w:after="0"/>
                            <w:rPr>
                              <w:rFonts w:ascii="Bookman Old Style" w:hAnsi="Bookman Old Style"/>
                              <w:b/>
                              <w:color w:val="14415C"/>
                              <w:sz w:val="18"/>
                              <w:szCs w:val="18"/>
                            </w:rPr>
                          </w:pPr>
                          <w:r>
                            <w:rPr>
                              <w:rFonts w:ascii="Bookman Old Style" w:hAnsi="Bookman Old Style"/>
                              <w:color w:val="14415C"/>
                              <w:sz w:val="18"/>
                              <w:szCs w:val="18"/>
                            </w:rPr>
                            <w:t>20</w:t>
                          </w:r>
                          <w:r w:rsidR="00184CC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 </w:t>
                          </w:r>
                          <w:r>
                            <w:rPr>
                              <w:rFonts w:ascii="Bookman Old Style" w:hAnsi="Bookman Old Style"/>
                              <w:color w:val="14415C"/>
                              <w:sz w:val="18"/>
                              <w:szCs w:val="18"/>
                            </w:rPr>
                            <w:t>26</w:t>
                          </w:r>
                          <w:r w:rsidR="00184CC2" w:rsidRPr="00136D6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0F232577" w14:textId="00946FCD" w:rsidR="00184CC2" w:rsidRPr="0057669E" w:rsidRDefault="00184CC2" w:rsidP="00184CC2">
                    <w:pPr>
                      <w:spacing w:after="0"/>
                      <w:rPr>
                        <w:rFonts w:ascii="Cambria" w:hAnsi="Cambria"/>
                        <w:b/>
                        <w:color w:val="002060"/>
                        <w:sz w:val="20"/>
                        <w:szCs w:val="20"/>
                      </w:rPr>
                    </w:pPr>
                    <w:r>
                      <w:rPr>
                        <w:rFonts w:ascii="Bookman Old Style" w:hAnsi="Bookman Old Style"/>
                        <w:color w:val="14415C"/>
                        <w:sz w:val="18"/>
                        <w:szCs w:val="18"/>
                      </w:rPr>
                      <w:t>Tax Connect: 34</w:t>
                    </w:r>
                    <w:r w:rsidR="00863A55">
                      <w:rPr>
                        <w:rFonts w:ascii="Bookman Old Style" w:hAnsi="Bookman Old Style"/>
                        <w:color w:val="14415C"/>
                        <w:sz w:val="18"/>
                        <w:szCs w:val="18"/>
                      </w:rPr>
                      <w:t>2</w:t>
                    </w:r>
                    <w:r w:rsidR="00863A55">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52610685" w14:textId="24AE6B7D" w:rsidR="00184CC2" w:rsidRDefault="00863A55" w:rsidP="00184CC2">
                    <w:pPr>
                      <w:spacing w:after="0"/>
                      <w:rPr>
                        <w:rFonts w:ascii="Bookman Old Style" w:hAnsi="Bookman Old Style"/>
                        <w:b/>
                        <w:color w:val="14415C"/>
                        <w:sz w:val="18"/>
                        <w:szCs w:val="18"/>
                      </w:rPr>
                    </w:pPr>
                    <w:r>
                      <w:rPr>
                        <w:rFonts w:ascii="Bookman Old Style" w:hAnsi="Bookman Old Style"/>
                        <w:color w:val="14415C"/>
                        <w:sz w:val="18"/>
                        <w:szCs w:val="18"/>
                      </w:rPr>
                      <w:t>20</w:t>
                    </w:r>
                    <w:r w:rsidR="00184CC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 </w:t>
                    </w:r>
                    <w:r>
                      <w:rPr>
                        <w:rFonts w:ascii="Bookman Old Style" w:hAnsi="Bookman Old Style"/>
                        <w:color w:val="14415C"/>
                        <w:sz w:val="18"/>
                        <w:szCs w:val="18"/>
                      </w:rPr>
                      <w:t>26</w:t>
                    </w:r>
                    <w:r w:rsidR="00184CC2" w:rsidRPr="00136D62">
                      <w:rPr>
                        <w:rFonts w:ascii="Bookman Old Style" w:hAnsi="Bookman Old Style"/>
                        <w:color w:val="14415C"/>
                        <w:sz w:val="18"/>
                        <w:szCs w:val="18"/>
                        <w:vertAlign w:val="superscript"/>
                      </w:rPr>
                      <w:t>th</w:t>
                    </w:r>
                    <w:r w:rsidR="00184CC2">
                      <w:rPr>
                        <w:rFonts w:ascii="Bookman Old Style" w:hAnsi="Bookman Old Style"/>
                        <w:color w:val="14415C"/>
                        <w:sz w:val="18"/>
                        <w:szCs w:val="18"/>
                      </w:rPr>
                      <w:t xml:space="preserve"> March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E31BE" w14:textId="77777777" w:rsidR="00E62085" w:rsidRDefault="00E62085" w:rsidP="008A20D1">
      <w:pPr>
        <w:spacing w:after="0" w:line="240" w:lineRule="auto"/>
      </w:pPr>
      <w:r>
        <w:separator/>
      </w:r>
    </w:p>
  </w:footnote>
  <w:footnote w:type="continuationSeparator" w:id="0">
    <w:p w14:paraId="1918C416" w14:textId="77777777" w:rsidR="00E62085" w:rsidRDefault="00E62085"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50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510" name="Picture 51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3" name="Picture 4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0" name="Picture 2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2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E2F1B25" w:rsidR="008A60AA" w:rsidRDefault="008A60A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2E2F1B25" w:rsidR="008A60AA" w:rsidRDefault="008A60A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41" name="Picture 41"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4" name="Picture 4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4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27" name="Picture 2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8" name="Picture 2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2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732DB1D9">
              <wp:simplePos x="0" y="0"/>
              <wp:positionH relativeFrom="column">
                <wp:posOffset>2151380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69.4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63" name="Picture 6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49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833C3D"/>
    <w:multiLevelType w:val="multilevel"/>
    <w:tmpl w:val="48F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274C"/>
    <w:multiLevelType w:val="hybridMultilevel"/>
    <w:tmpl w:val="7BB07E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F04DF"/>
    <w:multiLevelType w:val="multilevel"/>
    <w:tmpl w:val="01D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3720E"/>
    <w:multiLevelType w:val="multilevel"/>
    <w:tmpl w:val="C88C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32A99"/>
    <w:multiLevelType w:val="hybridMultilevel"/>
    <w:tmpl w:val="A6F480A4"/>
    <w:lvl w:ilvl="0" w:tplc="BFE655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B78F7"/>
    <w:multiLevelType w:val="multilevel"/>
    <w:tmpl w:val="F6FC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13C4F"/>
    <w:multiLevelType w:val="hybridMultilevel"/>
    <w:tmpl w:val="C4D0FEC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8794028"/>
    <w:multiLevelType w:val="multilevel"/>
    <w:tmpl w:val="ED7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D4582B"/>
    <w:multiLevelType w:val="hybridMultilevel"/>
    <w:tmpl w:val="624A4CCC"/>
    <w:lvl w:ilvl="0" w:tplc="9F3E7B58">
      <w:start w:val="1"/>
      <w:numFmt w:val="lowerRoman"/>
      <w:lvlText w:val="%1)"/>
      <w:lvlJc w:val="left"/>
      <w:pPr>
        <w:ind w:left="1222" w:hanging="720"/>
      </w:pPr>
      <w:rPr>
        <w:rFonts w:hint="default"/>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13"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0F12166"/>
    <w:multiLevelType w:val="multilevel"/>
    <w:tmpl w:val="EBE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B7CB3"/>
    <w:multiLevelType w:val="multilevel"/>
    <w:tmpl w:val="675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FA124CF"/>
    <w:multiLevelType w:val="hybridMultilevel"/>
    <w:tmpl w:val="B15ED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1346D7D"/>
    <w:multiLevelType w:val="multilevel"/>
    <w:tmpl w:val="2F70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3F0CF2"/>
    <w:multiLevelType w:val="multilevel"/>
    <w:tmpl w:val="98C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84B76"/>
    <w:multiLevelType w:val="multilevel"/>
    <w:tmpl w:val="396422CA"/>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Roman"/>
      <w:lvlText w:val="%2."/>
      <w:lvlJc w:val="right"/>
      <w:pPr>
        <w:tabs>
          <w:tab w:val="num" w:pos="1440"/>
        </w:tabs>
        <w:ind w:left="1440" w:hanging="360"/>
      </w:pPr>
      <w:rPr>
        <w:rFonts w:asciiTheme="minorHAnsi" w:eastAsia="Times New Roman" w:hAnsiTheme="minorHAnsi" w:cstheme="minorHAnsi"/>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7F1D1F"/>
    <w:multiLevelType w:val="hybridMultilevel"/>
    <w:tmpl w:val="38FA30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59022A3"/>
    <w:multiLevelType w:val="hybridMultilevel"/>
    <w:tmpl w:val="15163B32"/>
    <w:lvl w:ilvl="0" w:tplc="F35A88F6">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689536C"/>
    <w:multiLevelType w:val="multilevel"/>
    <w:tmpl w:val="1692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6272AB"/>
    <w:multiLevelType w:val="multilevel"/>
    <w:tmpl w:val="B88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D8E3737"/>
    <w:multiLevelType w:val="multilevel"/>
    <w:tmpl w:val="032043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6D9C3B86"/>
    <w:multiLevelType w:val="multilevel"/>
    <w:tmpl w:val="7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C458E1"/>
    <w:multiLevelType w:val="multilevel"/>
    <w:tmpl w:val="133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66606F"/>
    <w:multiLevelType w:val="hybridMultilevel"/>
    <w:tmpl w:val="BBCAC3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137947"/>
    <w:multiLevelType w:val="multilevel"/>
    <w:tmpl w:val="C3A0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7"/>
  </w:num>
  <w:num w:numId="3">
    <w:abstractNumId w:val="32"/>
  </w:num>
  <w:num w:numId="4">
    <w:abstractNumId w:val="11"/>
  </w:num>
  <w:num w:numId="5">
    <w:abstractNumId w:val="7"/>
  </w:num>
  <w:num w:numId="6">
    <w:abstractNumId w:val="21"/>
  </w:num>
  <w:num w:numId="7">
    <w:abstractNumId w:val="3"/>
  </w:num>
  <w:num w:numId="8">
    <w:abstractNumId w:val="22"/>
  </w:num>
  <w:num w:numId="9">
    <w:abstractNumId w:val="16"/>
  </w:num>
  <w:num w:numId="10">
    <w:abstractNumId w:val="13"/>
  </w:num>
  <w:num w:numId="11">
    <w:abstractNumId w:val="29"/>
  </w:num>
  <w:num w:numId="12">
    <w:abstractNumId w:val="30"/>
  </w:num>
  <w:num w:numId="13">
    <w:abstractNumId w:val="4"/>
  </w:num>
  <w:num w:numId="14">
    <w:abstractNumId w:val="6"/>
  </w:num>
  <w:num w:numId="15">
    <w:abstractNumId w:val="26"/>
  </w:num>
  <w:num w:numId="16">
    <w:abstractNumId w:val="8"/>
  </w:num>
  <w:num w:numId="17">
    <w:abstractNumId w:val="17"/>
  </w:num>
  <w:num w:numId="18">
    <w:abstractNumId w:val="25"/>
  </w:num>
  <w:num w:numId="19">
    <w:abstractNumId w:val="2"/>
  </w:num>
  <w:num w:numId="20">
    <w:abstractNumId w:val="23"/>
  </w:num>
  <w:num w:numId="21">
    <w:abstractNumId w:val="20"/>
  </w:num>
  <w:num w:numId="22">
    <w:abstractNumId w:val="9"/>
  </w:num>
  <w:num w:numId="23">
    <w:abstractNumId w:val="28"/>
  </w:num>
  <w:num w:numId="24">
    <w:abstractNumId w:val="19"/>
  </w:num>
  <w:num w:numId="25">
    <w:abstractNumId w:val="1"/>
  </w:num>
  <w:num w:numId="26">
    <w:abstractNumId w:val="5"/>
  </w:num>
  <w:num w:numId="27">
    <w:abstractNumId w:val="33"/>
  </w:num>
  <w:num w:numId="28">
    <w:abstractNumId w:val="10"/>
  </w:num>
  <w:num w:numId="29">
    <w:abstractNumId w:val="14"/>
  </w:num>
  <w:num w:numId="30">
    <w:abstractNumId w:val="18"/>
  </w:num>
  <w:num w:numId="31">
    <w:abstractNumId w:val="15"/>
  </w:num>
  <w:num w:numId="32">
    <w:abstractNumId w:val="12"/>
  </w:num>
  <w:num w:numId="33">
    <w:abstractNumId w:val="31"/>
  </w:num>
  <w:num w:numId="34">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04"/>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139"/>
    <w:rsid w:val="0005617E"/>
    <w:rsid w:val="00056270"/>
    <w:rsid w:val="00056352"/>
    <w:rsid w:val="00056577"/>
    <w:rsid w:val="00056B80"/>
    <w:rsid w:val="00056C91"/>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262"/>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2E"/>
    <w:rsid w:val="000D506E"/>
    <w:rsid w:val="000D538B"/>
    <w:rsid w:val="000D53B2"/>
    <w:rsid w:val="000D59C3"/>
    <w:rsid w:val="000D6371"/>
    <w:rsid w:val="000D6395"/>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23"/>
    <w:rsid w:val="000F5951"/>
    <w:rsid w:val="000F602B"/>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3F"/>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5AE"/>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1F0C"/>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090"/>
    <w:rsid w:val="001E4470"/>
    <w:rsid w:val="001E45D0"/>
    <w:rsid w:val="001E4616"/>
    <w:rsid w:val="001E46BA"/>
    <w:rsid w:val="001E48D1"/>
    <w:rsid w:val="001E4D7C"/>
    <w:rsid w:val="001E55E7"/>
    <w:rsid w:val="001E5981"/>
    <w:rsid w:val="001E5CB7"/>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14A"/>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55"/>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19F"/>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5089"/>
    <w:rsid w:val="002652B3"/>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29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68D"/>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48"/>
    <w:rsid w:val="002F58A1"/>
    <w:rsid w:val="002F5AF9"/>
    <w:rsid w:val="002F6009"/>
    <w:rsid w:val="002F60D1"/>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6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333"/>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09B"/>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21"/>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700E"/>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5E6"/>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2E6"/>
    <w:rsid w:val="003F767A"/>
    <w:rsid w:val="003F7696"/>
    <w:rsid w:val="003F76B3"/>
    <w:rsid w:val="003F7A50"/>
    <w:rsid w:val="003F7E6D"/>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AAA"/>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81B"/>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15"/>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1012"/>
    <w:rsid w:val="00531169"/>
    <w:rsid w:val="00531184"/>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A3F"/>
    <w:rsid w:val="005A3BBF"/>
    <w:rsid w:val="005A3C2B"/>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251"/>
    <w:rsid w:val="005F4376"/>
    <w:rsid w:val="005F43A7"/>
    <w:rsid w:val="005F4881"/>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45"/>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31C"/>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1EDE"/>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21A"/>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2FFE"/>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254"/>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1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320"/>
    <w:rsid w:val="00862A78"/>
    <w:rsid w:val="00862B0E"/>
    <w:rsid w:val="00862B36"/>
    <w:rsid w:val="00862E16"/>
    <w:rsid w:val="00862ED2"/>
    <w:rsid w:val="008634C5"/>
    <w:rsid w:val="008636BA"/>
    <w:rsid w:val="00863A55"/>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462"/>
    <w:rsid w:val="008737A7"/>
    <w:rsid w:val="008740AC"/>
    <w:rsid w:val="00874210"/>
    <w:rsid w:val="008749A3"/>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58C"/>
    <w:rsid w:val="009907CD"/>
    <w:rsid w:val="009907D2"/>
    <w:rsid w:val="0099096C"/>
    <w:rsid w:val="00990C6B"/>
    <w:rsid w:val="00990D45"/>
    <w:rsid w:val="00990F78"/>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D52"/>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5B"/>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E7FC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4E"/>
    <w:rsid w:val="00A045E1"/>
    <w:rsid w:val="00A049D5"/>
    <w:rsid w:val="00A04B8B"/>
    <w:rsid w:val="00A04C19"/>
    <w:rsid w:val="00A04D6F"/>
    <w:rsid w:val="00A04DBD"/>
    <w:rsid w:val="00A059E6"/>
    <w:rsid w:val="00A05A55"/>
    <w:rsid w:val="00A060FE"/>
    <w:rsid w:val="00A066A5"/>
    <w:rsid w:val="00A0688C"/>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5E8"/>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4E"/>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CC6"/>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AD7"/>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63"/>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7A"/>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7C0"/>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EE6"/>
    <w:rsid w:val="00C775EF"/>
    <w:rsid w:val="00C77768"/>
    <w:rsid w:val="00C77966"/>
    <w:rsid w:val="00C77B90"/>
    <w:rsid w:val="00C77F82"/>
    <w:rsid w:val="00C77FAA"/>
    <w:rsid w:val="00C804EF"/>
    <w:rsid w:val="00C809CC"/>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4A7"/>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613F"/>
    <w:rsid w:val="00CE642C"/>
    <w:rsid w:val="00CE6736"/>
    <w:rsid w:val="00CE67BA"/>
    <w:rsid w:val="00CE6AD3"/>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396"/>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244"/>
    <w:rsid w:val="00D9237E"/>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23D"/>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23E"/>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8C3"/>
    <w:rsid w:val="00E45A83"/>
    <w:rsid w:val="00E45BBF"/>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85"/>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2E20"/>
    <w:rsid w:val="00E73704"/>
    <w:rsid w:val="00E73863"/>
    <w:rsid w:val="00E739EE"/>
    <w:rsid w:val="00E73A71"/>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67F"/>
    <w:rsid w:val="00E87E09"/>
    <w:rsid w:val="00E87E6C"/>
    <w:rsid w:val="00E87F0D"/>
    <w:rsid w:val="00E905C1"/>
    <w:rsid w:val="00E909F4"/>
    <w:rsid w:val="00E90B20"/>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7F8"/>
    <w:rsid w:val="00EC2842"/>
    <w:rsid w:val="00EC2A6B"/>
    <w:rsid w:val="00EC2A71"/>
    <w:rsid w:val="00EC2D1B"/>
    <w:rsid w:val="00EC30EC"/>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679"/>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taxconnect.co.in" TargetMode="External"/><Relationship Id="rId21" Type="http://schemas.openxmlformats.org/officeDocument/2006/relationships/header" Target="header1.xml"/><Relationship Id="rId42" Type="http://schemas.openxmlformats.org/officeDocument/2006/relationships/footer" Target="footer3.xml"/><Relationship Id="rId47" Type="http://schemas.openxmlformats.org/officeDocument/2006/relationships/header" Target="header12.xml"/><Relationship Id="rId63" Type="http://schemas.openxmlformats.org/officeDocument/2006/relationships/image" Target="media/image17.png"/><Relationship Id="rId68" Type="http://schemas.openxmlformats.org/officeDocument/2006/relationships/hyperlink" Target="mailto:poonam.khemka@taxconnectdelhi.co.in" TargetMode="External"/><Relationship Id="rId16" Type="http://schemas.openxmlformats.org/officeDocument/2006/relationships/image" Target="media/image30.jpeg"/><Relationship Id="rId11" Type="http://schemas.openxmlformats.org/officeDocument/2006/relationships/image" Target="media/image4.jpeg"/><Relationship Id="rId32" Type="http://schemas.openxmlformats.org/officeDocument/2006/relationships/header" Target="header5.xml"/><Relationship Id="rId37" Type="http://schemas.openxmlformats.org/officeDocument/2006/relationships/hyperlink" Target="https://www.taxmanagementindia.com/visitor/acts_rules_provisions.asp?ID=551" TargetMode="External"/><Relationship Id="rId53" Type="http://schemas.openxmlformats.org/officeDocument/2006/relationships/hyperlink" Target="http://www.taxconnect.co.in/" TargetMode="External"/><Relationship Id="rId58" Type="http://schemas.openxmlformats.org/officeDocument/2006/relationships/hyperlink" Target="http://www.taxconnect.co.in/" TargetMode="External"/><Relationship Id="rId74" Type="http://schemas.openxmlformats.org/officeDocument/2006/relationships/image" Target="media/image26.png"/><Relationship Id="rId79" Type="http://schemas.openxmlformats.org/officeDocument/2006/relationships/header" Target="header14.xml"/><Relationship Id="rId5" Type="http://schemas.openxmlformats.org/officeDocument/2006/relationships/webSettings" Target="webSettings.xml"/><Relationship Id="rId61" Type="http://schemas.openxmlformats.org/officeDocument/2006/relationships/image" Target="media/image15.png"/><Relationship Id="rId19" Type="http://schemas.openxmlformats.org/officeDocument/2006/relationships/image" Target="media/image60.emf"/><Relationship Id="rId14" Type="http://schemas.openxmlformats.org/officeDocument/2006/relationships/image" Target="media/image13.jpeg"/><Relationship Id="rId22" Type="http://schemas.openxmlformats.org/officeDocument/2006/relationships/footer" Target="footer1.xml"/><Relationship Id="rId27" Type="http://schemas.openxmlformats.org/officeDocument/2006/relationships/hyperlink" Target="http://www.taxconnect.co.in" TargetMode="External"/><Relationship Id="rId30" Type="http://schemas.openxmlformats.org/officeDocument/2006/relationships/image" Target="media/image10.jpeg"/><Relationship Id="rId35" Type="http://schemas.openxmlformats.org/officeDocument/2006/relationships/header" Target="header8.xml"/><Relationship Id="rId43" Type="http://schemas.openxmlformats.org/officeDocument/2006/relationships/header" Target="header10.xml"/><Relationship Id="rId48" Type="http://schemas.openxmlformats.org/officeDocument/2006/relationships/header" Target="header13.xml"/><Relationship Id="rId56" Type="http://schemas.openxmlformats.org/officeDocument/2006/relationships/hyperlink" Target="mailto:info@taxconnect.co.in" TargetMode="External"/><Relationship Id="rId64" Type="http://schemas.openxmlformats.org/officeDocument/2006/relationships/image" Target="media/image18.png"/><Relationship Id="rId69" Type="http://schemas.openxmlformats.org/officeDocument/2006/relationships/image" Target="media/image22.png"/><Relationship Id="rId77"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hyperlink" Target="mailto:info@taxconnect.co.in" TargetMode="External"/><Relationship Id="rId72" Type="http://schemas.openxmlformats.org/officeDocument/2006/relationships/image" Target="media/image24.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jpeg"/><Relationship Id="rId25" Type="http://schemas.openxmlformats.org/officeDocument/2006/relationships/hyperlink" Target="http://www.taxconnect.co.in" TargetMode="External"/><Relationship Id="rId33" Type="http://schemas.openxmlformats.org/officeDocument/2006/relationships/header" Target="header6.xml"/><Relationship Id="rId38" Type="http://schemas.openxmlformats.org/officeDocument/2006/relationships/hyperlink" Target="https://www.taxmanagementindia.com/visitor/acts_rules_provisions.asp?ID=551" TargetMode="External"/><Relationship Id="rId46" Type="http://schemas.openxmlformats.org/officeDocument/2006/relationships/header" Target="header11.xml"/><Relationship Id="rId59" Type="http://schemas.openxmlformats.org/officeDocument/2006/relationships/image" Target="media/image13.png"/><Relationship Id="rId67" Type="http://schemas.openxmlformats.org/officeDocument/2006/relationships/image" Target="media/image21.png"/><Relationship Id="rId20" Type="http://schemas.openxmlformats.org/officeDocument/2006/relationships/image" Target="media/image7.png"/><Relationship Id="rId41" Type="http://schemas.openxmlformats.org/officeDocument/2006/relationships/header" Target="header9.xml"/><Relationship Id="rId54" Type="http://schemas.openxmlformats.org/officeDocument/2006/relationships/image" Target="media/image12.jpeg"/><Relationship Id="rId62" Type="http://schemas.openxmlformats.org/officeDocument/2006/relationships/image" Target="media/image16.png"/><Relationship Id="rId70" Type="http://schemas.openxmlformats.org/officeDocument/2006/relationships/hyperlink" Target="mailto:poonam.khemka@taxconnectdelhi.co.in" TargetMode="External"/><Relationship Id="rId75"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header" Target="header2.xml"/><Relationship Id="rId28" Type="http://schemas.openxmlformats.org/officeDocument/2006/relationships/hyperlink" Target="mailto:info@taxconnect.co.in" TargetMode="External"/><Relationship Id="rId36" Type="http://schemas.openxmlformats.org/officeDocument/2006/relationships/hyperlink" Target="https://www.taxmanagementindia.com/visitor/detail_circular.asp?ID=64512" TargetMode="External"/><Relationship Id="rId49" Type="http://schemas.openxmlformats.org/officeDocument/2006/relationships/image" Target="media/image11.jpeg"/><Relationship Id="rId57" Type="http://schemas.openxmlformats.org/officeDocument/2006/relationships/hyperlink" Target="http://www.bookcorporation.com/" TargetMode="External"/><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hyperlink" Target="https://www.taxmanagementindia.com/visitor/detail_notification.asp?ID=120414" TargetMode="External"/><Relationship Id="rId52" Type="http://schemas.openxmlformats.org/officeDocument/2006/relationships/hyperlink" Target="http://www.bookcorporation.com/" TargetMode="External"/><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image" Target="media/image25.png"/><Relationship Id="rId78" Type="http://schemas.openxmlformats.org/officeDocument/2006/relationships/image" Target="media/image30.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50.png"/><Relationship Id="rId39" Type="http://schemas.openxmlformats.org/officeDocument/2006/relationships/hyperlink" Target="https://www.taxmanagementindia.com/visitor/acts_rules_provisions.asp?ID=551" TargetMode="External"/><Relationship Id="rId34" Type="http://schemas.openxmlformats.org/officeDocument/2006/relationships/header" Target="header7.xml"/><Relationship Id="rId50" Type="http://schemas.openxmlformats.org/officeDocument/2006/relationships/hyperlink" Target="mailto:bookcorporation@gmail.com" TargetMode="External"/><Relationship Id="rId55" Type="http://schemas.openxmlformats.org/officeDocument/2006/relationships/hyperlink" Target="mailto:bookcorporation@gmail.com" TargetMode="External"/><Relationship Id="rId76"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image" Target="media/image23.png"/><Relationship Id="rId2" Type="http://schemas.openxmlformats.org/officeDocument/2006/relationships/numbering" Target="numbering.xml"/><Relationship Id="rId29" Type="http://schemas.openxmlformats.org/officeDocument/2006/relationships/header" Target="header3.xml"/><Relationship Id="rId24" Type="http://schemas.openxmlformats.org/officeDocument/2006/relationships/footer" Target="footer2.xml"/><Relationship Id="rId40" Type="http://schemas.openxmlformats.org/officeDocument/2006/relationships/hyperlink" Target="https://www.taxmanagementindia.com/visitor/acts_rules_provisions.asp?ID=551" TargetMode="External"/><Relationship Id="rId45" Type="http://schemas.openxmlformats.org/officeDocument/2006/relationships/hyperlink" Target="https://www.taxmanagementindia.com/visitor/detail_notification.asp?ID=120414" TargetMode="External"/><Relationship Id="rId66"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12</Pages>
  <Words>3666</Words>
  <Characters>20902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51</cp:revision>
  <cp:lastPrinted>2021-10-22T22:05:00Z</cp:lastPrinted>
  <dcterms:created xsi:type="dcterms:W3CDTF">2022-03-14T05:42:00Z</dcterms:created>
  <dcterms:modified xsi:type="dcterms:W3CDTF">2022-03-19T07:30:00Z</dcterms:modified>
</cp:coreProperties>
</file>