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EE75552"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6D7A9BE0" w:rsidR="00EE3189" w:rsidRDefault="00223646" w:rsidP="00EE3189">
                            <w:pPr>
                              <w:rPr>
                                <w:rFonts w:ascii="Comic Sans MS" w:hAnsi="Comic Sans MS"/>
                                <w:b/>
                                <w:color w:val="FFFFFF"/>
                                <w:sz w:val="24"/>
                                <w:szCs w:val="24"/>
                              </w:rPr>
                            </w:pPr>
                            <w:r>
                              <w:rPr>
                                <w:rFonts w:ascii="Comic Sans MS" w:hAnsi="Comic Sans MS"/>
                                <w:color w:val="FFFFFF" w:themeColor="background1"/>
                                <w:sz w:val="24"/>
                                <w:szCs w:val="24"/>
                              </w:rPr>
                              <w:t>3</w:t>
                            </w:r>
                            <w:r w:rsidR="00AC1AD7">
                              <w:rPr>
                                <w:rFonts w:ascii="Comic Sans MS" w:hAnsi="Comic Sans MS"/>
                                <w:color w:val="FFFFFF" w:themeColor="background1"/>
                                <w:sz w:val="24"/>
                                <w:szCs w:val="24"/>
                              </w:rPr>
                              <w:t>40</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AC1AD7">
                              <w:rPr>
                                <w:rFonts w:ascii="Comic Sans MS" w:hAnsi="Comic Sans MS"/>
                                <w:color w:val="FFFFFF" w:themeColor="background1"/>
                                <w:sz w:val="24"/>
                                <w:szCs w:val="24"/>
                              </w:rPr>
                              <w:t>6</w:t>
                            </w:r>
                            <w:r w:rsidR="003C1B6F" w:rsidRPr="003C1B6F">
                              <w:rPr>
                                <w:rFonts w:ascii="Comic Sans MS" w:hAnsi="Comic Sans MS"/>
                                <w:color w:val="FFFFFF" w:themeColor="background1"/>
                                <w:sz w:val="24"/>
                                <w:szCs w:val="24"/>
                                <w:vertAlign w:val="superscript"/>
                              </w:rPr>
                              <w:t>th</w:t>
                            </w:r>
                            <w:r w:rsidR="003C1B6F">
                              <w:rPr>
                                <w:rFonts w:ascii="Comic Sans MS" w:hAnsi="Comic Sans MS"/>
                                <w:color w:val="FFFFFF" w:themeColor="background1"/>
                                <w:sz w:val="24"/>
                                <w:szCs w:val="24"/>
                              </w:rPr>
                              <w:t xml:space="preserve"> </w:t>
                            </w:r>
                            <w:r w:rsidR="00AC1AD7">
                              <w:rPr>
                                <w:rFonts w:ascii="Comic Sans MS" w:hAnsi="Comic Sans MS"/>
                                <w:color w:val="FFFFFF" w:themeColor="background1"/>
                                <w:sz w:val="24"/>
                                <w:szCs w:val="24"/>
                              </w:rPr>
                              <w:t>March</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AC1AD7">
                              <w:rPr>
                                <w:rFonts w:ascii="Comic Sans MS" w:hAnsi="Comic Sans MS"/>
                                <w:color w:val="FFFFFF" w:themeColor="background1"/>
                                <w:sz w:val="24"/>
                                <w:szCs w:val="24"/>
                              </w:rPr>
                              <w:t>12</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A553B4">
                              <w:rPr>
                                <w:rFonts w:ascii="Comic Sans MS" w:hAnsi="Comic Sans MS"/>
                                <w:color w:val="FFFFFF" w:themeColor="background1"/>
                                <w:sz w:val="24"/>
                                <w:szCs w:val="24"/>
                              </w:rPr>
                              <w:t>March</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6D7A9BE0" w:rsidR="00EE3189" w:rsidRDefault="00223646" w:rsidP="00EE3189">
                      <w:pPr>
                        <w:rPr>
                          <w:rFonts w:ascii="Comic Sans MS" w:hAnsi="Comic Sans MS"/>
                          <w:b/>
                          <w:color w:val="FFFFFF"/>
                          <w:sz w:val="24"/>
                          <w:szCs w:val="24"/>
                        </w:rPr>
                      </w:pPr>
                      <w:r>
                        <w:rPr>
                          <w:rFonts w:ascii="Comic Sans MS" w:hAnsi="Comic Sans MS"/>
                          <w:color w:val="FFFFFF" w:themeColor="background1"/>
                          <w:sz w:val="24"/>
                          <w:szCs w:val="24"/>
                        </w:rPr>
                        <w:t>3</w:t>
                      </w:r>
                      <w:r w:rsidR="00AC1AD7">
                        <w:rPr>
                          <w:rFonts w:ascii="Comic Sans MS" w:hAnsi="Comic Sans MS"/>
                          <w:color w:val="FFFFFF" w:themeColor="background1"/>
                          <w:sz w:val="24"/>
                          <w:szCs w:val="24"/>
                        </w:rPr>
                        <w:t>40</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AC1AD7">
                        <w:rPr>
                          <w:rFonts w:ascii="Comic Sans MS" w:hAnsi="Comic Sans MS"/>
                          <w:color w:val="FFFFFF" w:themeColor="background1"/>
                          <w:sz w:val="24"/>
                          <w:szCs w:val="24"/>
                        </w:rPr>
                        <w:t>6</w:t>
                      </w:r>
                      <w:r w:rsidR="003C1B6F" w:rsidRPr="003C1B6F">
                        <w:rPr>
                          <w:rFonts w:ascii="Comic Sans MS" w:hAnsi="Comic Sans MS"/>
                          <w:color w:val="FFFFFF" w:themeColor="background1"/>
                          <w:sz w:val="24"/>
                          <w:szCs w:val="24"/>
                          <w:vertAlign w:val="superscript"/>
                        </w:rPr>
                        <w:t>th</w:t>
                      </w:r>
                      <w:r w:rsidR="003C1B6F">
                        <w:rPr>
                          <w:rFonts w:ascii="Comic Sans MS" w:hAnsi="Comic Sans MS"/>
                          <w:color w:val="FFFFFF" w:themeColor="background1"/>
                          <w:sz w:val="24"/>
                          <w:szCs w:val="24"/>
                        </w:rPr>
                        <w:t xml:space="preserve"> </w:t>
                      </w:r>
                      <w:r w:rsidR="00AC1AD7">
                        <w:rPr>
                          <w:rFonts w:ascii="Comic Sans MS" w:hAnsi="Comic Sans MS"/>
                          <w:color w:val="FFFFFF" w:themeColor="background1"/>
                          <w:sz w:val="24"/>
                          <w:szCs w:val="24"/>
                        </w:rPr>
                        <w:t>March</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AC1AD7">
                        <w:rPr>
                          <w:rFonts w:ascii="Comic Sans MS" w:hAnsi="Comic Sans MS"/>
                          <w:color w:val="FFFFFF" w:themeColor="background1"/>
                          <w:sz w:val="24"/>
                          <w:szCs w:val="24"/>
                        </w:rPr>
                        <w:t>12</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A553B4">
                        <w:rPr>
                          <w:rFonts w:ascii="Comic Sans MS" w:hAnsi="Comic Sans MS"/>
                          <w:color w:val="FFFFFF" w:themeColor="background1"/>
                          <w:sz w:val="24"/>
                          <w:szCs w:val="24"/>
                        </w:rPr>
                        <w:t>March</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14">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15">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6">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7">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0"/>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21"/>
          <w:footerReference w:type="default" r:id="rId22"/>
          <w:headerReference w:type="first" r:id="rId23"/>
          <w:footerReference w:type="first" r:id="rId24"/>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3A4B9D07" w:rsidR="00473553" w:rsidRDefault="00EB4DA5" w:rsidP="00FA20CC">
                            <w:pPr>
                              <w:pStyle w:val="NoSpacing"/>
                              <w:tabs>
                                <w:tab w:val="left" w:pos="360"/>
                              </w:tabs>
                              <w:ind w:right="-483"/>
                              <w:jc w:val="both"/>
                              <w:rPr>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01D3E559" w14:textId="77777777" w:rsidR="004C3117" w:rsidRPr="00147EE2" w:rsidRDefault="004C3117" w:rsidP="00FA20CC">
                            <w:pPr>
                              <w:pStyle w:val="NoSpacing"/>
                              <w:tabs>
                                <w:tab w:val="left" w:pos="360"/>
                              </w:tabs>
                              <w:ind w:right="-483"/>
                              <w:jc w:val="both"/>
                              <w:rPr>
                                <w:b/>
                                <w:bCs/>
                                <w:sz w:val="24"/>
                                <w:szCs w:val="24"/>
                              </w:rPr>
                            </w:pPr>
                          </w:p>
                          <w:p w14:paraId="4538C336" w14:textId="3912259B"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08396D7A" w14:textId="77777777" w:rsidR="004C3117" w:rsidRDefault="004C3117" w:rsidP="00FA20CC">
                            <w:pPr>
                              <w:pStyle w:val="m4770815165171064486m-9017478411586043927msonospacing"/>
                              <w:shd w:val="clear" w:color="auto" w:fill="FFFFFF"/>
                              <w:spacing w:before="0" w:beforeAutospacing="0" w:after="0" w:afterAutospacing="0"/>
                              <w:ind w:left="1260" w:hanging="1260"/>
                              <w:jc w:val="both"/>
                              <w:rPr>
                                <w:bCs/>
                              </w:rPr>
                            </w:pPr>
                          </w:p>
                          <w:p w14:paraId="2DA5BC65" w14:textId="1E299459" w:rsidR="00473553"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3C2CE88F" w14:textId="77777777" w:rsidR="004C3117" w:rsidRPr="006C16CD" w:rsidRDefault="004C3117" w:rsidP="00FA20CC">
                            <w:pPr>
                              <w:pStyle w:val="NoSpacing"/>
                              <w:tabs>
                                <w:tab w:val="left" w:pos="360"/>
                              </w:tabs>
                              <w:ind w:right="-483"/>
                              <w:jc w:val="both"/>
                              <w:rPr>
                                <w:rFonts w:ascii="Times New Roman" w:hAnsi="Times New Roman"/>
                                <w:bCs/>
                                <w:sz w:val="24"/>
                                <w:szCs w:val="24"/>
                              </w:rPr>
                            </w:pP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5"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6"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3A4B9D07" w:rsidR="00473553" w:rsidRDefault="00EB4DA5" w:rsidP="00FA20CC">
                      <w:pPr>
                        <w:pStyle w:val="NoSpacing"/>
                        <w:tabs>
                          <w:tab w:val="left" w:pos="360"/>
                        </w:tabs>
                        <w:ind w:right="-483"/>
                        <w:jc w:val="both"/>
                        <w:rPr>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01D3E559" w14:textId="77777777" w:rsidR="004C3117" w:rsidRPr="00147EE2" w:rsidRDefault="004C3117" w:rsidP="00FA20CC">
                      <w:pPr>
                        <w:pStyle w:val="NoSpacing"/>
                        <w:tabs>
                          <w:tab w:val="left" w:pos="360"/>
                        </w:tabs>
                        <w:ind w:right="-483"/>
                        <w:jc w:val="both"/>
                        <w:rPr>
                          <w:b/>
                          <w:bCs/>
                          <w:sz w:val="24"/>
                          <w:szCs w:val="24"/>
                        </w:rPr>
                      </w:pPr>
                    </w:p>
                    <w:p w14:paraId="4538C336" w14:textId="3912259B"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08396D7A" w14:textId="77777777" w:rsidR="004C3117" w:rsidRDefault="004C3117" w:rsidP="00FA20CC">
                      <w:pPr>
                        <w:pStyle w:val="m4770815165171064486m-9017478411586043927msonospacing"/>
                        <w:shd w:val="clear" w:color="auto" w:fill="FFFFFF"/>
                        <w:spacing w:before="0" w:beforeAutospacing="0" w:after="0" w:afterAutospacing="0"/>
                        <w:ind w:left="1260" w:hanging="1260"/>
                        <w:jc w:val="both"/>
                        <w:rPr>
                          <w:bCs/>
                        </w:rPr>
                      </w:pPr>
                    </w:p>
                    <w:p w14:paraId="2DA5BC65" w14:textId="1E299459" w:rsidR="00473553"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3C2CE88F" w14:textId="77777777" w:rsidR="004C3117" w:rsidRPr="006C16CD" w:rsidRDefault="004C3117" w:rsidP="00FA20CC">
                      <w:pPr>
                        <w:pStyle w:val="NoSpacing"/>
                        <w:tabs>
                          <w:tab w:val="left" w:pos="360"/>
                        </w:tabs>
                        <w:ind w:right="-483"/>
                        <w:jc w:val="both"/>
                        <w:rPr>
                          <w:rFonts w:ascii="Times New Roman" w:hAnsi="Times New Roman"/>
                          <w:bCs/>
                          <w:sz w:val="24"/>
                          <w:szCs w:val="24"/>
                        </w:rPr>
                      </w:pP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7"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8"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9"/>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6D833389"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28F02758" w14:textId="6C900C27" w:rsidR="00473AAA" w:rsidRDefault="00473AAA" w:rsidP="00F57322">
      <w:pPr>
        <w:tabs>
          <w:tab w:val="left" w:pos="4820"/>
        </w:tabs>
        <w:contextualSpacing/>
        <w:jc w:val="both"/>
        <w:rPr>
          <w:rFonts w:asciiTheme="minorHAnsi" w:hAnsiTheme="minorHAnsi" w:cstheme="minorHAnsi"/>
          <w:color w:val="000000" w:themeColor="text1"/>
          <w:shd w:val="clear" w:color="auto" w:fill="FFFFFF"/>
          <w:lang w:val="en-IN"/>
        </w:rPr>
      </w:pPr>
      <w:r w:rsidRPr="00473AAA">
        <w:rPr>
          <w:rFonts w:asciiTheme="minorHAnsi" w:hAnsiTheme="minorHAnsi" w:cstheme="minorHAnsi"/>
          <w:color w:val="000000" w:themeColor="text1"/>
          <w:shd w:val="clear" w:color="auto" w:fill="FFFFFF"/>
          <w:lang w:val="en-IN"/>
        </w:rPr>
        <w:t>The goal of every tax administration is to foster voluntary compliance with the tax law, and it seeks to accomplish this through a mix of measures directed at rendering high-quality service to the taxpayers, putting in place a fair and responsive administration and establishing a strong system of deterrence that makes it clear that non-compliance will be detected and effectively penalised.</w:t>
      </w:r>
    </w:p>
    <w:p w14:paraId="6D2F3198" w14:textId="468E971E" w:rsidR="00557DD4" w:rsidRDefault="00557DD4" w:rsidP="00F57322">
      <w:pPr>
        <w:tabs>
          <w:tab w:val="left" w:pos="4820"/>
        </w:tabs>
        <w:contextualSpacing/>
        <w:jc w:val="both"/>
        <w:rPr>
          <w:rFonts w:asciiTheme="minorHAnsi" w:hAnsiTheme="minorHAnsi" w:cstheme="minorHAnsi"/>
          <w:color w:val="000000" w:themeColor="text1"/>
          <w:shd w:val="clear" w:color="auto" w:fill="FFFFFF"/>
          <w:lang w:val="en-IN"/>
        </w:rPr>
      </w:pPr>
    </w:p>
    <w:p w14:paraId="1FD27037" w14:textId="561D5EFD" w:rsidR="00473AAA" w:rsidRDefault="00473AAA" w:rsidP="00F57322">
      <w:pPr>
        <w:tabs>
          <w:tab w:val="left" w:pos="4820"/>
        </w:tabs>
        <w:contextualSpacing/>
        <w:jc w:val="both"/>
        <w:rPr>
          <w:rFonts w:asciiTheme="minorHAnsi" w:hAnsiTheme="minorHAnsi" w:cstheme="minorHAnsi"/>
          <w:color w:val="000000" w:themeColor="text1"/>
          <w:shd w:val="clear" w:color="auto" w:fill="FFFFFF"/>
          <w:lang w:val="en-IN"/>
        </w:rPr>
      </w:pPr>
      <w:r w:rsidRPr="00473AAA">
        <w:rPr>
          <w:rFonts w:asciiTheme="minorHAnsi" w:hAnsiTheme="minorHAnsi" w:cstheme="minorHAnsi"/>
          <w:color w:val="000000" w:themeColor="text1"/>
          <w:shd w:val="clear" w:color="auto" w:fill="FFFFFF"/>
          <w:lang w:val="en-IN"/>
        </w:rPr>
        <w:t xml:space="preserve">Based on the recommendations of a 13-member task force set up by the Central Board of Direct Taxes CBDT in June 2017, the law was amended in 2018 to provide for a team-based e-environment assessment system with dynamic jurisdiction and the CBDT was empowered to come out with a detailed scheme </w:t>
      </w:r>
      <w:r w:rsidR="00557DD4">
        <w:rPr>
          <w:rFonts w:asciiTheme="minorHAnsi" w:hAnsiTheme="minorHAnsi" w:cstheme="minorHAnsi"/>
          <w:color w:val="000000" w:themeColor="text1"/>
          <w:shd w:val="clear" w:color="auto" w:fill="FFFFFF"/>
          <w:lang w:val="en-IN"/>
        </w:rPr>
        <w:t>for Faceless Assessment</w:t>
      </w:r>
      <w:r w:rsidRPr="00473AAA">
        <w:rPr>
          <w:rFonts w:asciiTheme="minorHAnsi" w:hAnsiTheme="minorHAnsi" w:cstheme="minorHAnsi"/>
          <w:color w:val="000000" w:themeColor="text1"/>
          <w:shd w:val="clear" w:color="auto" w:fill="FFFFFF"/>
          <w:lang w:val="en-IN"/>
        </w:rPr>
        <w:t>.</w:t>
      </w:r>
      <w:r w:rsidR="00FC1168">
        <w:rPr>
          <w:rFonts w:asciiTheme="minorHAnsi" w:hAnsiTheme="minorHAnsi" w:cstheme="minorHAnsi"/>
          <w:color w:val="000000" w:themeColor="text1"/>
          <w:shd w:val="clear" w:color="auto" w:fill="FFFFFF"/>
          <w:lang w:val="en-IN"/>
        </w:rPr>
        <w:t xml:space="preserve"> </w:t>
      </w:r>
      <w:r w:rsidRPr="00473AAA">
        <w:rPr>
          <w:rFonts w:asciiTheme="minorHAnsi" w:hAnsiTheme="minorHAnsi" w:cstheme="minorHAnsi"/>
          <w:color w:val="000000" w:themeColor="text1"/>
          <w:shd w:val="clear" w:color="auto" w:fill="FFFFFF"/>
          <w:lang w:val="en-IN"/>
        </w:rPr>
        <w:t>The CBDT duly notified the E- Assessment Scheme, 2019 (later revamped as the ‘Faceless assessment Scheme’), which sought to impart greater efficiency, transparency and accountability by eliminating the interface between the assessee and the tax authority, and by introducing a team-based assessment system built around technology-driven processes and functional specialisation. Subsequently, the scheme was codified by the insertion of section 144B in the Income-tax Act vide the Taxation and Other Laws (Relaxation and Amendment of Certain Provisions) Act, 2020, with effect from 1 April 2021.</w:t>
      </w:r>
    </w:p>
    <w:p w14:paraId="55D51491" w14:textId="77777777" w:rsidR="00557DD4" w:rsidRPr="00473AAA" w:rsidRDefault="00557DD4" w:rsidP="00F57322">
      <w:pPr>
        <w:tabs>
          <w:tab w:val="left" w:pos="4820"/>
        </w:tabs>
        <w:contextualSpacing/>
        <w:jc w:val="both"/>
        <w:rPr>
          <w:rFonts w:asciiTheme="minorHAnsi" w:hAnsiTheme="minorHAnsi" w:cstheme="minorHAnsi"/>
          <w:color w:val="000000" w:themeColor="text1"/>
          <w:shd w:val="clear" w:color="auto" w:fill="FFFFFF"/>
          <w:lang w:val="en-IN"/>
        </w:rPr>
      </w:pPr>
    </w:p>
    <w:p w14:paraId="23762701" w14:textId="2FA04577" w:rsidR="00473AAA" w:rsidRPr="00473AAA" w:rsidRDefault="00473AAA" w:rsidP="00F57322">
      <w:pPr>
        <w:tabs>
          <w:tab w:val="left" w:pos="4820"/>
        </w:tabs>
        <w:contextualSpacing/>
        <w:jc w:val="both"/>
        <w:rPr>
          <w:rFonts w:asciiTheme="minorHAnsi" w:hAnsiTheme="minorHAnsi" w:cstheme="minorHAnsi"/>
          <w:color w:val="000000" w:themeColor="text1"/>
          <w:shd w:val="clear" w:color="auto" w:fill="FFFFFF"/>
          <w:lang w:val="en-IN"/>
        </w:rPr>
      </w:pPr>
      <w:r w:rsidRPr="00473AAA">
        <w:rPr>
          <w:rFonts w:asciiTheme="minorHAnsi" w:hAnsiTheme="minorHAnsi" w:cstheme="minorHAnsi"/>
          <w:color w:val="000000" w:themeColor="text1"/>
          <w:shd w:val="clear" w:color="auto" w:fill="FFFFFF"/>
          <w:lang w:val="en-IN"/>
        </w:rPr>
        <w:t>Considering the difficulties faced by the administration and the taxpayers in the operation of the faceless assessment procedure, the Finance Bill, 2022, has proposed amendments to existing provisions of Section 144B with the objective to streamline the process and address the various legal and procedural issues raised. While the entire section is proposed to be substituted, some very significant changes are:</w:t>
      </w:r>
    </w:p>
    <w:p w14:paraId="06C31C12" w14:textId="77777777" w:rsidR="00473AAA" w:rsidRPr="00473AAA" w:rsidRDefault="00473AAA" w:rsidP="00F57322">
      <w:pPr>
        <w:tabs>
          <w:tab w:val="left" w:pos="4820"/>
        </w:tabs>
        <w:contextualSpacing/>
        <w:jc w:val="both"/>
        <w:rPr>
          <w:rFonts w:asciiTheme="minorHAnsi" w:hAnsiTheme="minorHAnsi" w:cstheme="minorHAnsi"/>
          <w:color w:val="000000" w:themeColor="text1"/>
          <w:shd w:val="clear" w:color="auto" w:fill="FFFFFF"/>
          <w:lang w:val="en-IN"/>
        </w:rPr>
      </w:pPr>
      <w:r w:rsidRPr="00473AAA">
        <w:rPr>
          <w:rFonts w:asciiTheme="minorHAnsi" w:hAnsiTheme="minorHAnsi" w:cstheme="minorHAnsi"/>
          <w:color w:val="000000" w:themeColor="text1"/>
          <w:shd w:val="clear" w:color="auto" w:fill="FFFFFF"/>
          <w:lang w:val="en-IN"/>
        </w:rPr>
        <w:t>(a) The role and function of the Technical Unit has now been clearly stated. This should bring out the element of functional specialisation and contribution of the unit in the making of high-quality and team-based assessments.</w:t>
      </w:r>
    </w:p>
    <w:p w14:paraId="061895B1" w14:textId="77777777" w:rsidR="00473AAA" w:rsidRPr="00473AAA" w:rsidRDefault="00473AAA" w:rsidP="00F57322">
      <w:pPr>
        <w:tabs>
          <w:tab w:val="left" w:pos="4820"/>
        </w:tabs>
        <w:contextualSpacing/>
        <w:jc w:val="both"/>
        <w:rPr>
          <w:rFonts w:asciiTheme="minorHAnsi" w:hAnsiTheme="minorHAnsi" w:cstheme="minorHAnsi"/>
          <w:color w:val="000000" w:themeColor="text1"/>
          <w:shd w:val="clear" w:color="auto" w:fill="FFFFFF"/>
          <w:lang w:val="en-IN"/>
        </w:rPr>
      </w:pPr>
      <w:r w:rsidRPr="00473AAA">
        <w:rPr>
          <w:rFonts w:asciiTheme="minorHAnsi" w:hAnsiTheme="minorHAnsi" w:cstheme="minorHAnsi"/>
          <w:color w:val="000000" w:themeColor="text1"/>
          <w:shd w:val="clear" w:color="auto" w:fill="FFFFFF"/>
          <w:lang w:val="en-IN"/>
        </w:rPr>
        <w:t>(b) The report of the Review Unit will now be sent back to the same Assessment Unit that had originally proposed the income-determination statement. This underscores the accountability of a particular Assessment Unit in respect of a particular assessment.</w:t>
      </w:r>
    </w:p>
    <w:p w14:paraId="78334EC9" w14:textId="777502CC" w:rsidR="00473AAA" w:rsidRDefault="00473AAA" w:rsidP="00F57322">
      <w:pPr>
        <w:tabs>
          <w:tab w:val="left" w:pos="4820"/>
        </w:tabs>
        <w:contextualSpacing/>
        <w:jc w:val="both"/>
        <w:rPr>
          <w:rFonts w:asciiTheme="minorHAnsi" w:hAnsiTheme="minorHAnsi" w:cstheme="minorHAnsi"/>
          <w:color w:val="000000" w:themeColor="text1"/>
          <w:shd w:val="clear" w:color="auto" w:fill="FFFFFF"/>
          <w:lang w:val="en-IN"/>
        </w:rPr>
      </w:pPr>
      <w:r w:rsidRPr="00473AAA">
        <w:rPr>
          <w:rFonts w:asciiTheme="minorHAnsi" w:hAnsiTheme="minorHAnsi" w:cstheme="minorHAnsi"/>
          <w:color w:val="000000" w:themeColor="text1"/>
          <w:shd w:val="clear" w:color="auto" w:fill="FFFFFF"/>
          <w:lang w:val="en-IN"/>
        </w:rPr>
        <w:t>(c) Opportunity of filing a specific response to any proposed variation in the income or loss shall be allowed at a stage much earlier to the making of a draft assessment order. Further, a request for personal hearing will necessarily be granted, without the requirement of any approval from a higher authority and will be conducted by the concerned Assessment Unit. These changes should ensure better compliance with the principles of natural justice.</w:t>
      </w:r>
    </w:p>
    <w:p w14:paraId="5EF95706" w14:textId="77777777" w:rsidR="00557DD4" w:rsidRPr="00473AAA" w:rsidRDefault="00557DD4" w:rsidP="00F57322">
      <w:pPr>
        <w:tabs>
          <w:tab w:val="left" w:pos="4820"/>
        </w:tabs>
        <w:contextualSpacing/>
        <w:jc w:val="both"/>
        <w:rPr>
          <w:rFonts w:asciiTheme="minorHAnsi" w:hAnsiTheme="minorHAnsi" w:cstheme="minorHAnsi"/>
          <w:color w:val="000000" w:themeColor="text1"/>
          <w:shd w:val="clear" w:color="auto" w:fill="FFFFFF"/>
          <w:lang w:val="en-IN"/>
        </w:rPr>
      </w:pPr>
    </w:p>
    <w:p w14:paraId="4EC7D9F0" w14:textId="0997B0EE" w:rsidR="00557DD4" w:rsidRDefault="00473AAA" w:rsidP="00F57322">
      <w:pPr>
        <w:tabs>
          <w:tab w:val="left" w:pos="4820"/>
        </w:tabs>
        <w:contextualSpacing/>
        <w:jc w:val="both"/>
        <w:rPr>
          <w:rFonts w:asciiTheme="minorHAnsi" w:hAnsiTheme="minorHAnsi" w:cstheme="minorHAnsi"/>
          <w:color w:val="000000" w:themeColor="text1"/>
          <w:shd w:val="clear" w:color="auto" w:fill="FFFFFF"/>
          <w:lang w:val="en-IN"/>
        </w:rPr>
      </w:pPr>
      <w:r w:rsidRPr="00473AAA">
        <w:rPr>
          <w:rFonts w:asciiTheme="minorHAnsi" w:hAnsiTheme="minorHAnsi" w:cstheme="minorHAnsi"/>
          <w:color w:val="000000" w:themeColor="text1"/>
          <w:shd w:val="clear" w:color="auto" w:fill="FFFFFF"/>
          <w:lang w:val="en-IN"/>
        </w:rPr>
        <w:t>These changes will hopefully enable a more efficient and effective assessment system, both for the tax administration as well as the taxpayer. This could be remedied to a large extent by restricting the anonymity to within the regions of respective principal chief commissioners of income tax, with the entire regional set-up, including the assessment units, etc, as well as the jurisdictional offices functioning as a team that is ‘in charge’ of all cases falling in that jurisdiction.</w:t>
      </w:r>
    </w:p>
    <w:p w14:paraId="1B6B3F55" w14:textId="77777777" w:rsidR="00785AA2" w:rsidRPr="00473AAA" w:rsidRDefault="00785AA2" w:rsidP="00F57322">
      <w:pPr>
        <w:tabs>
          <w:tab w:val="left" w:pos="4820"/>
        </w:tabs>
        <w:contextualSpacing/>
        <w:jc w:val="both"/>
        <w:rPr>
          <w:rFonts w:asciiTheme="minorHAnsi" w:hAnsiTheme="minorHAnsi" w:cstheme="minorHAnsi"/>
          <w:color w:val="000000" w:themeColor="text1"/>
          <w:shd w:val="clear" w:color="auto" w:fill="FFFFFF"/>
          <w:lang w:val="en-IN"/>
        </w:rPr>
      </w:pPr>
    </w:p>
    <w:p w14:paraId="45CE819C" w14:textId="031A9C80" w:rsidR="00984223" w:rsidRPr="00473AAA" w:rsidRDefault="002473DB" w:rsidP="00473AAA">
      <w:pPr>
        <w:tabs>
          <w:tab w:val="left" w:pos="4820"/>
        </w:tabs>
        <w:spacing w:line="240" w:lineRule="auto"/>
        <w:contextualSpacing/>
        <w:jc w:val="both"/>
        <w:rPr>
          <w:rFonts w:asciiTheme="minorHAnsi" w:hAnsiTheme="minorHAnsi" w:cstheme="minorHAnsi"/>
        </w:rPr>
      </w:pPr>
      <w:r w:rsidRPr="00473AAA">
        <w:rPr>
          <w:rFonts w:asciiTheme="minorHAnsi" w:hAnsiTheme="minorHAnsi" w:cstheme="minorHAnsi"/>
          <w:b/>
        </w:rPr>
        <w:t>Just to reiterate that we remain available over telecom or e-mail.</w:t>
      </w:r>
    </w:p>
    <w:p w14:paraId="58764163" w14:textId="4D4E097B" w:rsidR="00B01267" w:rsidRPr="00473AAA" w:rsidRDefault="001D547F" w:rsidP="00473AAA">
      <w:pPr>
        <w:pStyle w:val="NormalWeb"/>
        <w:jc w:val="both"/>
        <w:rPr>
          <w:rFonts w:asciiTheme="minorHAnsi" w:hAnsiTheme="minorHAnsi" w:cstheme="minorHAnsi"/>
          <w:b/>
          <w:sz w:val="22"/>
          <w:szCs w:val="22"/>
        </w:rPr>
      </w:pPr>
      <w:r w:rsidRPr="00473AAA">
        <w:rPr>
          <w:rFonts w:asciiTheme="minorHAnsi" w:hAnsiTheme="minorHAnsi" w:cstheme="minorHAnsi"/>
          <w:b/>
          <w:sz w:val="22"/>
          <w:szCs w:val="22"/>
        </w:rPr>
        <w:t>Truly Yours</w:t>
      </w:r>
    </w:p>
    <w:p w14:paraId="2560AB5C" w14:textId="5440E3F6" w:rsidR="001D547F" w:rsidRPr="00473AAA"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473AAA">
        <w:rPr>
          <w:rFonts w:asciiTheme="minorHAnsi" w:hAnsiTheme="minorHAnsi" w:cstheme="minorHAnsi"/>
          <w:b/>
          <w:sz w:val="22"/>
          <w:szCs w:val="22"/>
        </w:rPr>
        <w:t>Editor:</w:t>
      </w:r>
    </w:p>
    <w:p w14:paraId="089AA75E" w14:textId="77777777" w:rsidR="001D547F" w:rsidRPr="00473AAA" w:rsidRDefault="001D547F" w:rsidP="00473AAA">
      <w:pPr>
        <w:tabs>
          <w:tab w:val="left" w:pos="4820"/>
        </w:tabs>
        <w:spacing w:after="0" w:line="240" w:lineRule="auto"/>
        <w:contextualSpacing/>
        <w:jc w:val="both"/>
        <w:rPr>
          <w:rFonts w:asciiTheme="minorHAnsi" w:hAnsiTheme="minorHAnsi" w:cstheme="minorHAnsi"/>
          <w:b/>
        </w:rPr>
      </w:pPr>
      <w:r w:rsidRPr="00473AAA">
        <w:rPr>
          <w:rFonts w:asciiTheme="minorHAnsi" w:hAnsiTheme="minorHAnsi" w:cstheme="minorHAnsi"/>
          <w:b/>
        </w:rPr>
        <w:t>Vivek Jalan</w:t>
      </w:r>
    </w:p>
    <w:p w14:paraId="6843DB95" w14:textId="77777777" w:rsidR="00984223" w:rsidRPr="00473AAA" w:rsidRDefault="001D547F" w:rsidP="00473AAA">
      <w:pPr>
        <w:tabs>
          <w:tab w:val="left" w:pos="4820"/>
        </w:tabs>
        <w:spacing w:line="240" w:lineRule="auto"/>
        <w:rPr>
          <w:rFonts w:asciiTheme="minorHAnsi" w:hAnsiTheme="minorHAnsi" w:cstheme="minorHAnsi"/>
          <w:bCs/>
        </w:rPr>
      </w:pPr>
      <w:r w:rsidRPr="00473AAA">
        <w:rPr>
          <w:rFonts w:asciiTheme="minorHAnsi" w:hAnsiTheme="minorHAnsi" w:cstheme="minorHAnsi"/>
          <w:bCs/>
        </w:rPr>
        <w:t>Partner - Tax Connect Advisory Services LLP</w:t>
      </w:r>
    </w:p>
    <w:p w14:paraId="7D526D27" w14:textId="6BD1BCC6" w:rsidR="00D02587" w:rsidRPr="00473AAA" w:rsidRDefault="001D547F" w:rsidP="00473AAA">
      <w:pPr>
        <w:tabs>
          <w:tab w:val="left" w:pos="4820"/>
        </w:tabs>
        <w:spacing w:line="240" w:lineRule="auto"/>
        <w:rPr>
          <w:rFonts w:asciiTheme="minorHAnsi" w:hAnsiTheme="minorHAnsi" w:cstheme="minorHAnsi"/>
          <w:bCs/>
        </w:rPr>
      </w:pPr>
      <w:r w:rsidRPr="00473AAA">
        <w:rPr>
          <w:rFonts w:asciiTheme="minorHAnsi" w:hAnsiTheme="minorHAnsi" w:cstheme="minorHAnsi"/>
          <w:b/>
        </w:rPr>
        <w:t>Co-Editors:</w:t>
      </w:r>
    </w:p>
    <w:p w14:paraId="72D2DEFA" w14:textId="77777777" w:rsidR="00984223" w:rsidRPr="00473AAA" w:rsidRDefault="001D547F" w:rsidP="00473AAA">
      <w:pPr>
        <w:tabs>
          <w:tab w:val="left" w:pos="4820"/>
        </w:tabs>
        <w:spacing w:after="0" w:line="240" w:lineRule="auto"/>
        <w:contextualSpacing/>
        <w:jc w:val="both"/>
        <w:rPr>
          <w:rFonts w:asciiTheme="minorHAnsi" w:hAnsiTheme="minorHAnsi" w:cstheme="minorHAnsi"/>
          <w:b/>
        </w:rPr>
      </w:pPr>
      <w:r w:rsidRPr="00473AAA">
        <w:rPr>
          <w:rFonts w:asciiTheme="minorHAnsi" w:hAnsiTheme="minorHAnsi" w:cstheme="minorHAnsi"/>
          <w:b/>
        </w:rPr>
        <w:t>Rohit Sharma</w:t>
      </w:r>
    </w:p>
    <w:p w14:paraId="5127D700" w14:textId="5884E5D3" w:rsidR="001D547F" w:rsidRPr="00473AAA" w:rsidRDefault="00AA4158" w:rsidP="00473AAA">
      <w:pPr>
        <w:tabs>
          <w:tab w:val="left" w:pos="4820"/>
        </w:tabs>
        <w:spacing w:after="0" w:line="240" w:lineRule="auto"/>
        <w:contextualSpacing/>
        <w:jc w:val="both"/>
        <w:rPr>
          <w:rFonts w:asciiTheme="minorHAnsi" w:hAnsiTheme="minorHAnsi" w:cstheme="minorHAnsi"/>
          <w:bCs/>
        </w:rPr>
      </w:pPr>
      <w:r w:rsidRPr="00473AAA">
        <w:rPr>
          <w:rFonts w:asciiTheme="minorHAnsi" w:hAnsiTheme="minorHAnsi" w:cstheme="minorHAnsi"/>
          <w:bCs/>
        </w:rPr>
        <w:t>Senior Manager</w:t>
      </w:r>
      <w:r w:rsidR="001D547F" w:rsidRPr="00473AAA">
        <w:rPr>
          <w:rFonts w:asciiTheme="minorHAnsi" w:hAnsiTheme="minorHAnsi" w:cstheme="minorHAnsi"/>
          <w:bCs/>
        </w:rPr>
        <w:t xml:space="preserve"> – Tax Connect Advisory Services LLP</w:t>
      </w:r>
    </w:p>
    <w:p w14:paraId="7D71A54B" w14:textId="77777777" w:rsidR="00AA5DF4" w:rsidRPr="00473AAA" w:rsidRDefault="00AA5DF4" w:rsidP="00473AAA">
      <w:pPr>
        <w:tabs>
          <w:tab w:val="left" w:pos="4820"/>
        </w:tabs>
        <w:spacing w:after="0" w:line="240" w:lineRule="auto"/>
        <w:contextualSpacing/>
        <w:jc w:val="both"/>
        <w:rPr>
          <w:rFonts w:asciiTheme="minorHAnsi" w:hAnsiTheme="minorHAnsi" w:cstheme="minorHAnsi"/>
          <w:bCs/>
        </w:rPr>
      </w:pPr>
    </w:p>
    <w:p w14:paraId="00700D7F" w14:textId="192E7E26" w:rsidR="001D547F" w:rsidRPr="00473AAA" w:rsidRDefault="001D547F" w:rsidP="00473AAA">
      <w:pPr>
        <w:tabs>
          <w:tab w:val="left" w:pos="4820"/>
        </w:tabs>
        <w:spacing w:after="0" w:line="240" w:lineRule="auto"/>
        <w:rPr>
          <w:rFonts w:asciiTheme="minorHAnsi" w:hAnsiTheme="minorHAnsi" w:cstheme="minorHAnsi"/>
          <w:b/>
        </w:rPr>
      </w:pPr>
      <w:r w:rsidRPr="00473AAA">
        <w:rPr>
          <w:rFonts w:asciiTheme="minorHAnsi" w:hAnsiTheme="minorHAnsi" w:cstheme="minorHAnsi"/>
          <w:b/>
        </w:rPr>
        <w:t>Rajani</w:t>
      </w:r>
      <w:r w:rsidR="00DE6EC6" w:rsidRPr="00473AAA">
        <w:rPr>
          <w:rFonts w:asciiTheme="minorHAnsi" w:hAnsiTheme="minorHAnsi" w:cstheme="minorHAnsi"/>
          <w:b/>
        </w:rPr>
        <w:t xml:space="preserve"> </w:t>
      </w:r>
      <w:r w:rsidR="0004428B" w:rsidRPr="00473AAA">
        <w:rPr>
          <w:rFonts w:asciiTheme="minorHAnsi" w:hAnsiTheme="minorHAnsi" w:cstheme="minorHAnsi"/>
          <w:b/>
        </w:rPr>
        <w:t>K</w:t>
      </w:r>
      <w:r w:rsidRPr="00473AAA">
        <w:rPr>
          <w:rFonts w:asciiTheme="minorHAnsi" w:hAnsiTheme="minorHAnsi" w:cstheme="minorHAnsi"/>
          <w:b/>
        </w:rPr>
        <w:t>ant Choudh</w:t>
      </w:r>
      <w:r w:rsidR="00C114BC" w:rsidRPr="00473AAA">
        <w:rPr>
          <w:rFonts w:asciiTheme="minorHAnsi" w:hAnsiTheme="minorHAnsi" w:cstheme="minorHAnsi"/>
          <w:b/>
        </w:rPr>
        <w:t>a</w:t>
      </w:r>
      <w:r w:rsidRPr="00473AAA">
        <w:rPr>
          <w:rFonts w:asciiTheme="minorHAnsi" w:hAnsiTheme="minorHAnsi" w:cstheme="minorHAnsi"/>
          <w:b/>
        </w:rPr>
        <w:t>ry</w:t>
      </w:r>
    </w:p>
    <w:p w14:paraId="07AF3601" w14:textId="1FC768F6" w:rsidR="004049C9" w:rsidRPr="00473AAA" w:rsidRDefault="00D05C94" w:rsidP="00473AAA">
      <w:pPr>
        <w:tabs>
          <w:tab w:val="left" w:pos="4820"/>
        </w:tabs>
        <w:spacing w:line="240" w:lineRule="auto"/>
        <w:contextualSpacing/>
        <w:rPr>
          <w:rFonts w:asciiTheme="minorHAnsi" w:hAnsiTheme="minorHAnsi" w:cstheme="minorHAnsi"/>
          <w:bCs/>
        </w:rPr>
      </w:pPr>
      <w:r w:rsidRPr="00473AAA">
        <w:rPr>
          <w:rFonts w:asciiTheme="minorHAnsi" w:hAnsiTheme="minorHAnsi" w:cstheme="minorHAnsi"/>
          <w:bCs/>
        </w:rPr>
        <w:t xml:space="preserve">Senior Manager – </w:t>
      </w:r>
      <w:r w:rsidR="001D547F" w:rsidRPr="00473AAA">
        <w:rPr>
          <w:rFonts w:asciiTheme="minorHAnsi" w:hAnsiTheme="minorHAnsi" w:cstheme="minorHAnsi"/>
          <w:bCs/>
        </w:rPr>
        <w:t>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1A0734">
          <w:headerReference w:type="default" r:id="rId31"/>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246"/>
      </w:tblGrid>
      <w:tr w:rsidR="000841D9" w:rsidRPr="00B117D4" w14:paraId="015FB4CD" w14:textId="77777777" w:rsidTr="00A06DAF">
        <w:trPr>
          <w:trHeight w:val="280"/>
        </w:trPr>
        <w:tc>
          <w:tcPr>
            <w:tcW w:w="1591"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648"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A06DAF">
        <w:trPr>
          <w:trHeight w:val="411"/>
        </w:trPr>
        <w:tc>
          <w:tcPr>
            <w:tcW w:w="1591"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A06DAF">
        <w:trPr>
          <w:trHeight w:val="270"/>
        </w:trPr>
        <w:tc>
          <w:tcPr>
            <w:tcW w:w="1591"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540A5C" w:rsidRPr="00B117D4" w14:paraId="2E663F68" w14:textId="77777777" w:rsidTr="009F7ADA">
        <w:trPr>
          <w:trHeight w:hRule="exact" w:val="1286"/>
        </w:trPr>
        <w:tc>
          <w:tcPr>
            <w:tcW w:w="1591" w:type="dxa"/>
            <w:shd w:val="clear" w:color="auto" w:fill="EAF1DD"/>
            <w:vAlign w:val="center"/>
          </w:tcPr>
          <w:p w14:paraId="3D1A791B" w14:textId="561CC6AD"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CASE LAW</w:t>
            </w:r>
          </w:p>
        </w:tc>
        <w:tc>
          <w:tcPr>
            <w:tcW w:w="7648" w:type="dxa"/>
            <w:shd w:val="clear" w:color="auto" w:fill="EAF1DD"/>
            <w:vAlign w:val="center"/>
          </w:tcPr>
          <w:p w14:paraId="3D6DAF19" w14:textId="4B2ECFDB" w:rsidR="00540A5C" w:rsidRPr="00840656" w:rsidRDefault="00A43B4E" w:rsidP="00540A5C">
            <w:pPr>
              <w:tabs>
                <w:tab w:val="left" w:pos="4820"/>
              </w:tabs>
              <w:spacing w:after="0" w:line="240" w:lineRule="auto"/>
              <w:jc w:val="both"/>
              <w:rPr>
                <w:rFonts w:asciiTheme="minorHAnsi" w:hAnsiTheme="minorHAnsi" w:cstheme="minorHAnsi"/>
                <w:b/>
                <w:bCs/>
                <w:caps/>
                <w:lang w:val="en-IN"/>
              </w:rPr>
            </w:pPr>
            <w:r w:rsidRPr="00530CC7">
              <w:rPr>
                <w:rFonts w:asciiTheme="minorHAnsi" w:hAnsiTheme="minorHAnsi" w:cstheme="minorHAnsi"/>
                <w:b/>
                <w:bCs/>
                <w:caps/>
              </w:rPr>
              <w:t>HDFC BANK LTD., VERSUS ASSISTANT COMMISSIONER OF INCOME-TAX-2 (3), COMMISSIONER OF INCOME-TAX-2, UNION OF INDIA, THROUGH THE SECRETARY, DEPARTMENT OF REVENUE, MINISTRY OF FINANCE, NEW DELHI</w:t>
            </w:r>
            <w:r w:rsidRPr="00840656">
              <w:rPr>
                <w:rFonts w:asciiTheme="minorHAnsi" w:hAnsiTheme="minorHAnsi" w:cstheme="minorHAnsi"/>
                <w:b/>
                <w:bCs/>
                <w:caps/>
                <w:lang w:val="en-IN"/>
              </w:rPr>
              <w:t xml:space="preserve"> </w:t>
            </w:r>
            <w:r w:rsidR="009F7ADA">
              <w:rPr>
                <w:rFonts w:asciiTheme="minorHAnsi" w:hAnsiTheme="minorHAnsi" w:cstheme="minorHAnsi"/>
                <w:b/>
                <w:bCs/>
                <w:caps/>
                <w:lang w:val="en-IN"/>
              </w:rPr>
              <w:t xml:space="preserve">– High Court </w:t>
            </w:r>
            <w:proofErr w:type="gramStart"/>
            <w:r w:rsidR="009F7ADA">
              <w:rPr>
                <w:rFonts w:asciiTheme="minorHAnsi" w:hAnsiTheme="minorHAnsi" w:cstheme="minorHAnsi"/>
                <w:b/>
                <w:bCs/>
                <w:caps/>
                <w:lang w:val="en-IN"/>
              </w:rPr>
              <w:t>of  BOMBAY</w:t>
            </w:r>
            <w:proofErr w:type="gramEnd"/>
            <w:r w:rsidR="003B0621">
              <w:rPr>
                <w:rFonts w:asciiTheme="minorHAnsi" w:hAnsiTheme="minorHAnsi" w:cstheme="minorHAnsi"/>
                <w:b/>
                <w:bCs/>
                <w:caps/>
                <w:lang w:val="en-IN"/>
              </w:rPr>
              <w:t>.</w:t>
            </w:r>
          </w:p>
        </w:tc>
        <w:tc>
          <w:tcPr>
            <w:tcW w:w="1246" w:type="dxa"/>
            <w:shd w:val="clear" w:color="auto" w:fill="EAF1DD" w:themeFill="accent3" w:themeFillTint="33"/>
            <w:vAlign w:val="center"/>
          </w:tcPr>
          <w:p w14:paraId="33E3349D" w14:textId="77777777" w:rsidR="00540A5C" w:rsidRPr="00AF2DC7" w:rsidRDefault="00540A5C" w:rsidP="00540A5C">
            <w:pPr>
              <w:tabs>
                <w:tab w:val="left" w:pos="4820"/>
              </w:tabs>
              <w:spacing w:after="0" w:line="240" w:lineRule="auto"/>
              <w:rPr>
                <w:rFonts w:asciiTheme="minorHAnsi" w:hAnsiTheme="minorHAnsi" w:cstheme="minorHAnsi"/>
                <w:b/>
                <w:lang w:val="en-IN" w:eastAsia="en-IN"/>
              </w:rPr>
            </w:pPr>
          </w:p>
        </w:tc>
      </w:tr>
      <w:tr w:rsidR="00540A5C" w:rsidRPr="00B117D4" w14:paraId="4FAB3FA3" w14:textId="77777777" w:rsidTr="00A06DAF">
        <w:trPr>
          <w:trHeight w:val="194"/>
        </w:trPr>
        <w:tc>
          <w:tcPr>
            <w:tcW w:w="1591" w:type="dxa"/>
            <w:shd w:val="clear" w:color="auto" w:fill="B3D5AB"/>
            <w:noWrap/>
            <w:vAlign w:val="center"/>
            <w:hideMark/>
          </w:tcPr>
          <w:p w14:paraId="239B407D"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center"/>
            <w:hideMark/>
          </w:tcPr>
          <w:p w14:paraId="1605CEBC"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614BB44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540A5C" w:rsidRPr="00B117D4" w14:paraId="0C79EE48" w14:textId="77777777" w:rsidTr="00B16608">
        <w:trPr>
          <w:trHeight w:hRule="exact" w:val="290"/>
        </w:trPr>
        <w:tc>
          <w:tcPr>
            <w:tcW w:w="1591" w:type="dxa"/>
            <w:shd w:val="clear" w:color="auto" w:fill="EAF1DD"/>
            <w:vAlign w:val="center"/>
          </w:tcPr>
          <w:p w14:paraId="77B5245B" w14:textId="5332747F"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ADVISORY</w:t>
            </w:r>
          </w:p>
        </w:tc>
        <w:tc>
          <w:tcPr>
            <w:tcW w:w="7648" w:type="dxa"/>
            <w:shd w:val="clear" w:color="auto" w:fill="EAF1DD"/>
            <w:vAlign w:val="center"/>
          </w:tcPr>
          <w:p w14:paraId="07A5C6B9" w14:textId="77777777" w:rsidR="00A43B4E" w:rsidRPr="00A43B4E" w:rsidRDefault="00A43B4E" w:rsidP="00A43B4E">
            <w:pPr>
              <w:tabs>
                <w:tab w:val="left" w:pos="4820"/>
              </w:tabs>
              <w:spacing w:after="0" w:line="240" w:lineRule="auto"/>
              <w:jc w:val="both"/>
              <w:rPr>
                <w:rFonts w:asciiTheme="minorHAnsi" w:hAnsiTheme="minorHAnsi" w:cstheme="minorHAnsi"/>
                <w:b/>
                <w:bCs/>
                <w:lang w:val="en-IN"/>
              </w:rPr>
            </w:pPr>
            <w:r w:rsidRPr="00A43B4E">
              <w:rPr>
                <w:rFonts w:asciiTheme="minorHAnsi" w:hAnsiTheme="minorHAnsi" w:cstheme="minorHAnsi"/>
                <w:b/>
                <w:bCs/>
                <w:lang w:val="en-IN"/>
              </w:rPr>
              <w:t>ADVISORY ON AUTO-POPULATION OF E-INVOICE DETAILS INTO GSTR-1</w:t>
            </w:r>
          </w:p>
          <w:p w14:paraId="7B40B695" w14:textId="6D343A19" w:rsidR="00540A5C" w:rsidRPr="00540A5C" w:rsidRDefault="00540A5C" w:rsidP="00540A5C">
            <w:pPr>
              <w:tabs>
                <w:tab w:val="left" w:pos="4820"/>
              </w:tabs>
              <w:spacing w:after="0" w:line="240" w:lineRule="auto"/>
              <w:jc w:val="both"/>
              <w:rPr>
                <w:rFonts w:asciiTheme="minorHAnsi" w:hAnsiTheme="minorHAnsi" w:cstheme="minorHAnsi"/>
                <w:b/>
                <w:bCs/>
                <w:lang w:val="en-IN"/>
              </w:rPr>
            </w:pPr>
          </w:p>
        </w:tc>
        <w:tc>
          <w:tcPr>
            <w:tcW w:w="1246" w:type="dxa"/>
            <w:shd w:val="clear" w:color="auto" w:fill="EAF1DD" w:themeFill="accent3" w:themeFillTint="33"/>
            <w:vAlign w:val="center"/>
          </w:tcPr>
          <w:p w14:paraId="7CA97852"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2AD949C9" w14:textId="77777777" w:rsidTr="00A06DAF">
        <w:trPr>
          <w:trHeight w:hRule="exact" w:val="266"/>
        </w:trPr>
        <w:tc>
          <w:tcPr>
            <w:tcW w:w="1591" w:type="dxa"/>
            <w:shd w:val="clear" w:color="auto" w:fill="B3D5AB"/>
            <w:vAlign w:val="center"/>
            <w:hideMark/>
          </w:tcPr>
          <w:p w14:paraId="3CB709D0"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vAlign w:val="center"/>
            <w:hideMark/>
          </w:tcPr>
          <w:p w14:paraId="5500393E" w14:textId="3F0726B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2A048FB8"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540A5C" w:rsidRPr="00B117D4" w14:paraId="5746D8AC" w14:textId="77777777" w:rsidTr="00B16608">
        <w:trPr>
          <w:trHeight w:hRule="exact" w:val="312"/>
        </w:trPr>
        <w:tc>
          <w:tcPr>
            <w:tcW w:w="1591" w:type="dxa"/>
            <w:shd w:val="clear" w:color="auto" w:fill="EAF1DD"/>
            <w:vAlign w:val="center"/>
          </w:tcPr>
          <w:p w14:paraId="6CF0692D" w14:textId="41359F4D" w:rsidR="00540A5C" w:rsidRPr="00AF2DC7" w:rsidRDefault="00D5755E"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648" w:type="dxa"/>
            <w:shd w:val="clear" w:color="auto" w:fill="EAF1DD"/>
            <w:vAlign w:val="center"/>
          </w:tcPr>
          <w:p w14:paraId="7D011515" w14:textId="206BCC03" w:rsidR="00D5755E" w:rsidRPr="00D5755E" w:rsidRDefault="00B16608" w:rsidP="00D5755E">
            <w:pPr>
              <w:tabs>
                <w:tab w:val="left" w:pos="4820"/>
              </w:tabs>
              <w:spacing w:after="0" w:line="240" w:lineRule="auto"/>
              <w:jc w:val="both"/>
              <w:rPr>
                <w:b/>
                <w:bCs/>
                <w:lang w:val="en-IN"/>
              </w:rPr>
            </w:pPr>
            <w:r w:rsidRPr="00D5755E">
              <w:rPr>
                <w:b/>
                <w:bCs/>
              </w:rPr>
              <w:t>ELIGIBLE INVESTEE ENTITIES &amp; INSTRUMENT OF INVESTMENT UNDER FDI</w:t>
            </w:r>
          </w:p>
          <w:p w14:paraId="5DFFD649" w14:textId="4927BD9A" w:rsidR="00540A5C" w:rsidRPr="00A47F83" w:rsidRDefault="00540A5C" w:rsidP="00540A5C">
            <w:pPr>
              <w:tabs>
                <w:tab w:val="left" w:pos="4820"/>
              </w:tabs>
              <w:spacing w:after="0" w:line="240" w:lineRule="auto"/>
              <w:jc w:val="both"/>
              <w:rPr>
                <w:b/>
                <w:bCs/>
                <w:lang w:val="en-IN"/>
              </w:rPr>
            </w:pPr>
          </w:p>
        </w:tc>
        <w:tc>
          <w:tcPr>
            <w:tcW w:w="1246" w:type="dxa"/>
            <w:shd w:val="clear" w:color="auto" w:fill="EAF1DD"/>
            <w:vAlign w:val="center"/>
          </w:tcPr>
          <w:p w14:paraId="3ACCA0F0"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4E677B7D" w14:textId="77777777" w:rsidTr="00A06DAF">
        <w:trPr>
          <w:trHeight w:hRule="exact" w:val="289"/>
        </w:trPr>
        <w:tc>
          <w:tcPr>
            <w:tcW w:w="1591" w:type="dxa"/>
            <w:shd w:val="clear" w:color="auto" w:fill="B3D5AB"/>
            <w:vAlign w:val="center"/>
            <w:hideMark/>
          </w:tcPr>
          <w:p w14:paraId="53F3353F"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vAlign w:val="center"/>
            <w:hideMark/>
          </w:tcPr>
          <w:p w14:paraId="344E87E8"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619350EC" w:rsidR="00540A5C" w:rsidRPr="00AF2DC7" w:rsidRDefault="00B16608"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540A5C" w:rsidRPr="00B117D4" w14:paraId="63858588" w14:textId="77777777" w:rsidTr="00B16608">
        <w:trPr>
          <w:trHeight w:hRule="exact" w:val="983"/>
        </w:trPr>
        <w:tc>
          <w:tcPr>
            <w:tcW w:w="1591" w:type="dxa"/>
            <w:shd w:val="clear" w:color="auto" w:fill="EAF1DD"/>
            <w:vAlign w:val="center"/>
          </w:tcPr>
          <w:p w14:paraId="72F94BE4" w14:textId="2698DD16" w:rsidR="00540A5C" w:rsidRPr="00AF2DC7" w:rsidRDefault="00540A5C" w:rsidP="00540A5C">
            <w:pPr>
              <w:tabs>
                <w:tab w:val="left" w:pos="4820"/>
              </w:tabs>
              <w:spacing w:after="0" w:line="240" w:lineRule="auto"/>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68E566C6" w14:textId="77777777" w:rsidR="00B16608" w:rsidRPr="00B16608" w:rsidRDefault="00B16608" w:rsidP="00B16608">
            <w:pPr>
              <w:tabs>
                <w:tab w:val="left" w:pos="4820"/>
              </w:tabs>
              <w:spacing w:after="0" w:line="240" w:lineRule="auto"/>
              <w:jc w:val="both"/>
              <w:rPr>
                <w:rFonts w:asciiTheme="minorHAnsi" w:hAnsiTheme="minorHAnsi" w:cstheme="minorHAnsi"/>
                <w:b/>
                <w:bCs/>
                <w:caps/>
                <w:color w:val="000000" w:themeColor="text1"/>
                <w:lang w:val="en-IN"/>
              </w:rPr>
            </w:pPr>
            <w:r w:rsidRPr="00B16608">
              <w:rPr>
                <w:rFonts w:asciiTheme="minorHAnsi" w:hAnsiTheme="minorHAnsi" w:cstheme="minorHAnsi"/>
                <w:b/>
                <w:bCs/>
                <w:caps/>
                <w:color w:val="000000" w:themeColor="text1"/>
                <w:lang w:val="en-IN"/>
              </w:rPr>
              <w:t>Rate of exchange of one unit of foreign currency equivalent to Indian rupees - Supersession Notification No. 10/2022-Customs(N.T.), dated 17th February, 2022</w:t>
            </w:r>
          </w:p>
          <w:p w14:paraId="2AA3DC98" w14:textId="09A1B39E" w:rsidR="00540A5C" w:rsidRPr="00D809F0" w:rsidRDefault="00540A5C" w:rsidP="00540A5C">
            <w:pPr>
              <w:tabs>
                <w:tab w:val="left" w:pos="4820"/>
              </w:tabs>
              <w:spacing w:after="0" w:line="240" w:lineRule="auto"/>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w:t>
            </w:r>
          </w:p>
          <w:p w14:paraId="60E14FBB" w14:textId="15F3459C" w:rsidR="00540A5C" w:rsidRPr="00AF2DC7" w:rsidRDefault="00540A5C" w:rsidP="00540A5C">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EBC93F9"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7CB16CCF" w14:textId="77777777" w:rsidTr="00A06DAF">
        <w:trPr>
          <w:trHeight w:hRule="exact" w:val="243"/>
        </w:trPr>
        <w:tc>
          <w:tcPr>
            <w:tcW w:w="1591" w:type="dxa"/>
            <w:shd w:val="clear" w:color="auto" w:fill="B3D5AB"/>
            <w:vAlign w:val="center"/>
          </w:tcPr>
          <w:p w14:paraId="14609697"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vAlign w:val="center"/>
          </w:tcPr>
          <w:p w14:paraId="587DCCB6" w14:textId="77777777" w:rsidR="00540A5C" w:rsidRPr="00AF2DC7" w:rsidRDefault="00540A5C" w:rsidP="00540A5C">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66E9EC5F" w:rsidR="00540A5C" w:rsidRPr="00AF2DC7" w:rsidRDefault="00151C6B"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540A5C" w:rsidRPr="00B117D4" w14:paraId="4AA6BED4" w14:textId="77777777" w:rsidTr="00B16608">
        <w:trPr>
          <w:trHeight w:hRule="exact" w:val="1038"/>
        </w:trPr>
        <w:tc>
          <w:tcPr>
            <w:tcW w:w="1591" w:type="dxa"/>
            <w:shd w:val="clear" w:color="auto" w:fill="EAF1DD"/>
            <w:vAlign w:val="center"/>
            <w:hideMark/>
          </w:tcPr>
          <w:p w14:paraId="3DA84034" w14:textId="0C0D1B06"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hideMark/>
          </w:tcPr>
          <w:p w14:paraId="0ACC6D76" w14:textId="0C622AE2" w:rsidR="00D5755E" w:rsidRPr="00D5755E" w:rsidRDefault="00B16608" w:rsidP="00D5755E">
            <w:pPr>
              <w:tabs>
                <w:tab w:val="left" w:pos="4820"/>
              </w:tabs>
              <w:spacing w:after="0" w:line="240" w:lineRule="auto"/>
              <w:jc w:val="both"/>
              <w:rPr>
                <w:b/>
                <w:bCs/>
                <w:lang w:val="en-IN"/>
              </w:rPr>
            </w:pPr>
            <w:r w:rsidRPr="00D5755E">
              <w:rPr>
                <w:b/>
                <w:bCs/>
                <w:lang w:val="en-IN"/>
              </w:rPr>
              <w:t>AMENDMENT IN EXPORT POLICY OF REMDESIVIR INJECTION AND API, AMPHOTERICIN-B INJECTIONS, ENOXAPARIN (FORMULATION AND API) AND INTRA-VENOUS IMMUNOGLOBULIN (IVIG) (FORMULATION AND API) </w:t>
            </w:r>
          </w:p>
          <w:p w14:paraId="61AE335D" w14:textId="14548DB1" w:rsidR="00540A5C" w:rsidRPr="00244D5F" w:rsidRDefault="00540A5C" w:rsidP="00540A5C">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hideMark/>
          </w:tcPr>
          <w:p w14:paraId="72F56168"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73F75D07" w14:textId="77777777" w:rsidTr="00A06DAF">
        <w:trPr>
          <w:trHeight w:hRule="exact" w:val="598"/>
        </w:trPr>
        <w:tc>
          <w:tcPr>
            <w:tcW w:w="1591" w:type="dxa"/>
            <w:shd w:val="clear" w:color="auto" w:fill="B3D5AB"/>
            <w:vAlign w:val="center"/>
          </w:tcPr>
          <w:p w14:paraId="18736E4A" w14:textId="00F951D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vAlign w:val="center"/>
          </w:tcPr>
          <w:p w14:paraId="1F5AC1C9" w14:textId="0B15C8A0" w:rsidR="00540A5C" w:rsidRPr="00AF2DC7" w:rsidRDefault="00540A5C" w:rsidP="00540A5C">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371DE96E"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151C6B">
              <w:rPr>
                <w:rFonts w:asciiTheme="minorHAnsi" w:hAnsiTheme="minorHAnsi" w:cstheme="minorHAnsi"/>
                <w:b/>
                <w:lang w:val="en-IN" w:eastAsia="en-IN"/>
              </w:rPr>
              <w:t>0</w:t>
            </w:r>
          </w:p>
        </w:tc>
      </w:tr>
      <w:tr w:rsidR="00540A5C" w:rsidRPr="00B117D4" w14:paraId="3CE519D2" w14:textId="77777777" w:rsidTr="00A06DAF">
        <w:trPr>
          <w:trHeight w:hRule="exact" w:val="598"/>
        </w:trPr>
        <w:tc>
          <w:tcPr>
            <w:tcW w:w="1591" w:type="dxa"/>
            <w:shd w:val="clear" w:color="auto" w:fill="B3D5AB"/>
            <w:vAlign w:val="center"/>
          </w:tcPr>
          <w:p w14:paraId="58AC86C0" w14:textId="460EC2AB"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648" w:type="dxa"/>
            <w:shd w:val="clear" w:color="auto" w:fill="B3D5AB"/>
            <w:vAlign w:val="center"/>
          </w:tcPr>
          <w:p w14:paraId="6D7E4024" w14:textId="77777777" w:rsidR="00540A5C" w:rsidRPr="00AF2DC7" w:rsidRDefault="00540A5C" w:rsidP="00540A5C">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540A5C" w:rsidRPr="000F74CD" w:rsidRDefault="00540A5C" w:rsidP="00540A5C">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314700DF"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16608">
              <w:rPr>
                <w:rFonts w:asciiTheme="minorHAnsi" w:hAnsiTheme="minorHAnsi" w:cstheme="minorHAnsi"/>
                <w:b/>
                <w:lang w:val="en-IN" w:eastAsia="en-IN"/>
              </w:rPr>
              <w:t>1</w:t>
            </w:r>
          </w:p>
        </w:tc>
      </w:tr>
      <w:tr w:rsidR="00540A5C" w:rsidRPr="00B117D4" w14:paraId="36608CFD" w14:textId="77777777" w:rsidTr="00A06DAF">
        <w:trPr>
          <w:trHeight w:hRule="exact" w:val="389"/>
        </w:trPr>
        <w:tc>
          <w:tcPr>
            <w:tcW w:w="1591" w:type="dxa"/>
            <w:shd w:val="clear" w:color="auto" w:fill="B3D5AB"/>
            <w:vAlign w:val="center"/>
          </w:tcPr>
          <w:p w14:paraId="79F3A227" w14:textId="52A179A9"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648" w:type="dxa"/>
            <w:shd w:val="clear" w:color="auto" w:fill="B3D5AB"/>
            <w:vAlign w:val="center"/>
          </w:tcPr>
          <w:p w14:paraId="3B54C7E9" w14:textId="24925B69" w:rsidR="00540A5C" w:rsidRPr="00AF2DC7" w:rsidRDefault="00540A5C" w:rsidP="00540A5C">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74043A2D"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16608">
              <w:rPr>
                <w:rFonts w:asciiTheme="minorHAnsi" w:hAnsiTheme="minorHAnsi" w:cstheme="minorHAnsi"/>
                <w:b/>
                <w:lang w:val="en-IN" w:eastAsia="en-IN"/>
              </w:rPr>
              <w:t>2</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32"/>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7ADC501C" w14:textId="2207A9D4" w:rsidR="00843461" w:rsidRPr="00EC357C" w:rsidRDefault="00843461" w:rsidP="00F474C8">
      <w:pPr>
        <w:tabs>
          <w:tab w:val="left" w:pos="3039"/>
          <w:tab w:val="left" w:pos="4820"/>
        </w:tabs>
        <w:rPr>
          <w:rFonts w:cstheme="minorHAnsi"/>
          <w:b/>
          <w:sz w:val="32"/>
          <w:lang w:val="en-GB"/>
        </w:rPr>
      </w:pPr>
    </w:p>
    <w:tbl>
      <w:tblPr>
        <w:tblpPr w:leftFromText="180" w:rightFromText="180" w:vertAnchor="page" w:horzAnchor="margin" w:tblpXSpec="center" w:tblpY="238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302F35" w:rsidRPr="00D27A53" w14:paraId="6DAF7B3C" w14:textId="77777777" w:rsidTr="00302F35">
        <w:trPr>
          <w:trHeight w:val="689"/>
        </w:trPr>
        <w:tc>
          <w:tcPr>
            <w:tcW w:w="1628" w:type="dxa"/>
            <w:shd w:val="clear" w:color="auto" w:fill="4E8542"/>
            <w:noWrap/>
            <w:vAlign w:val="center"/>
            <w:hideMark/>
          </w:tcPr>
          <w:p w14:paraId="0862ED7F"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563DC8FF" w14:textId="77777777" w:rsidR="00302F35" w:rsidRPr="00045F66" w:rsidRDefault="00302F35" w:rsidP="00302F35">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1B54D0C1"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1FD94818"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6F380C" w:rsidRPr="00D27A53" w14:paraId="68DE17E6" w14:textId="77777777" w:rsidTr="00AC1AD7">
        <w:trPr>
          <w:trHeight w:val="1126"/>
        </w:trPr>
        <w:tc>
          <w:tcPr>
            <w:tcW w:w="1628" w:type="dxa"/>
            <w:shd w:val="clear" w:color="auto" w:fill="4E8542"/>
            <w:noWrap/>
            <w:vAlign w:val="center"/>
          </w:tcPr>
          <w:p w14:paraId="12EDE5CA" w14:textId="3540EEF4" w:rsidR="006F380C" w:rsidRDefault="006F380C" w:rsidP="006F380C">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7</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March</w:t>
            </w:r>
          </w:p>
        </w:tc>
        <w:tc>
          <w:tcPr>
            <w:tcW w:w="1623" w:type="dxa"/>
            <w:shd w:val="clear" w:color="auto" w:fill="D6E3BC" w:themeFill="accent3" w:themeFillTint="66"/>
            <w:vAlign w:val="center"/>
          </w:tcPr>
          <w:p w14:paraId="4B953FAA" w14:textId="171BD372" w:rsidR="006F380C" w:rsidRDefault="006F380C" w:rsidP="006F380C">
            <w:pPr>
              <w:pStyle w:val="ListParagraph"/>
              <w:ind w:left="43"/>
              <w:jc w:val="center"/>
              <w:rPr>
                <w:rFonts w:asciiTheme="minorHAnsi" w:hAnsiTheme="minorHAnsi" w:cstheme="minorHAnsi"/>
                <w:b/>
                <w:bCs/>
              </w:rPr>
            </w:pPr>
            <w:r>
              <w:rPr>
                <w:rFonts w:asciiTheme="minorHAnsi" w:hAnsiTheme="minorHAnsi" w:cstheme="minorHAnsi"/>
                <w:b/>
                <w:bCs/>
              </w:rPr>
              <w:t>C</w:t>
            </w:r>
            <w:r w:rsidRPr="00F85C12">
              <w:rPr>
                <w:rFonts w:asciiTheme="minorHAnsi" w:hAnsiTheme="minorHAnsi" w:cstheme="minorHAnsi"/>
                <w:b/>
                <w:bCs/>
              </w:rPr>
              <w:t>hallan type 281</w:t>
            </w:r>
          </w:p>
        </w:tc>
        <w:tc>
          <w:tcPr>
            <w:tcW w:w="1559" w:type="dxa"/>
            <w:shd w:val="clear" w:color="auto" w:fill="D6E3BC" w:themeFill="accent3" w:themeFillTint="66"/>
            <w:vAlign w:val="center"/>
          </w:tcPr>
          <w:p w14:paraId="37B828F6" w14:textId="218B76DC" w:rsidR="006F380C" w:rsidRDefault="006F380C" w:rsidP="006F380C">
            <w:pPr>
              <w:tabs>
                <w:tab w:val="left" w:pos="4820"/>
              </w:tabs>
              <w:spacing w:after="0" w:line="240" w:lineRule="auto"/>
              <w:jc w:val="center"/>
              <w:rPr>
                <w:rFonts w:asciiTheme="minorHAnsi" w:hAnsiTheme="minorHAnsi" w:cstheme="minorHAnsi"/>
                <w:bCs/>
              </w:rPr>
            </w:pPr>
            <w:r>
              <w:rPr>
                <w:rFonts w:asciiTheme="minorHAnsi" w:hAnsiTheme="minorHAnsi" w:cstheme="minorHAnsi"/>
                <w:bCs/>
              </w:rPr>
              <w:t>February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2F0834CB" w14:textId="4CDE49C1" w:rsidR="006F380C" w:rsidRPr="005F4251" w:rsidRDefault="006F380C" w:rsidP="006F380C">
            <w:pPr>
              <w:tabs>
                <w:tab w:val="left" w:pos="4820"/>
              </w:tabs>
              <w:spacing w:after="0" w:line="240" w:lineRule="auto"/>
              <w:jc w:val="both"/>
              <w:rPr>
                <w:rFonts w:asciiTheme="minorHAnsi" w:hAnsiTheme="minorHAnsi" w:cstheme="minorHAnsi"/>
                <w:bCs/>
              </w:rPr>
            </w:pPr>
            <w:r w:rsidRPr="00F85C12">
              <w:rPr>
                <w:rFonts w:asciiTheme="minorHAnsi" w:hAnsiTheme="minorHAnsi" w:cstheme="minorHAnsi"/>
                <w:bCs/>
              </w:rPr>
              <w:t>Due date for deposit of Tax deducted/collected for the month of February, 2022</w:t>
            </w:r>
            <w:r w:rsidR="00BD5F7A">
              <w:rPr>
                <w:rFonts w:asciiTheme="minorHAnsi" w:hAnsiTheme="minorHAnsi" w:cstheme="minorHAnsi"/>
                <w:bCs/>
              </w:rPr>
              <w:t xml:space="preserve"> </w:t>
            </w:r>
            <w:r w:rsidR="00EC34F8">
              <w:rPr>
                <w:rFonts w:asciiTheme="minorHAnsi" w:hAnsiTheme="minorHAnsi" w:cstheme="minorHAnsi"/>
                <w:bCs/>
              </w:rPr>
              <w:t>under</w:t>
            </w:r>
            <w:r w:rsidR="00BD5F7A">
              <w:rPr>
                <w:rFonts w:asciiTheme="minorHAnsi" w:hAnsiTheme="minorHAnsi" w:cstheme="minorHAnsi"/>
                <w:bCs/>
              </w:rPr>
              <w:t xml:space="preserve"> Income Tax Regime</w:t>
            </w:r>
            <w:r w:rsidRPr="00F85C12">
              <w:rPr>
                <w:rFonts w:asciiTheme="minorHAnsi" w:hAnsiTheme="minorHAnsi" w:cstheme="minorHAnsi"/>
                <w:bCs/>
              </w:rPr>
              <w:t>.</w:t>
            </w:r>
          </w:p>
        </w:tc>
      </w:tr>
      <w:tr w:rsidR="006F380C" w:rsidRPr="00D27A53" w14:paraId="05B2F8F7" w14:textId="77777777" w:rsidTr="00AC1AD7">
        <w:trPr>
          <w:trHeight w:val="1126"/>
        </w:trPr>
        <w:tc>
          <w:tcPr>
            <w:tcW w:w="1628" w:type="dxa"/>
            <w:shd w:val="clear" w:color="auto" w:fill="4E8542"/>
            <w:noWrap/>
            <w:vAlign w:val="center"/>
          </w:tcPr>
          <w:p w14:paraId="0017A7AF" w14:textId="6688B2E4" w:rsidR="006F380C" w:rsidRDefault="006F380C" w:rsidP="006F380C">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March</w:t>
            </w:r>
          </w:p>
        </w:tc>
        <w:tc>
          <w:tcPr>
            <w:tcW w:w="1623" w:type="dxa"/>
            <w:shd w:val="clear" w:color="auto" w:fill="D6E3BC" w:themeFill="accent3" w:themeFillTint="66"/>
            <w:vAlign w:val="center"/>
          </w:tcPr>
          <w:p w14:paraId="5650CCE8" w14:textId="77777777" w:rsidR="006F380C" w:rsidRDefault="006F380C" w:rsidP="006F380C">
            <w:pPr>
              <w:pStyle w:val="ListParagraph"/>
              <w:ind w:left="43"/>
              <w:jc w:val="center"/>
              <w:rPr>
                <w:rFonts w:asciiTheme="minorHAnsi" w:hAnsiTheme="minorHAnsi" w:cstheme="minorHAnsi"/>
                <w:b/>
                <w:bCs/>
              </w:rPr>
            </w:pPr>
          </w:p>
          <w:p w14:paraId="268893DB" w14:textId="756D7C31" w:rsidR="006F380C" w:rsidRPr="007B6FAF" w:rsidRDefault="006F380C" w:rsidP="006F380C">
            <w:pPr>
              <w:pStyle w:val="ListParagraph"/>
              <w:ind w:left="43"/>
              <w:jc w:val="center"/>
              <w:rPr>
                <w:rFonts w:asciiTheme="minorHAnsi" w:hAnsiTheme="minorHAnsi" w:cstheme="minorHAnsi"/>
                <w:b/>
                <w:bCs/>
              </w:rPr>
            </w:pPr>
            <w:r w:rsidRPr="005F4251">
              <w:rPr>
                <w:rFonts w:asciiTheme="minorHAnsi" w:hAnsiTheme="minorHAnsi" w:cstheme="minorHAnsi"/>
                <w:b/>
                <w:bCs/>
              </w:rPr>
              <w:t>GSTR 7</w:t>
            </w:r>
            <w:r w:rsidRPr="005F4251">
              <w:rPr>
                <w:rFonts w:asciiTheme="minorHAnsi" w:hAnsiTheme="minorHAnsi" w:cstheme="minorHAnsi"/>
                <w:b/>
                <w:bCs/>
              </w:rPr>
              <w:br/>
            </w:r>
          </w:p>
        </w:tc>
        <w:tc>
          <w:tcPr>
            <w:tcW w:w="1559" w:type="dxa"/>
            <w:shd w:val="clear" w:color="auto" w:fill="D6E3BC" w:themeFill="accent3" w:themeFillTint="66"/>
            <w:vAlign w:val="center"/>
          </w:tcPr>
          <w:p w14:paraId="609D03A3" w14:textId="0C510E32" w:rsidR="006F380C" w:rsidRPr="009444E6" w:rsidRDefault="006F380C" w:rsidP="006F380C">
            <w:pPr>
              <w:tabs>
                <w:tab w:val="left" w:pos="4820"/>
              </w:tabs>
              <w:spacing w:after="0" w:line="240" w:lineRule="auto"/>
              <w:jc w:val="center"/>
              <w:rPr>
                <w:rFonts w:asciiTheme="minorHAnsi" w:hAnsiTheme="minorHAnsi" w:cstheme="minorHAnsi"/>
                <w:bCs/>
              </w:rPr>
            </w:pPr>
            <w:r>
              <w:rPr>
                <w:rFonts w:asciiTheme="minorHAnsi" w:hAnsiTheme="minorHAnsi" w:cstheme="minorHAnsi"/>
                <w:bCs/>
              </w:rPr>
              <w:t>February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02A16BD8" w14:textId="2F454C96" w:rsidR="006F380C" w:rsidRPr="001E1CA7" w:rsidRDefault="0085311D" w:rsidP="006F380C">
            <w:pPr>
              <w:tabs>
                <w:tab w:val="left" w:pos="4820"/>
              </w:tabs>
              <w:spacing w:after="0" w:line="240" w:lineRule="auto"/>
              <w:jc w:val="both"/>
              <w:rPr>
                <w:rFonts w:asciiTheme="minorHAnsi" w:hAnsiTheme="minorHAnsi" w:cstheme="minorHAnsi"/>
                <w:bCs/>
              </w:rPr>
            </w:pPr>
            <w:r>
              <w:rPr>
                <w:rFonts w:asciiTheme="minorHAnsi" w:hAnsiTheme="minorHAnsi" w:cstheme="minorHAnsi"/>
                <w:bCs/>
              </w:rPr>
              <w:t>R</w:t>
            </w:r>
            <w:r w:rsidR="006F380C" w:rsidRPr="005F4251">
              <w:rPr>
                <w:rFonts w:asciiTheme="minorHAnsi" w:hAnsiTheme="minorHAnsi" w:cstheme="minorHAnsi"/>
                <w:bCs/>
              </w:rPr>
              <w:t>eturn to be filed by the persons who are required to deduct TDS (Tax deducted at source) under GST</w:t>
            </w:r>
          </w:p>
        </w:tc>
      </w:tr>
      <w:tr w:rsidR="006F380C" w:rsidRPr="00D27A53" w14:paraId="00F0FC0E" w14:textId="77777777" w:rsidTr="00A915BC">
        <w:trPr>
          <w:trHeight w:val="791"/>
        </w:trPr>
        <w:tc>
          <w:tcPr>
            <w:tcW w:w="1628" w:type="dxa"/>
            <w:shd w:val="clear" w:color="auto" w:fill="4E8542"/>
            <w:noWrap/>
            <w:vAlign w:val="center"/>
          </w:tcPr>
          <w:p w14:paraId="3E05D7C0" w14:textId="0BEC4C12" w:rsidR="006F380C" w:rsidRDefault="006F380C" w:rsidP="006F380C">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March</w:t>
            </w:r>
          </w:p>
        </w:tc>
        <w:tc>
          <w:tcPr>
            <w:tcW w:w="1623" w:type="dxa"/>
            <w:shd w:val="clear" w:color="auto" w:fill="D6E3BC" w:themeFill="accent3" w:themeFillTint="66"/>
            <w:vAlign w:val="center"/>
          </w:tcPr>
          <w:p w14:paraId="0D23E3F7" w14:textId="77777777" w:rsidR="006F380C" w:rsidRDefault="006F380C" w:rsidP="006F380C">
            <w:pPr>
              <w:pStyle w:val="ListParagraph"/>
              <w:ind w:left="43"/>
              <w:jc w:val="center"/>
              <w:rPr>
                <w:rFonts w:asciiTheme="minorHAnsi" w:hAnsiTheme="minorHAnsi" w:cstheme="minorHAnsi"/>
                <w:b/>
                <w:bCs/>
              </w:rPr>
            </w:pPr>
          </w:p>
          <w:p w14:paraId="0132BE2E" w14:textId="20B5D978" w:rsidR="006F380C" w:rsidRPr="007B6FAF" w:rsidRDefault="006F380C" w:rsidP="006F380C">
            <w:pPr>
              <w:pStyle w:val="ListParagraph"/>
              <w:ind w:left="43"/>
              <w:jc w:val="center"/>
              <w:rPr>
                <w:rFonts w:asciiTheme="minorHAnsi" w:hAnsiTheme="minorHAnsi" w:cstheme="minorHAnsi"/>
                <w:b/>
                <w:bCs/>
              </w:rPr>
            </w:pPr>
            <w:r w:rsidRPr="00033A6F">
              <w:rPr>
                <w:rFonts w:asciiTheme="minorHAnsi" w:hAnsiTheme="minorHAnsi" w:cstheme="minorHAnsi"/>
                <w:b/>
                <w:bCs/>
              </w:rPr>
              <w:t xml:space="preserve">GSTR – </w:t>
            </w:r>
            <w:r>
              <w:rPr>
                <w:rFonts w:asciiTheme="minorHAnsi" w:hAnsiTheme="minorHAnsi" w:cstheme="minorHAnsi"/>
                <w:b/>
                <w:bCs/>
              </w:rPr>
              <w:t>8</w:t>
            </w:r>
          </w:p>
        </w:tc>
        <w:tc>
          <w:tcPr>
            <w:tcW w:w="1559" w:type="dxa"/>
            <w:shd w:val="clear" w:color="auto" w:fill="D6E3BC" w:themeFill="accent3" w:themeFillTint="66"/>
            <w:vAlign w:val="center"/>
          </w:tcPr>
          <w:p w14:paraId="12B6A250" w14:textId="636C99C6" w:rsidR="006F380C" w:rsidRPr="009444E6" w:rsidRDefault="00151C6B" w:rsidP="006F380C">
            <w:pPr>
              <w:tabs>
                <w:tab w:val="left" w:pos="4820"/>
              </w:tabs>
              <w:spacing w:after="0" w:line="240" w:lineRule="auto"/>
              <w:jc w:val="center"/>
              <w:rPr>
                <w:rFonts w:asciiTheme="minorHAnsi" w:hAnsiTheme="minorHAnsi" w:cstheme="minorHAnsi"/>
                <w:bCs/>
              </w:rPr>
            </w:pPr>
            <w:r>
              <w:rPr>
                <w:rFonts w:asciiTheme="minorHAnsi" w:hAnsiTheme="minorHAnsi" w:cstheme="minorHAnsi"/>
                <w:bCs/>
              </w:rPr>
              <w:t>February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037D8200" w14:textId="570101B3" w:rsidR="006F380C" w:rsidRPr="001E1CA7" w:rsidRDefault="00785AA2" w:rsidP="006F380C">
            <w:pPr>
              <w:tabs>
                <w:tab w:val="left" w:pos="4820"/>
              </w:tabs>
              <w:spacing w:after="0" w:line="240" w:lineRule="auto"/>
              <w:jc w:val="both"/>
              <w:rPr>
                <w:rFonts w:asciiTheme="minorHAnsi" w:hAnsiTheme="minorHAnsi" w:cstheme="minorHAnsi"/>
                <w:bCs/>
              </w:rPr>
            </w:pPr>
            <w:r>
              <w:rPr>
                <w:rFonts w:asciiTheme="minorHAnsi" w:hAnsiTheme="minorHAnsi" w:cstheme="minorHAnsi"/>
                <w:bCs/>
              </w:rPr>
              <w:t>R</w:t>
            </w:r>
            <w:r w:rsidR="00151C6B" w:rsidRPr="00151C6B">
              <w:rPr>
                <w:rFonts w:asciiTheme="minorHAnsi" w:hAnsiTheme="minorHAnsi" w:cstheme="minorHAnsi"/>
                <w:bCs/>
              </w:rPr>
              <w:t>eturn to be filed by the e-commerce operators who are required to deduct TCS (Tax collected at source) under GST</w:t>
            </w:r>
          </w:p>
        </w:tc>
      </w:tr>
      <w:tr w:rsidR="006F380C" w:rsidRPr="00D27A53" w14:paraId="46333909" w14:textId="77777777" w:rsidTr="00A915BC">
        <w:trPr>
          <w:trHeight w:val="791"/>
        </w:trPr>
        <w:tc>
          <w:tcPr>
            <w:tcW w:w="1628" w:type="dxa"/>
            <w:shd w:val="clear" w:color="auto" w:fill="4E8542"/>
            <w:noWrap/>
            <w:vAlign w:val="center"/>
          </w:tcPr>
          <w:p w14:paraId="71A004FD" w14:textId="6E72542A" w:rsidR="006F380C" w:rsidRDefault="006F380C" w:rsidP="006F380C">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11</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March</w:t>
            </w:r>
          </w:p>
        </w:tc>
        <w:tc>
          <w:tcPr>
            <w:tcW w:w="1623" w:type="dxa"/>
            <w:shd w:val="clear" w:color="auto" w:fill="D6E3BC" w:themeFill="accent3" w:themeFillTint="66"/>
            <w:vAlign w:val="center"/>
          </w:tcPr>
          <w:p w14:paraId="22EC4264" w14:textId="75C12E58" w:rsidR="006F380C" w:rsidRPr="00033A6F" w:rsidRDefault="006F380C" w:rsidP="006F380C">
            <w:pPr>
              <w:pStyle w:val="ListParagraph"/>
              <w:ind w:left="43"/>
              <w:jc w:val="center"/>
              <w:rPr>
                <w:rFonts w:asciiTheme="minorHAnsi" w:hAnsiTheme="minorHAnsi" w:cstheme="minorHAnsi"/>
                <w:b/>
                <w:bCs/>
              </w:rPr>
            </w:pPr>
            <w:r w:rsidRPr="00033A6F">
              <w:rPr>
                <w:rFonts w:asciiTheme="minorHAnsi" w:hAnsiTheme="minorHAnsi" w:cstheme="minorHAnsi"/>
                <w:b/>
                <w:bCs/>
              </w:rPr>
              <w:t xml:space="preserve">GSTR – </w:t>
            </w:r>
            <w:r>
              <w:rPr>
                <w:rFonts w:asciiTheme="minorHAnsi" w:hAnsiTheme="minorHAnsi" w:cstheme="minorHAnsi"/>
                <w:b/>
                <w:bCs/>
              </w:rPr>
              <w:t>1</w:t>
            </w:r>
          </w:p>
        </w:tc>
        <w:tc>
          <w:tcPr>
            <w:tcW w:w="1559" w:type="dxa"/>
            <w:shd w:val="clear" w:color="auto" w:fill="D6E3BC" w:themeFill="accent3" w:themeFillTint="66"/>
            <w:vAlign w:val="center"/>
          </w:tcPr>
          <w:p w14:paraId="5CBBC022" w14:textId="2124AA2C" w:rsidR="006F380C" w:rsidRPr="009444E6" w:rsidRDefault="006F380C" w:rsidP="006F380C">
            <w:pPr>
              <w:tabs>
                <w:tab w:val="left" w:pos="4820"/>
              </w:tabs>
              <w:spacing w:after="0" w:line="240" w:lineRule="auto"/>
              <w:jc w:val="center"/>
              <w:rPr>
                <w:rFonts w:asciiTheme="minorHAnsi" w:hAnsiTheme="minorHAnsi" w:cstheme="minorHAnsi"/>
                <w:bCs/>
              </w:rPr>
            </w:pPr>
            <w:r>
              <w:rPr>
                <w:rFonts w:asciiTheme="minorHAnsi" w:hAnsiTheme="minorHAnsi" w:cstheme="minorHAnsi"/>
                <w:bCs/>
              </w:rPr>
              <w:t>February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29C6AEF8" w14:textId="19E2E5FF" w:rsidR="006F380C" w:rsidRPr="00314B58" w:rsidRDefault="006F380C" w:rsidP="006F380C">
            <w:pPr>
              <w:tabs>
                <w:tab w:val="left" w:pos="4820"/>
              </w:tabs>
              <w:spacing w:after="0" w:line="240" w:lineRule="auto"/>
              <w:jc w:val="both"/>
              <w:rPr>
                <w:rFonts w:asciiTheme="minorHAnsi" w:hAnsiTheme="minorHAnsi" w:cstheme="minorHAnsi"/>
                <w:bCs/>
              </w:rPr>
            </w:pPr>
            <w:r w:rsidRPr="005F4251">
              <w:rPr>
                <w:rFonts w:asciiTheme="minorHAnsi" w:hAnsiTheme="minorHAnsi" w:cstheme="minorHAnsi"/>
                <w:bCs/>
              </w:rPr>
              <w:t>Taxpayers have an aggregate turnover of more than Rs. 5 Crores or opted to file Monthly Return</w:t>
            </w:r>
          </w:p>
        </w:tc>
      </w:tr>
    </w:tbl>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77777777" w:rsidR="00FD3654" w:rsidRDefault="00FD3654"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3A918894" w:rsidR="001D6F9D" w:rsidRDefault="001D6F9D" w:rsidP="00F474C8">
      <w:pPr>
        <w:tabs>
          <w:tab w:val="left" w:pos="3039"/>
          <w:tab w:val="left" w:pos="4820"/>
        </w:tabs>
        <w:rPr>
          <w:rFonts w:cstheme="minorHAnsi"/>
          <w:b/>
          <w:sz w:val="32"/>
          <w:lang w:val="en-GB"/>
        </w:rPr>
      </w:pPr>
    </w:p>
    <w:p w14:paraId="7C315E85" w14:textId="77777777" w:rsidR="001E1CA7" w:rsidRDefault="001E1CA7"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33"/>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8C5F0C7" w14:textId="7FB6E81C" w:rsidR="00D9237E" w:rsidRPr="0072359D" w:rsidRDefault="00061CF6" w:rsidP="00D9237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w:t>
      </w:r>
      <w:r w:rsidR="00D05C94">
        <w:rPr>
          <w:b/>
          <w:bCs/>
          <w:noProof/>
          <w:color w:val="FFFFFF" w:themeColor="background1"/>
          <w:sz w:val="22"/>
          <w:szCs w:val="22"/>
          <w:u w:val="none"/>
          <w:lang w:val="en-US"/>
        </w:rPr>
        <w:t xml:space="preserve"> </w:t>
      </w:r>
      <w:r>
        <w:rPr>
          <w:b/>
          <w:bCs/>
          <w:noProof/>
          <w:color w:val="FFFFFF" w:themeColor="background1"/>
          <w:sz w:val="22"/>
          <w:szCs w:val="22"/>
          <w:u w:val="none"/>
          <w:lang w:val="en-US"/>
        </w:rPr>
        <w:t>LAW</w:t>
      </w:r>
    </w:p>
    <w:p w14:paraId="5CB2EAF7" w14:textId="076E24B7" w:rsidR="00D9237E" w:rsidRPr="00580D66" w:rsidRDefault="00530CC7" w:rsidP="00061CF6">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530CC7">
        <w:rPr>
          <w:rFonts w:asciiTheme="minorHAnsi" w:hAnsiTheme="minorHAnsi" w:cstheme="minorHAnsi"/>
          <w:b/>
          <w:bCs/>
          <w:caps/>
        </w:rPr>
        <w:t>HDFC BANK LTD., VERSUS ASSISTANT COMMISSIONER OF INCOME-TAX-2 (3), COMMISSIONER OF INCOME-TAX-2, UNION OF INDIA, THROUGH THE SECRETARY, DEPARTMENT OF REVENUE, MINISTRY OF FINANCE, NEW DELHI</w:t>
      </w:r>
    </w:p>
    <w:p w14:paraId="219EF044" w14:textId="5CAB0E5C" w:rsidR="007E11AC" w:rsidRDefault="00D05C94" w:rsidP="007E11AC">
      <w:pPr>
        <w:pStyle w:val="NormalWeb"/>
        <w:spacing w:after="150" w:line="276" w:lineRule="auto"/>
        <w:jc w:val="both"/>
        <w:rPr>
          <w:rFonts w:asciiTheme="minorHAnsi" w:hAnsiTheme="minorHAnsi" w:cstheme="minorHAnsi"/>
          <w:color w:val="000000" w:themeColor="text1"/>
          <w:sz w:val="22"/>
          <w:szCs w:val="22"/>
          <w:shd w:val="clear" w:color="auto" w:fill="FFFFFF"/>
        </w:rPr>
      </w:pPr>
      <w:r>
        <w:rPr>
          <w:rFonts w:asciiTheme="minorHAnsi" w:hAnsiTheme="minorHAnsi" w:cstheme="minorHAnsi"/>
          <w:b/>
          <w:bCs/>
          <w:color w:val="000000" w:themeColor="text1"/>
          <w:sz w:val="22"/>
          <w:szCs w:val="22"/>
          <w:shd w:val="clear" w:color="auto" w:fill="FFFFFF"/>
        </w:rPr>
        <w:t>BREIF</w:t>
      </w:r>
      <w:r w:rsidR="00D9237E" w:rsidRPr="00D05C94">
        <w:rPr>
          <w:rFonts w:asciiTheme="minorHAnsi" w:hAnsiTheme="minorHAnsi" w:cstheme="minorHAnsi"/>
          <w:b/>
          <w:bCs/>
          <w:color w:val="000000" w:themeColor="text1"/>
          <w:sz w:val="22"/>
          <w:szCs w:val="22"/>
          <w:shd w:val="clear" w:color="auto" w:fill="FFFFFF"/>
        </w:rPr>
        <w:t>:</w:t>
      </w:r>
      <w:r w:rsidR="00530CC7">
        <w:rPr>
          <w:rFonts w:asciiTheme="minorHAnsi" w:hAnsiTheme="minorHAnsi" w:cstheme="minorHAnsi"/>
          <w:b/>
          <w:bCs/>
          <w:color w:val="000000" w:themeColor="text1"/>
          <w:sz w:val="22"/>
          <w:szCs w:val="22"/>
          <w:shd w:val="clear" w:color="auto" w:fill="FFFFFF"/>
        </w:rPr>
        <w:t xml:space="preserve"> </w:t>
      </w:r>
      <w:r w:rsidR="00530CC7" w:rsidRPr="00A43B4E">
        <w:rPr>
          <w:rFonts w:asciiTheme="minorHAnsi" w:hAnsiTheme="minorHAnsi" w:cstheme="minorHAnsi"/>
          <w:color w:val="000000" w:themeColor="text1"/>
          <w:sz w:val="22"/>
          <w:szCs w:val="22"/>
          <w:shd w:val="clear" w:color="auto" w:fill="FFFFFF"/>
        </w:rPr>
        <w:t>Reopening of assessment u/s 14</w:t>
      </w:r>
      <w:r w:rsidR="007A3905">
        <w:rPr>
          <w:rFonts w:asciiTheme="minorHAnsi" w:hAnsiTheme="minorHAnsi" w:cstheme="minorHAnsi"/>
          <w:color w:val="000000" w:themeColor="text1"/>
          <w:sz w:val="22"/>
          <w:szCs w:val="22"/>
          <w:shd w:val="clear" w:color="auto" w:fill="FFFFFF"/>
        </w:rPr>
        <w:t>7.</w:t>
      </w:r>
      <w:r w:rsidR="00530CC7" w:rsidRPr="00A43B4E">
        <w:rPr>
          <w:rFonts w:asciiTheme="minorHAnsi" w:hAnsiTheme="minorHAnsi" w:cstheme="minorHAnsi"/>
          <w:color w:val="000000" w:themeColor="text1"/>
          <w:sz w:val="22"/>
          <w:szCs w:val="22"/>
          <w:shd w:val="clear" w:color="auto" w:fill="FFFFFF"/>
        </w:rPr>
        <w:t> </w:t>
      </w:r>
      <w:r w:rsidR="007A3905">
        <w:rPr>
          <w:rFonts w:asciiTheme="minorHAnsi" w:hAnsiTheme="minorHAnsi" w:cstheme="minorHAnsi"/>
          <w:color w:val="000000" w:themeColor="text1"/>
          <w:sz w:val="22"/>
          <w:szCs w:val="22"/>
          <w:shd w:val="clear" w:color="auto" w:fill="FFFFFF"/>
        </w:rPr>
        <w:t>W</w:t>
      </w:r>
      <w:r w:rsidR="00530CC7" w:rsidRPr="00A43B4E">
        <w:rPr>
          <w:rFonts w:asciiTheme="minorHAnsi" w:hAnsiTheme="minorHAnsi" w:cstheme="minorHAnsi"/>
          <w:color w:val="000000" w:themeColor="text1"/>
          <w:sz w:val="22"/>
          <w:szCs w:val="22"/>
          <w:shd w:val="clear" w:color="auto" w:fill="FFFFFF"/>
        </w:rPr>
        <w:t>hether the jurisdictional conditions to reopen the assessment were fulfilled</w:t>
      </w:r>
      <w:r w:rsidR="007A3905">
        <w:rPr>
          <w:rFonts w:asciiTheme="minorHAnsi" w:hAnsiTheme="minorHAnsi" w:cstheme="minorHAnsi"/>
          <w:color w:val="000000" w:themeColor="text1"/>
          <w:sz w:val="22"/>
          <w:szCs w:val="22"/>
          <w:shd w:val="clear" w:color="auto" w:fill="FFFFFF"/>
        </w:rPr>
        <w:t xml:space="preserve"> or not.</w:t>
      </w:r>
      <w:r w:rsidR="00530CC7" w:rsidRPr="00A43B4E">
        <w:rPr>
          <w:rFonts w:asciiTheme="minorHAnsi" w:hAnsiTheme="minorHAnsi" w:cstheme="minorHAnsi"/>
          <w:color w:val="000000" w:themeColor="text1"/>
          <w:sz w:val="22"/>
          <w:szCs w:val="22"/>
          <w:shd w:val="clear" w:color="auto" w:fill="FFFFFF"/>
        </w:rPr>
        <w:t xml:space="preserve"> Whether the assessee had incorrectly claimed the deduction under section 36(</w:t>
      </w:r>
      <w:proofErr w:type="gramStart"/>
      <w:r w:rsidR="00530CC7" w:rsidRPr="00A43B4E">
        <w:rPr>
          <w:rFonts w:asciiTheme="minorHAnsi" w:hAnsiTheme="minorHAnsi" w:cstheme="minorHAnsi"/>
          <w:color w:val="000000" w:themeColor="text1"/>
          <w:sz w:val="22"/>
          <w:szCs w:val="22"/>
          <w:shd w:val="clear" w:color="auto" w:fill="FFFFFF"/>
        </w:rPr>
        <w:t>1)(</w:t>
      </w:r>
      <w:proofErr w:type="gramEnd"/>
      <w:r w:rsidR="00530CC7" w:rsidRPr="00A43B4E">
        <w:rPr>
          <w:rFonts w:asciiTheme="minorHAnsi" w:hAnsiTheme="minorHAnsi" w:cstheme="minorHAnsi"/>
          <w:color w:val="000000" w:themeColor="text1"/>
          <w:sz w:val="22"/>
          <w:szCs w:val="22"/>
          <w:shd w:val="clear" w:color="auto" w:fill="FFFFFF"/>
        </w:rPr>
        <w:t>viia)</w:t>
      </w:r>
      <w:r w:rsidR="00785AA2">
        <w:rPr>
          <w:rFonts w:asciiTheme="minorHAnsi" w:hAnsiTheme="minorHAnsi" w:cstheme="minorHAnsi"/>
          <w:color w:val="000000" w:themeColor="text1"/>
          <w:sz w:val="22"/>
          <w:szCs w:val="22"/>
          <w:shd w:val="clear" w:color="auto" w:fill="FFFFFF"/>
        </w:rPr>
        <w:t>.</w:t>
      </w:r>
    </w:p>
    <w:p w14:paraId="0EC8CDD7" w14:textId="697A91DD" w:rsidR="00530CC7" w:rsidRPr="00530CC7" w:rsidRDefault="00F210EA" w:rsidP="00530CC7">
      <w:pPr>
        <w:pStyle w:val="NormalWeb"/>
        <w:spacing w:after="150" w:line="276" w:lineRule="auto"/>
        <w:jc w:val="both"/>
        <w:rPr>
          <w:rFonts w:asciiTheme="minorHAnsi" w:hAnsiTheme="minorHAnsi" w:cstheme="minorHAnsi"/>
          <w:color w:val="000000" w:themeColor="text1"/>
          <w:sz w:val="22"/>
          <w:szCs w:val="22"/>
          <w:shd w:val="clear" w:color="auto" w:fill="FFFFFF"/>
        </w:rPr>
      </w:pPr>
      <w:r w:rsidRPr="007E11AC">
        <w:rPr>
          <w:rFonts w:asciiTheme="minorHAnsi" w:hAnsiTheme="minorHAnsi" w:cstheme="minorHAnsi"/>
          <w:b/>
          <w:bCs/>
          <w:color w:val="000000" w:themeColor="text1"/>
          <w:sz w:val="22"/>
          <w:szCs w:val="22"/>
          <w:shd w:val="clear" w:color="auto" w:fill="FFFFFF"/>
        </w:rPr>
        <w:t>JUDGMENT</w:t>
      </w:r>
      <w:r w:rsidR="00530CC7">
        <w:rPr>
          <w:rFonts w:asciiTheme="minorHAnsi" w:hAnsiTheme="minorHAnsi" w:cstheme="minorHAnsi"/>
          <w:color w:val="000000" w:themeColor="text1"/>
          <w:sz w:val="22"/>
          <w:szCs w:val="22"/>
          <w:shd w:val="clear" w:color="auto" w:fill="FFFFFF"/>
        </w:rPr>
        <w:t>:</w:t>
      </w:r>
      <w:r w:rsidR="00530CC7" w:rsidRPr="00530CC7">
        <w:rPr>
          <w:rFonts w:asciiTheme="minorHAnsi" w:hAnsiTheme="minorHAnsi" w:cstheme="minorHAnsi"/>
          <w:color w:val="000000" w:themeColor="text1"/>
          <w:sz w:val="22"/>
          <w:szCs w:val="22"/>
          <w:shd w:val="clear" w:color="auto" w:fill="FFFFFF"/>
        </w:rPr>
        <w:t xml:space="preserve"> </w:t>
      </w:r>
      <w:r w:rsidR="007A3905">
        <w:rPr>
          <w:rFonts w:asciiTheme="minorHAnsi" w:hAnsiTheme="minorHAnsi" w:cstheme="minorHAnsi"/>
          <w:color w:val="000000" w:themeColor="text1"/>
          <w:sz w:val="22"/>
          <w:szCs w:val="22"/>
          <w:shd w:val="clear" w:color="auto" w:fill="FFFFFF"/>
        </w:rPr>
        <w:t>The Hon’ble Bombay High Court stated that i</w:t>
      </w:r>
      <w:r w:rsidR="00530CC7" w:rsidRPr="00530CC7">
        <w:rPr>
          <w:rFonts w:asciiTheme="minorHAnsi" w:hAnsiTheme="minorHAnsi" w:cstheme="minorHAnsi"/>
          <w:color w:val="000000" w:themeColor="text1"/>
          <w:sz w:val="22"/>
          <w:szCs w:val="22"/>
          <w:shd w:val="clear" w:color="auto" w:fill="FFFFFF"/>
        </w:rPr>
        <w:t>t would be inconceivable to assert that the assessee had not made a full disclosure of all the material facts, so far as the claim for deduction under section 36(</w:t>
      </w:r>
      <w:proofErr w:type="gramStart"/>
      <w:r w:rsidR="00530CC7" w:rsidRPr="00530CC7">
        <w:rPr>
          <w:rFonts w:asciiTheme="minorHAnsi" w:hAnsiTheme="minorHAnsi" w:cstheme="minorHAnsi"/>
          <w:color w:val="000000" w:themeColor="text1"/>
          <w:sz w:val="22"/>
          <w:szCs w:val="22"/>
          <w:shd w:val="clear" w:color="auto" w:fill="FFFFFF"/>
        </w:rPr>
        <w:t>1)(</w:t>
      </w:r>
      <w:proofErr w:type="gramEnd"/>
      <w:r w:rsidR="00530CC7" w:rsidRPr="00530CC7">
        <w:rPr>
          <w:rFonts w:asciiTheme="minorHAnsi" w:hAnsiTheme="minorHAnsi" w:cstheme="minorHAnsi"/>
          <w:color w:val="000000" w:themeColor="text1"/>
          <w:sz w:val="22"/>
          <w:szCs w:val="22"/>
          <w:shd w:val="clear" w:color="auto" w:fill="FFFFFF"/>
        </w:rPr>
        <w:t>viia) of the Act, 1961. Through this prism, the reasonability of the belief formed by the AO is required to be appreciated. The trigger for entertaining the belief about the escapement of income is apparently withdrawal by the assessee of the claim for deduction under section 36(</w:t>
      </w:r>
      <w:proofErr w:type="gramStart"/>
      <w:r w:rsidR="00530CC7" w:rsidRPr="00530CC7">
        <w:rPr>
          <w:rFonts w:asciiTheme="minorHAnsi" w:hAnsiTheme="minorHAnsi" w:cstheme="minorHAnsi"/>
          <w:color w:val="000000" w:themeColor="text1"/>
          <w:sz w:val="22"/>
          <w:szCs w:val="22"/>
          <w:shd w:val="clear" w:color="auto" w:fill="FFFFFF"/>
        </w:rPr>
        <w:t>1)(</w:t>
      </w:r>
      <w:proofErr w:type="gramEnd"/>
      <w:r w:rsidR="00530CC7" w:rsidRPr="00530CC7">
        <w:rPr>
          <w:rFonts w:asciiTheme="minorHAnsi" w:hAnsiTheme="minorHAnsi" w:cstheme="minorHAnsi"/>
          <w:color w:val="000000" w:themeColor="text1"/>
          <w:sz w:val="22"/>
          <w:szCs w:val="22"/>
          <w:shd w:val="clear" w:color="auto" w:fill="FFFFFF"/>
        </w:rPr>
        <w:t>viia) for the assessment year 2010-11. This stand of the assessee, it seems, made the revenue to entertain doubt as regards the classification of the branches by the assessee as “rural branches” for the purpose of deduction under section 36(</w:t>
      </w:r>
      <w:proofErr w:type="gramStart"/>
      <w:r w:rsidR="00530CC7" w:rsidRPr="00530CC7">
        <w:rPr>
          <w:rFonts w:asciiTheme="minorHAnsi" w:hAnsiTheme="minorHAnsi" w:cstheme="minorHAnsi"/>
          <w:color w:val="000000" w:themeColor="text1"/>
          <w:sz w:val="22"/>
          <w:szCs w:val="22"/>
          <w:shd w:val="clear" w:color="auto" w:fill="FFFFFF"/>
        </w:rPr>
        <w:t>1)(</w:t>
      </w:r>
      <w:proofErr w:type="gramEnd"/>
      <w:r w:rsidR="00530CC7" w:rsidRPr="00530CC7">
        <w:rPr>
          <w:rFonts w:asciiTheme="minorHAnsi" w:hAnsiTheme="minorHAnsi" w:cstheme="minorHAnsi"/>
          <w:color w:val="000000" w:themeColor="text1"/>
          <w:sz w:val="22"/>
          <w:szCs w:val="22"/>
          <w:shd w:val="clear" w:color="auto" w:fill="FFFFFF"/>
        </w:rPr>
        <w:t>viia) for the preceding years as well. When the revenue voiced its concern, the petitioner, as the record indicates, revived the claim for deduction under section 36(</w:t>
      </w:r>
      <w:proofErr w:type="gramStart"/>
      <w:r w:rsidR="00530CC7" w:rsidRPr="00530CC7">
        <w:rPr>
          <w:rFonts w:asciiTheme="minorHAnsi" w:hAnsiTheme="minorHAnsi" w:cstheme="minorHAnsi"/>
          <w:color w:val="000000" w:themeColor="text1"/>
          <w:sz w:val="22"/>
          <w:szCs w:val="22"/>
          <w:shd w:val="clear" w:color="auto" w:fill="FFFFFF"/>
        </w:rPr>
        <w:t>1)(</w:t>
      </w:r>
      <w:proofErr w:type="gramEnd"/>
      <w:r w:rsidR="00530CC7" w:rsidRPr="00530CC7">
        <w:rPr>
          <w:rFonts w:asciiTheme="minorHAnsi" w:hAnsiTheme="minorHAnsi" w:cstheme="minorHAnsi"/>
          <w:color w:val="000000" w:themeColor="text1"/>
          <w:sz w:val="22"/>
          <w:szCs w:val="22"/>
          <w:shd w:val="clear" w:color="auto" w:fill="FFFFFF"/>
        </w:rPr>
        <w:t>viia).</w:t>
      </w:r>
    </w:p>
    <w:p w14:paraId="488D6C86" w14:textId="2952D390" w:rsidR="00530CC7" w:rsidRPr="00530CC7" w:rsidRDefault="002A48B7" w:rsidP="00C809CC">
      <w:pPr>
        <w:pStyle w:val="NormalWeb"/>
        <w:spacing w:after="150" w:line="276" w:lineRule="auto"/>
        <w:ind w:left="142"/>
        <w:jc w:val="both"/>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The Hon’ble court</w:t>
      </w:r>
      <w:r w:rsidR="00530CC7" w:rsidRPr="00530CC7">
        <w:rPr>
          <w:rFonts w:asciiTheme="minorHAnsi" w:hAnsiTheme="minorHAnsi" w:cstheme="minorHAnsi"/>
          <w:color w:val="000000" w:themeColor="text1"/>
          <w:sz w:val="22"/>
          <w:szCs w:val="22"/>
          <w:shd w:val="clear" w:color="auto" w:fill="FFFFFF"/>
        </w:rPr>
        <w:t xml:space="preserve"> have delved into the matter in a greater detail to satisfy</w:t>
      </w:r>
      <w:r>
        <w:rPr>
          <w:rFonts w:asciiTheme="minorHAnsi" w:hAnsiTheme="minorHAnsi" w:cstheme="minorHAnsi"/>
          <w:color w:val="000000" w:themeColor="text1"/>
          <w:sz w:val="22"/>
          <w:szCs w:val="22"/>
          <w:shd w:val="clear" w:color="auto" w:fill="FFFFFF"/>
        </w:rPr>
        <w:t xml:space="preserve"> itself </w:t>
      </w:r>
      <w:r w:rsidR="00530CC7" w:rsidRPr="00530CC7">
        <w:rPr>
          <w:rFonts w:asciiTheme="minorHAnsi" w:hAnsiTheme="minorHAnsi" w:cstheme="minorHAnsi"/>
          <w:color w:val="000000" w:themeColor="text1"/>
          <w:sz w:val="22"/>
          <w:szCs w:val="22"/>
          <w:shd w:val="clear" w:color="auto" w:fill="FFFFFF"/>
        </w:rPr>
        <w:t xml:space="preserve">that the assessee has not had unjustified deduction. In the affidavit-in-reply, an endeavour was made to demonstrate that the random verification of the branches revealed that the assessee had incorrectly claimed as many as eight ‘non-rural’ branches as ‘rural’ branches (Paragraph No. 16 of the affidavit-in-reply). We have compared the said information with the list of branches furnished by the assessee along with the letter dated 26th November 2007, during the course of the original assessment. Except the branch at Palakkad, District Palakkad, Kerala, none of the rest seven branches was claimed by the assessee as ‘rural’ branch for the assessment year 2006-07. We also notice that along with the annexure to the said letter, the assessee had furnished </w:t>
      </w:r>
      <w:r w:rsidR="00530CC7" w:rsidRPr="00530CC7">
        <w:rPr>
          <w:rFonts w:asciiTheme="minorHAnsi" w:hAnsiTheme="minorHAnsi" w:cstheme="minorHAnsi"/>
          <w:color w:val="000000" w:themeColor="text1"/>
          <w:sz w:val="22"/>
          <w:szCs w:val="22"/>
          <w:shd w:val="clear" w:color="auto" w:fill="FFFFFF"/>
        </w:rPr>
        <w:t>copies of the license issued by the RBI to open a branch at the rural centre, Chandranagar, in Palakkad District, Kerala. It seems that the respondents have considered the branch at the Palakkad District Headquarters in support of their claim that there was misclassification of the branch though, in fact, a rural branch was opened at Chandranagar in Palakkad District, Kerala.</w:t>
      </w:r>
    </w:p>
    <w:p w14:paraId="74892C17" w14:textId="59A97A22" w:rsidR="00530CC7" w:rsidRPr="00530CC7" w:rsidRDefault="00530CC7" w:rsidP="00C809CC">
      <w:pPr>
        <w:pStyle w:val="NormalWeb"/>
        <w:spacing w:after="150" w:line="276" w:lineRule="auto"/>
        <w:ind w:left="142"/>
        <w:jc w:val="both"/>
        <w:rPr>
          <w:rFonts w:asciiTheme="minorHAnsi" w:hAnsiTheme="minorHAnsi" w:cstheme="minorHAnsi"/>
          <w:color w:val="000000" w:themeColor="text1"/>
          <w:sz w:val="22"/>
          <w:szCs w:val="22"/>
          <w:shd w:val="clear" w:color="auto" w:fill="FFFFFF"/>
        </w:rPr>
      </w:pPr>
      <w:r w:rsidRPr="00530CC7">
        <w:rPr>
          <w:rFonts w:asciiTheme="minorHAnsi" w:hAnsiTheme="minorHAnsi" w:cstheme="minorHAnsi"/>
          <w:color w:val="000000" w:themeColor="text1"/>
          <w:sz w:val="22"/>
          <w:szCs w:val="22"/>
          <w:shd w:val="clear" w:color="auto" w:fill="FFFFFF"/>
        </w:rPr>
        <w:t xml:space="preserve">The last submission on behalf of the revenue that the petitioner had not assailed the reopening of the assessment for the assessment years 2007-08, 2008-09 and 2009-10 on the same ground and, eventually, orders were by the ITAT in the context of the final assessment orders post reopening of the assessment in respect of those assessment years, though appears alluring at the first blush, yet does not advance the cause of the revenue. Once, it is held that the jurisdictional condition for invoking the power under section 147 is not satisfied for a particular assessment year, the notice for reopening cannot be sustained. Then, it does not matter that the assessee did not </w:t>
      </w:r>
      <w:r w:rsidR="007A3905" w:rsidRPr="00530CC7">
        <w:rPr>
          <w:rFonts w:asciiTheme="minorHAnsi" w:hAnsiTheme="minorHAnsi" w:cstheme="minorHAnsi"/>
          <w:color w:val="000000" w:themeColor="text1"/>
          <w:sz w:val="22"/>
          <w:szCs w:val="22"/>
          <w:shd w:val="clear" w:color="auto" w:fill="FFFFFF"/>
        </w:rPr>
        <w:t>assail</w:t>
      </w:r>
      <w:r w:rsidRPr="00530CC7">
        <w:rPr>
          <w:rFonts w:asciiTheme="minorHAnsi" w:hAnsiTheme="minorHAnsi" w:cstheme="minorHAnsi"/>
          <w:color w:val="000000" w:themeColor="text1"/>
          <w:sz w:val="22"/>
          <w:szCs w:val="22"/>
          <w:shd w:val="clear" w:color="auto" w:fill="FFFFFF"/>
        </w:rPr>
        <w:t xml:space="preserve"> the notice for reopening in respect of preceding or succeeding years.</w:t>
      </w:r>
    </w:p>
    <w:p w14:paraId="4D6D5F46" w14:textId="7D68D132" w:rsidR="00530CC7" w:rsidRPr="007A3905" w:rsidRDefault="00530CC7" w:rsidP="00C809CC">
      <w:pPr>
        <w:pStyle w:val="NormalWeb"/>
        <w:spacing w:after="150" w:line="276" w:lineRule="auto"/>
        <w:ind w:left="142"/>
        <w:jc w:val="both"/>
        <w:rPr>
          <w:rFonts w:asciiTheme="minorHAnsi" w:hAnsiTheme="minorHAnsi" w:cstheme="minorHAnsi"/>
          <w:color w:val="000000" w:themeColor="text1"/>
          <w:sz w:val="22"/>
          <w:szCs w:val="22"/>
          <w:shd w:val="clear" w:color="auto" w:fill="FFFFFF"/>
        </w:rPr>
      </w:pPr>
      <w:r w:rsidRPr="00530CC7">
        <w:rPr>
          <w:rFonts w:asciiTheme="minorHAnsi" w:hAnsiTheme="minorHAnsi" w:cstheme="minorHAnsi"/>
          <w:color w:val="000000" w:themeColor="text1"/>
          <w:sz w:val="22"/>
          <w:szCs w:val="22"/>
          <w:shd w:val="clear" w:color="auto" w:fill="FFFFFF"/>
        </w:rPr>
        <w:t>The conspectus of the aforesaid consideration is that the impugned notice of reopening and the order on objections deserve to be quashed and set aside.</w:t>
      </w:r>
    </w:p>
    <w:p w14:paraId="44F9658C" w14:textId="0C380930" w:rsidR="00A43B4E" w:rsidRPr="00AF6801" w:rsidRDefault="00A43B4E" w:rsidP="00C809CC">
      <w:pPr>
        <w:pStyle w:val="NormalWeb"/>
        <w:spacing w:after="150" w:line="360" w:lineRule="auto"/>
        <w:ind w:left="142"/>
        <w:rPr>
          <w:rFonts w:asciiTheme="minorHAnsi" w:hAnsiTheme="minorHAnsi" w:cstheme="minorHAnsi"/>
        </w:rPr>
      </w:pPr>
      <w:r w:rsidRPr="00BD77E9">
        <w:rPr>
          <w:rFonts w:asciiTheme="minorHAnsi" w:hAnsiTheme="minorHAnsi" w:cstheme="minorHAnsi"/>
          <w:b/>
          <w:bCs/>
          <w:sz w:val="22"/>
          <w:szCs w:val="22"/>
          <w:shd w:val="clear" w:color="auto" w:fill="FFFFFF"/>
        </w:rPr>
        <w:t>[</w:t>
      </w:r>
      <w:r>
        <w:rPr>
          <w:rFonts w:asciiTheme="minorHAnsi" w:hAnsiTheme="minorHAnsi" w:cstheme="minorHAnsi"/>
          <w:b/>
          <w:bCs/>
          <w:sz w:val="22"/>
          <w:szCs w:val="22"/>
          <w:shd w:val="clear" w:color="auto" w:fill="FFFFFF"/>
        </w:rPr>
        <w:t xml:space="preserve">Decided in </w:t>
      </w:r>
      <w:r w:rsidR="000551D8">
        <w:rPr>
          <w:rFonts w:asciiTheme="minorHAnsi" w:hAnsiTheme="minorHAnsi" w:cstheme="minorHAnsi"/>
          <w:b/>
          <w:bCs/>
          <w:sz w:val="22"/>
          <w:szCs w:val="22"/>
          <w:shd w:val="clear" w:color="auto" w:fill="FFFFFF"/>
        </w:rPr>
        <w:t>favour</w:t>
      </w:r>
      <w:r>
        <w:rPr>
          <w:rFonts w:asciiTheme="minorHAnsi" w:hAnsiTheme="minorHAnsi" w:cstheme="minorHAnsi"/>
          <w:b/>
          <w:bCs/>
          <w:sz w:val="22"/>
          <w:szCs w:val="22"/>
          <w:shd w:val="clear" w:color="auto" w:fill="FFFFFF"/>
        </w:rPr>
        <w:t xml:space="preserve"> of Assessee</w:t>
      </w:r>
      <w:r w:rsidRPr="00BD77E9">
        <w:rPr>
          <w:rFonts w:asciiTheme="minorHAnsi" w:hAnsiTheme="minorHAnsi" w:cstheme="minorHAnsi"/>
          <w:b/>
          <w:bCs/>
          <w:sz w:val="22"/>
          <w:szCs w:val="22"/>
          <w:shd w:val="clear" w:color="auto" w:fill="FFFFFF"/>
        </w:rPr>
        <w:t>]</w:t>
      </w:r>
    </w:p>
    <w:p w14:paraId="392E6C31" w14:textId="77777777" w:rsidR="00A43B4E" w:rsidRPr="00530CC7" w:rsidRDefault="00A43B4E" w:rsidP="00A43B4E">
      <w:pPr>
        <w:pStyle w:val="NormalWeb"/>
        <w:spacing w:after="150" w:line="276" w:lineRule="auto"/>
        <w:jc w:val="both"/>
        <w:rPr>
          <w:rFonts w:asciiTheme="minorHAnsi" w:hAnsiTheme="minorHAnsi" w:cstheme="minorHAnsi"/>
          <w:color w:val="000000" w:themeColor="text1"/>
          <w:shd w:val="clear" w:color="auto" w:fill="FFFFFF"/>
        </w:rPr>
      </w:pPr>
    </w:p>
    <w:p w14:paraId="37C14D63" w14:textId="77ECD013" w:rsidR="00F210EA" w:rsidRPr="00F210EA" w:rsidRDefault="00F210EA" w:rsidP="00A43B4E">
      <w:pPr>
        <w:pStyle w:val="NormalWeb"/>
        <w:spacing w:after="150" w:line="276" w:lineRule="auto"/>
        <w:jc w:val="both"/>
        <w:rPr>
          <w:rFonts w:asciiTheme="minorHAnsi" w:hAnsiTheme="minorHAnsi" w:cstheme="minorHAnsi"/>
          <w:sz w:val="22"/>
          <w:szCs w:val="22"/>
          <w:shd w:val="clear" w:color="auto" w:fill="FFFFFF"/>
        </w:rPr>
      </w:pPr>
    </w:p>
    <w:p w14:paraId="1FB771B7" w14:textId="7B82E560" w:rsidR="00F210EA" w:rsidRPr="00F210EA" w:rsidRDefault="00F210EA" w:rsidP="00F210EA">
      <w:pPr>
        <w:pStyle w:val="NormalWeb"/>
        <w:spacing w:after="150" w:line="276" w:lineRule="auto"/>
        <w:jc w:val="both"/>
        <w:rPr>
          <w:rFonts w:asciiTheme="minorHAnsi" w:hAnsiTheme="minorHAnsi" w:cstheme="minorHAnsi"/>
          <w:b/>
          <w:bCs/>
          <w:sz w:val="22"/>
          <w:szCs w:val="22"/>
          <w:shd w:val="clear" w:color="auto" w:fill="FFFFFF"/>
        </w:rPr>
        <w:sectPr w:rsidR="00F210EA" w:rsidRPr="00F210EA" w:rsidSect="009E09F1">
          <w:headerReference w:type="default" r:id="rId34"/>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p>
    <w:p w14:paraId="002D4FEE" w14:textId="15A794C6" w:rsidR="00954B32" w:rsidRPr="0072359D" w:rsidRDefault="00550965"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w:t>
      </w:r>
      <w:r w:rsidR="00A43B4E">
        <w:rPr>
          <w:b/>
          <w:bCs/>
          <w:noProof/>
          <w:color w:val="FFFFFF" w:themeColor="background1"/>
          <w:sz w:val="22"/>
          <w:szCs w:val="22"/>
          <w:u w:val="none"/>
          <w:lang w:val="en-US"/>
        </w:rPr>
        <w:t>DVISORY</w:t>
      </w:r>
    </w:p>
    <w:p w14:paraId="371556A4" w14:textId="69ADBFCD" w:rsidR="004E1923" w:rsidRPr="00761EDE" w:rsidRDefault="00550965" w:rsidP="002A48B7">
      <w:pPr>
        <w:shd w:val="clear" w:color="auto" w:fill="8DC182"/>
        <w:tabs>
          <w:tab w:val="left" w:pos="4820"/>
        </w:tabs>
        <w:autoSpaceDE w:val="0"/>
        <w:autoSpaceDN w:val="0"/>
        <w:adjustRightInd w:val="0"/>
        <w:ind w:right="11"/>
        <w:jc w:val="both"/>
        <w:rPr>
          <w:rFonts w:asciiTheme="minorHAnsi" w:hAnsiTheme="minorHAnsi" w:cstheme="minorHAnsi"/>
          <w:b/>
          <w:lang w:val="en-IN"/>
        </w:rPr>
      </w:pPr>
      <w:r>
        <w:rPr>
          <w:rFonts w:asciiTheme="minorHAnsi" w:hAnsiTheme="minorHAnsi" w:cstheme="minorHAnsi"/>
          <w:b/>
          <w:lang w:val="en-IN"/>
        </w:rPr>
        <w:t xml:space="preserve">ADVISORY ON </w:t>
      </w:r>
      <w:r w:rsidRPr="004E1923">
        <w:rPr>
          <w:rFonts w:asciiTheme="minorHAnsi" w:hAnsiTheme="minorHAnsi" w:cstheme="minorHAnsi"/>
          <w:b/>
          <w:lang w:val="en-IN"/>
        </w:rPr>
        <w:t>AUTO-POPULATION OF E-INVOICE DETAILS INTO GSTR-1</w:t>
      </w:r>
    </w:p>
    <w:p w14:paraId="5E2B2FCF" w14:textId="51249055" w:rsidR="00357F9C" w:rsidRDefault="004C0C12" w:rsidP="00AE364F">
      <w:pPr>
        <w:pStyle w:val="NormalWeb"/>
        <w:jc w:val="both"/>
        <w:rPr>
          <w:rFonts w:asciiTheme="minorHAnsi" w:hAnsiTheme="minorHAnsi" w:cstheme="minorHAnsi"/>
          <w:sz w:val="22"/>
          <w:szCs w:val="22"/>
        </w:rPr>
      </w:pPr>
      <w:r w:rsidRPr="00761EDE">
        <w:rPr>
          <w:rFonts w:asciiTheme="minorHAnsi" w:hAnsiTheme="minorHAnsi" w:cstheme="minorHAnsi"/>
          <w:b/>
          <w:bCs/>
          <w:sz w:val="22"/>
          <w:szCs w:val="22"/>
        </w:rPr>
        <w:t>Our Comments:</w:t>
      </w:r>
      <w:r w:rsidRPr="004C0C12">
        <w:rPr>
          <w:rFonts w:asciiTheme="minorHAnsi" w:hAnsiTheme="minorHAnsi" w:cstheme="minorHAnsi"/>
          <w:sz w:val="22"/>
          <w:szCs w:val="22"/>
        </w:rPr>
        <w:t xml:space="preserve"> </w:t>
      </w:r>
      <w:r w:rsidR="002A48B7">
        <w:rPr>
          <w:rFonts w:asciiTheme="minorHAnsi" w:hAnsiTheme="minorHAnsi" w:cstheme="minorHAnsi"/>
          <w:sz w:val="22"/>
          <w:szCs w:val="22"/>
        </w:rPr>
        <w:t xml:space="preserve">The government vide </w:t>
      </w:r>
      <w:r w:rsidR="00C66AA3">
        <w:rPr>
          <w:rFonts w:asciiTheme="minorHAnsi" w:hAnsiTheme="minorHAnsi" w:cstheme="minorHAnsi"/>
          <w:sz w:val="22"/>
          <w:szCs w:val="22"/>
        </w:rPr>
        <w:t>Advisory dated 3.3.2022</w:t>
      </w:r>
      <w:r w:rsidR="002A48B7">
        <w:rPr>
          <w:rFonts w:asciiTheme="minorHAnsi" w:hAnsiTheme="minorHAnsi" w:cstheme="minorHAnsi"/>
          <w:sz w:val="22"/>
          <w:szCs w:val="22"/>
        </w:rPr>
        <w:t xml:space="preserve"> on the GST portal</w:t>
      </w:r>
      <w:r w:rsidR="00C66AA3">
        <w:rPr>
          <w:rFonts w:asciiTheme="minorHAnsi" w:hAnsiTheme="minorHAnsi" w:cstheme="minorHAnsi"/>
          <w:sz w:val="22"/>
          <w:szCs w:val="22"/>
        </w:rPr>
        <w:t xml:space="preserve">, </w:t>
      </w:r>
      <w:r w:rsidR="007173C3">
        <w:rPr>
          <w:rFonts w:asciiTheme="minorHAnsi" w:hAnsiTheme="minorHAnsi" w:cstheme="minorHAnsi"/>
          <w:sz w:val="22"/>
          <w:szCs w:val="22"/>
        </w:rPr>
        <w:t xml:space="preserve">it has been advised for </w:t>
      </w:r>
      <w:r w:rsidR="004E1923" w:rsidRPr="00AE364F">
        <w:rPr>
          <w:rFonts w:asciiTheme="minorHAnsi" w:hAnsiTheme="minorHAnsi" w:cstheme="minorHAnsi"/>
          <w:sz w:val="22"/>
          <w:szCs w:val="22"/>
        </w:rPr>
        <w:t>Generation of e-invoice is mandatory for certain class of taxpayers, as notified by the Government. These taxpayers are required to prepare and issue their e-invoices by reporting their invoice data in the prescribed format (e-invoice schema in FORM GST INV-01) and reporting the same on the Invoice Registration Portal (IRP).</w:t>
      </w:r>
    </w:p>
    <w:p w14:paraId="5AB30681" w14:textId="078D98CA" w:rsidR="004C0C12" w:rsidRPr="00AE364F" w:rsidRDefault="004E1923" w:rsidP="00AE364F">
      <w:pPr>
        <w:pStyle w:val="NormalWeb"/>
        <w:jc w:val="both"/>
        <w:rPr>
          <w:rFonts w:asciiTheme="minorHAnsi" w:hAnsiTheme="minorHAnsi" w:cstheme="minorHAnsi"/>
          <w:sz w:val="22"/>
          <w:szCs w:val="22"/>
        </w:rPr>
      </w:pPr>
      <w:r w:rsidRPr="00AE364F">
        <w:rPr>
          <w:rFonts w:asciiTheme="minorHAnsi" w:hAnsiTheme="minorHAnsi" w:cstheme="minorHAnsi"/>
          <w:sz w:val="22"/>
          <w:szCs w:val="22"/>
        </w:rPr>
        <w:t xml:space="preserve">Invoices reported successfully on the Invoice Registration Portal (IRP) are given a unique Invoice Reference Number (IRN). After issuance, the e-invoices could be cancelled on the IRP within a specified period after the generation the e-invoice. The documents (invoices, debit notes, credit notes) reported on the IRP are transmitted electronically to the GST system two days after generation &amp; are auto-populated in the respective tables of the GSTR-1 of such taxpayers. These auto-populated documents appear as Saved records in GSTR-1 of the taxpayers, with source of the document mentioned as ‘E-invoice’ &amp; IRN details also mentioned against every record. </w:t>
      </w:r>
    </w:p>
    <w:p w14:paraId="2DFDA72B" w14:textId="77777777" w:rsidR="00361407" w:rsidRDefault="00D10971" w:rsidP="00AE364F">
      <w:pPr>
        <w:pStyle w:val="NormalWeb"/>
        <w:jc w:val="both"/>
        <w:rPr>
          <w:rFonts w:asciiTheme="minorHAnsi" w:hAnsiTheme="minorHAnsi" w:cstheme="minorHAnsi"/>
          <w:sz w:val="22"/>
          <w:szCs w:val="22"/>
        </w:rPr>
      </w:pPr>
      <w:r w:rsidRPr="00AE364F">
        <w:rPr>
          <w:rFonts w:asciiTheme="minorHAnsi" w:hAnsiTheme="minorHAnsi" w:cstheme="minorHAnsi"/>
          <w:b/>
          <w:bCs/>
          <w:sz w:val="22"/>
          <w:szCs w:val="22"/>
        </w:rPr>
        <w:t>Auto-population in GSTR-1 from IRP:</w:t>
      </w:r>
      <w:r w:rsidRPr="00AE364F">
        <w:rPr>
          <w:rFonts w:asciiTheme="minorHAnsi" w:hAnsiTheme="minorHAnsi" w:cstheme="minorHAnsi"/>
          <w:sz w:val="22"/>
          <w:szCs w:val="22"/>
        </w:rPr>
        <w:t xml:space="preserve"> </w:t>
      </w:r>
    </w:p>
    <w:p w14:paraId="03E12494" w14:textId="3E582BED" w:rsidR="00AE364F" w:rsidRPr="00AE364F" w:rsidRDefault="00D10971" w:rsidP="00AE364F">
      <w:pPr>
        <w:pStyle w:val="NormalWeb"/>
        <w:jc w:val="both"/>
        <w:rPr>
          <w:rFonts w:asciiTheme="minorHAnsi" w:hAnsiTheme="minorHAnsi" w:cstheme="minorHAnsi"/>
          <w:sz w:val="22"/>
          <w:szCs w:val="22"/>
        </w:rPr>
      </w:pPr>
      <w:r w:rsidRPr="00AE364F">
        <w:rPr>
          <w:rFonts w:asciiTheme="minorHAnsi" w:hAnsiTheme="minorHAnsi" w:cstheme="minorHAnsi"/>
          <w:sz w:val="22"/>
          <w:szCs w:val="22"/>
        </w:rPr>
        <w:t>In this regard, the following may be noted regarding the auto-population of e-invoices in GSTR-</w:t>
      </w:r>
      <w:proofErr w:type="gramStart"/>
      <w:r w:rsidRPr="00AE364F">
        <w:rPr>
          <w:rFonts w:asciiTheme="minorHAnsi" w:hAnsiTheme="minorHAnsi" w:cstheme="minorHAnsi"/>
          <w:sz w:val="22"/>
          <w:szCs w:val="22"/>
        </w:rPr>
        <w:t>1 :</w:t>
      </w:r>
      <w:proofErr w:type="gramEnd"/>
      <w:r w:rsidRPr="00AE364F">
        <w:rPr>
          <w:rFonts w:asciiTheme="minorHAnsi" w:hAnsiTheme="minorHAnsi" w:cstheme="minorHAnsi"/>
          <w:sz w:val="22"/>
          <w:szCs w:val="22"/>
        </w:rPr>
        <w:t xml:space="preserve"> </w:t>
      </w:r>
    </w:p>
    <w:p w14:paraId="3C2E4B1F" w14:textId="45A0A687" w:rsidR="00AE364F" w:rsidRPr="00AE364F" w:rsidRDefault="00D10971" w:rsidP="00AE364F">
      <w:pPr>
        <w:pStyle w:val="NormalWeb"/>
        <w:jc w:val="both"/>
        <w:rPr>
          <w:rFonts w:asciiTheme="minorHAnsi" w:hAnsiTheme="minorHAnsi" w:cstheme="minorHAnsi"/>
          <w:sz w:val="22"/>
          <w:szCs w:val="22"/>
        </w:rPr>
      </w:pPr>
      <w:r w:rsidRPr="00AE364F">
        <w:rPr>
          <w:rFonts w:asciiTheme="minorHAnsi" w:hAnsiTheme="minorHAnsi" w:cstheme="minorHAnsi"/>
          <w:sz w:val="22"/>
          <w:szCs w:val="22"/>
        </w:rPr>
        <w:t xml:space="preserve">a. The tax-period of GSTR-1 in which the e-invoice will be auto-populated will be as per the Document Date, irrespective of the date on which the document (invoice, debit note, credit note) was reported on the IRP &amp; the IRN was generated (Date of Generation). </w:t>
      </w:r>
    </w:p>
    <w:p w14:paraId="63D58DC3" w14:textId="77777777" w:rsidR="00357F9C" w:rsidRDefault="00AE364F" w:rsidP="00AE364F">
      <w:pPr>
        <w:pStyle w:val="NormalWeb"/>
        <w:jc w:val="both"/>
        <w:rPr>
          <w:rFonts w:asciiTheme="minorHAnsi" w:hAnsiTheme="minorHAnsi" w:cstheme="minorHAnsi"/>
          <w:sz w:val="22"/>
          <w:szCs w:val="22"/>
        </w:rPr>
      </w:pPr>
      <w:r w:rsidRPr="00AE364F">
        <w:rPr>
          <w:rFonts w:asciiTheme="minorHAnsi" w:hAnsiTheme="minorHAnsi" w:cstheme="minorHAnsi"/>
          <w:sz w:val="22"/>
          <w:szCs w:val="22"/>
        </w:rPr>
        <w:t>b. If the taxpayer reports the document (invoice, debit note, credit note) on the IRP after filing GSTR-1 for that period, then the e-invoice will not be auto-populated in any subsequent GSTR-1. The Excel file containing the e-invoice details can still be downloaded from the GSTR-1 dashboard for the tax-period to which the document (invoice, debit note, credit note) pertains to.</w:t>
      </w:r>
    </w:p>
    <w:p w14:paraId="6284FC34" w14:textId="1F048F01" w:rsidR="00AE364F" w:rsidRDefault="00357F9C" w:rsidP="00AE364F">
      <w:pPr>
        <w:pStyle w:val="NormalWeb"/>
        <w:jc w:val="both"/>
        <w:rPr>
          <w:rFonts w:asciiTheme="minorHAnsi" w:hAnsiTheme="minorHAnsi" w:cstheme="minorHAnsi"/>
          <w:sz w:val="22"/>
          <w:szCs w:val="22"/>
        </w:rPr>
      </w:pPr>
      <w:r>
        <w:rPr>
          <w:rFonts w:asciiTheme="minorHAnsi" w:hAnsiTheme="minorHAnsi" w:cstheme="minorHAnsi"/>
          <w:sz w:val="22"/>
          <w:szCs w:val="22"/>
        </w:rPr>
        <w:t xml:space="preserve">c. </w:t>
      </w:r>
      <w:r w:rsidR="00AE364F" w:rsidRPr="00AE364F">
        <w:rPr>
          <w:rFonts w:asciiTheme="minorHAnsi" w:hAnsiTheme="minorHAnsi" w:cstheme="minorHAnsi"/>
          <w:sz w:val="22"/>
          <w:szCs w:val="22"/>
        </w:rPr>
        <w:t xml:space="preserve">If the taxpayer reports the document (invoice, debit note, credit note) on the IRP after manually entering the document in GSTR-1, the manually entered data will not </w:t>
      </w:r>
      <w:r w:rsidR="00AE364F" w:rsidRPr="00AE364F">
        <w:rPr>
          <w:rFonts w:asciiTheme="minorHAnsi" w:hAnsiTheme="minorHAnsi" w:cstheme="minorHAnsi"/>
          <w:sz w:val="22"/>
          <w:szCs w:val="22"/>
        </w:rPr>
        <w:t>be over-written even if the GSTR-1 is not filed. The Excel file containing the e-invoice details can still be downloaded from the GSTR-1 dashboard of the tax-period to which the document (invoice, debit note, credit note) pertains to. Since the document already exists in GSTR-1 and it is not auto-populated in GSTR-1 from IRP, a message regarding this will be mentioned in the Excel file against the specific document(s).</w:t>
      </w:r>
    </w:p>
    <w:p w14:paraId="48802EC8" w14:textId="698B039E" w:rsidR="00AE364F" w:rsidRPr="00361407" w:rsidRDefault="00AE364F" w:rsidP="00AE364F">
      <w:pPr>
        <w:pStyle w:val="NormalWeb"/>
        <w:jc w:val="both"/>
        <w:rPr>
          <w:rFonts w:asciiTheme="minorHAnsi" w:hAnsiTheme="minorHAnsi" w:cstheme="minorHAnsi"/>
          <w:sz w:val="22"/>
          <w:szCs w:val="22"/>
        </w:rPr>
      </w:pPr>
      <w:r w:rsidRPr="00361407">
        <w:rPr>
          <w:rFonts w:asciiTheme="minorHAnsi" w:hAnsiTheme="minorHAnsi" w:cstheme="minorHAnsi"/>
          <w:sz w:val="22"/>
          <w:szCs w:val="22"/>
        </w:rPr>
        <w:t>GST System aggregates the item-level details reported in the e-invoices at Rate-level for the purpose of auto</w:t>
      </w:r>
      <w:r w:rsidR="00785AA2">
        <w:rPr>
          <w:rFonts w:asciiTheme="minorHAnsi" w:hAnsiTheme="minorHAnsi" w:cstheme="minorHAnsi"/>
          <w:sz w:val="22"/>
          <w:szCs w:val="22"/>
        </w:rPr>
        <w:t xml:space="preserve"> </w:t>
      </w:r>
      <w:r w:rsidRPr="00361407">
        <w:rPr>
          <w:rFonts w:asciiTheme="minorHAnsi" w:hAnsiTheme="minorHAnsi" w:cstheme="minorHAnsi"/>
          <w:sz w:val="22"/>
          <w:szCs w:val="22"/>
        </w:rPr>
        <w:t xml:space="preserve">population into GSTR-1. For the records auto-populated in GSTR-1 on the basis of e-invoices, the following additional details will also be displayed in GSTR-a. Source (e-invoice) b. Invoice Reference Number (IRN) c. Invoice Reference Number Date (IRN Date) </w:t>
      </w:r>
    </w:p>
    <w:p w14:paraId="36E9F0FF" w14:textId="74E66E18" w:rsidR="00AE364F" w:rsidRPr="00361407" w:rsidRDefault="00AE364F" w:rsidP="00AE364F">
      <w:pPr>
        <w:pStyle w:val="NormalWeb"/>
        <w:jc w:val="both"/>
        <w:rPr>
          <w:rFonts w:asciiTheme="minorHAnsi" w:hAnsiTheme="minorHAnsi" w:cstheme="minorHAnsi"/>
          <w:sz w:val="22"/>
          <w:szCs w:val="22"/>
        </w:rPr>
      </w:pPr>
      <w:r w:rsidRPr="00361407">
        <w:rPr>
          <w:rFonts w:asciiTheme="minorHAnsi" w:hAnsiTheme="minorHAnsi" w:cstheme="minorHAnsi"/>
          <w:sz w:val="22"/>
          <w:szCs w:val="22"/>
        </w:rPr>
        <w:t xml:space="preserve">GSTR-1 is a statement of outward supplies which is prepared on the basis of the documents (invoices, debit notes, credit notes) issued by the taxpayers, and is a summary of the same for a given tax-period. Data reported in e-invoices should thus match with the data reported in GSTR-1. Consequently, if a taxpayer edits the data auto-populated in GSTR-1 from e-invoices, such edited documents will be treated as if they were not </w:t>
      </w:r>
      <w:r w:rsidR="00361407" w:rsidRPr="00361407">
        <w:rPr>
          <w:rFonts w:asciiTheme="minorHAnsi" w:hAnsiTheme="minorHAnsi" w:cstheme="minorHAnsi"/>
          <w:sz w:val="22"/>
          <w:szCs w:val="22"/>
        </w:rPr>
        <w:t>auto populated</w:t>
      </w:r>
      <w:r w:rsidRPr="00361407">
        <w:rPr>
          <w:rFonts w:asciiTheme="minorHAnsi" w:hAnsiTheme="minorHAnsi" w:cstheme="minorHAnsi"/>
          <w:sz w:val="22"/>
          <w:szCs w:val="22"/>
        </w:rPr>
        <w:t xml:space="preserve"> but uploaded separately by taxpayer. Thus, the data auto-populated in the ‘Source’, ‘IRN’ and ‘IRN date’ fields will be deleted by the system in such cases. Taxpayers are thus advised to modify/update the details auto-populated from e-invoices only if they are not as per the actual documents (invoices, debit notes, credit notes) issued by them. </w:t>
      </w:r>
    </w:p>
    <w:p w14:paraId="7C72E7D7" w14:textId="2A8AD464" w:rsidR="00361407" w:rsidRDefault="00AE364F" w:rsidP="003D700E">
      <w:pPr>
        <w:pStyle w:val="NormalWeb"/>
        <w:jc w:val="both"/>
        <w:rPr>
          <w:rFonts w:asciiTheme="minorHAnsi" w:hAnsiTheme="minorHAnsi" w:cstheme="minorHAnsi"/>
          <w:sz w:val="22"/>
          <w:szCs w:val="22"/>
        </w:rPr>
      </w:pPr>
      <w:r w:rsidRPr="00361407">
        <w:rPr>
          <w:rFonts w:asciiTheme="minorHAnsi" w:hAnsiTheme="minorHAnsi" w:cstheme="minorHAnsi"/>
          <w:sz w:val="22"/>
          <w:szCs w:val="22"/>
        </w:rPr>
        <w:t xml:space="preserve">Outward supplies details other than those reported in on the IRP have to be manually entered in GSTR-1, as earlier. Before filing GSTR-1, taxpayers are advised to review the details of e-invoices auto-populated in specified tables. This can be done </w:t>
      </w:r>
      <w:proofErr w:type="gramStart"/>
      <w:r w:rsidRPr="00361407">
        <w:rPr>
          <w:rFonts w:asciiTheme="minorHAnsi" w:hAnsiTheme="minorHAnsi" w:cstheme="minorHAnsi"/>
          <w:sz w:val="22"/>
          <w:szCs w:val="22"/>
        </w:rPr>
        <w:t>by :</w:t>
      </w:r>
      <w:proofErr w:type="gramEnd"/>
      <w:r w:rsidRPr="00361407">
        <w:rPr>
          <w:rFonts w:asciiTheme="minorHAnsi" w:hAnsiTheme="minorHAnsi" w:cstheme="minorHAnsi"/>
          <w:sz w:val="22"/>
          <w:szCs w:val="22"/>
        </w:rPr>
        <w:t xml:space="preserve"> a. Viewing online on GST Portal, or b. Downloading the JSON from GST Portal, or c. Using APIs through GST Suvidha Providers (GSPs)</w:t>
      </w:r>
    </w:p>
    <w:p w14:paraId="5499D12F" w14:textId="08FDE26F" w:rsidR="003D700E" w:rsidRPr="00361407" w:rsidRDefault="00361407" w:rsidP="00785AA2">
      <w:pPr>
        <w:pStyle w:val="NormalWeb"/>
        <w:spacing w:before="0" w:beforeAutospacing="0" w:after="0" w:afterAutospacing="0"/>
        <w:jc w:val="both"/>
        <w:rPr>
          <w:rFonts w:asciiTheme="minorHAnsi" w:hAnsiTheme="minorHAnsi" w:cstheme="minorHAnsi"/>
          <w:b/>
          <w:bCs/>
          <w:sz w:val="22"/>
          <w:szCs w:val="22"/>
        </w:rPr>
      </w:pPr>
      <w:r w:rsidRPr="00361407">
        <w:rPr>
          <w:rFonts w:asciiTheme="minorHAnsi" w:hAnsiTheme="minorHAnsi" w:cstheme="minorHAnsi"/>
          <w:b/>
          <w:bCs/>
          <w:sz w:val="22"/>
          <w:szCs w:val="22"/>
          <w:lang w:val="en-US"/>
        </w:rPr>
        <w:t>Cancellation of e-invoices on the IRP</w:t>
      </w:r>
      <w:r w:rsidR="00AE364F" w:rsidRPr="00361407">
        <w:rPr>
          <w:rFonts w:asciiTheme="minorHAnsi" w:hAnsiTheme="minorHAnsi" w:cstheme="minorHAnsi"/>
          <w:b/>
          <w:bCs/>
          <w:sz w:val="22"/>
          <w:szCs w:val="22"/>
        </w:rPr>
        <w:t xml:space="preserve"> </w:t>
      </w:r>
    </w:p>
    <w:p w14:paraId="4DCECDEA" w14:textId="77777777" w:rsidR="00785AA2" w:rsidRDefault="00AE364F" w:rsidP="00785AA2">
      <w:pPr>
        <w:pStyle w:val="NormalWeb"/>
        <w:spacing w:before="0" w:beforeAutospacing="0" w:after="0" w:afterAutospacing="0"/>
        <w:jc w:val="both"/>
        <w:rPr>
          <w:rFonts w:asciiTheme="minorHAnsi" w:hAnsiTheme="minorHAnsi" w:cstheme="minorHAnsi"/>
          <w:sz w:val="22"/>
          <w:szCs w:val="22"/>
        </w:rPr>
      </w:pPr>
      <w:r w:rsidRPr="00361407">
        <w:rPr>
          <w:rFonts w:asciiTheme="minorHAnsi" w:hAnsiTheme="minorHAnsi" w:cstheme="minorHAnsi"/>
          <w:sz w:val="22"/>
          <w:szCs w:val="22"/>
        </w:rPr>
        <w:t xml:space="preserve">Documents reported earlier on the Invoice Registration Portal (IRP) can be cancelled within a specified period on the IRP. Upon cancellation, the cancellation data flows to GST system and all cancelled document(s) which were appearing as saved documents in GSTR-1 are deleted from the GSTR-1. </w:t>
      </w:r>
    </w:p>
    <w:p w14:paraId="1926EB2C" w14:textId="21622915" w:rsidR="00357F9C" w:rsidRPr="00AF6801" w:rsidRDefault="00357F9C" w:rsidP="00785AA2">
      <w:pPr>
        <w:pStyle w:val="NormalWeb"/>
        <w:spacing w:after="0" w:afterAutospacing="0"/>
        <w:jc w:val="both"/>
        <w:rPr>
          <w:rFonts w:asciiTheme="minorHAnsi" w:hAnsiTheme="minorHAnsi" w:cstheme="minorHAnsi"/>
        </w:rPr>
      </w:pPr>
      <w:r w:rsidRPr="00BD77E9">
        <w:rPr>
          <w:rFonts w:asciiTheme="minorHAnsi" w:hAnsiTheme="minorHAnsi" w:cstheme="minorHAnsi"/>
          <w:b/>
          <w:bCs/>
          <w:sz w:val="22"/>
          <w:szCs w:val="22"/>
          <w:shd w:val="clear" w:color="auto" w:fill="FFFFFF"/>
        </w:rPr>
        <w:t xml:space="preserve">[For further details please refer to the </w:t>
      </w:r>
      <w:r>
        <w:rPr>
          <w:rFonts w:asciiTheme="minorHAnsi" w:hAnsiTheme="minorHAnsi" w:cstheme="minorHAnsi"/>
          <w:b/>
          <w:bCs/>
          <w:sz w:val="22"/>
          <w:szCs w:val="22"/>
          <w:shd w:val="clear" w:color="auto" w:fill="FFFFFF"/>
        </w:rPr>
        <w:t>Advisory</w:t>
      </w:r>
      <w:r w:rsidRPr="00BD77E9">
        <w:rPr>
          <w:rFonts w:asciiTheme="minorHAnsi" w:hAnsiTheme="minorHAnsi" w:cstheme="minorHAnsi"/>
          <w:b/>
          <w:bCs/>
          <w:sz w:val="22"/>
          <w:szCs w:val="22"/>
          <w:shd w:val="clear" w:color="auto" w:fill="FFFFFF"/>
        </w:rPr>
        <w:t>]</w:t>
      </w:r>
    </w:p>
    <w:p w14:paraId="0125B374" w14:textId="16B211AA" w:rsidR="00357F9C" w:rsidRPr="00AE364F" w:rsidRDefault="00357F9C" w:rsidP="00AE364F">
      <w:pPr>
        <w:pStyle w:val="NormalWeb"/>
        <w:jc w:val="both"/>
        <w:rPr>
          <w:rFonts w:asciiTheme="minorHAnsi" w:hAnsiTheme="minorHAnsi" w:cstheme="minorHAnsi"/>
          <w:sz w:val="22"/>
          <w:szCs w:val="22"/>
        </w:rPr>
        <w:sectPr w:rsidR="00357F9C" w:rsidRPr="00AE364F" w:rsidSect="006245F0">
          <w:headerReference w:type="default" r:id="rId35"/>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1D012DC" w14:textId="22886034" w:rsidR="00D14461" w:rsidRPr="008A2360" w:rsidRDefault="007E755C" w:rsidP="00BB74B5">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DISCUSSION</w:t>
      </w:r>
    </w:p>
    <w:p w14:paraId="3DAD17B4" w14:textId="5E32AB78" w:rsidR="00B71F42" w:rsidRPr="00AF6801" w:rsidRDefault="007E755C" w:rsidP="007B1EA6">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7E755C">
        <w:rPr>
          <w:rFonts w:asciiTheme="minorHAnsi" w:hAnsiTheme="minorHAnsi" w:cstheme="minorHAnsi"/>
          <w:b/>
          <w:bCs/>
          <w:caps/>
          <w:color w:val="000000" w:themeColor="text1"/>
        </w:rPr>
        <w:t>Eligible Investee Entities &amp; Instrument of Investment under FDI</w:t>
      </w:r>
    </w:p>
    <w:p w14:paraId="1F83A23E" w14:textId="77777777" w:rsidR="0063563E" w:rsidRDefault="00C52DE1" w:rsidP="0043260B">
      <w:pPr>
        <w:pStyle w:val="NormalWeb"/>
        <w:jc w:val="both"/>
        <w:rPr>
          <w:rFonts w:asciiTheme="minorHAnsi" w:hAnsiTheme="minorHAnsi" w:cstheme="minorHAnsi"/>
          <w:sz w:val="22"/>
          <w:szCs w:val="22"/>
        </w:rPr>
      </w:pPr>
      <w:r w:rsidRPr="00BD77E9">
        <w:rPr>
          <w:rFonts w:asciiTheme="minorHAnsi" w:hAnsiTheme="minorHAnsi" w:cstheme="minorHAnsi"/>
          <w:b/>
          <w:sz w:val="22"/>
          <w:szCs w:val="22"/>
        </w:rPr>
        <w:t>OUR COMMENTS</w:t>
      </w:r>
      <w:r w:rsidR="00F83748">
        <w:rPr>
          <w:rFonts w:asciiTheme="minorHAnsi" w:hAnsiTheme="minorHAnsi" w:cstheme="minorHAnsi"/>
          <w:b/>
          <w:sz w:val="22"/>
          <w:szCs w:val="22"/>
        </w:rPr>
        <w:t xml:space="preserve">: </w:t>
      </w:r>
      <w:bookmarkStart w:id="1" w:name="_Hlk97288811"/>
      <w:r w:rsidR="0043260B" w:rsidRPr="0043260B">
        <w:rPr>
          <w:rFonts w:asciiTheme="minorHAnsi" w:hAnsiTheme="minorHAnsi" w:cstheme="minorHAnsi"/>
          <w:sz w:val="22"/>
          <w:szCs w:val="22"/>
        </w:rPr>
        <w:t xml:space="preserve">An India, Foreign Direct Investment (FDI) has been an important source of funds, in this article, we will discuss the Eligible Investee Entities and the Instrument of Investments in detail. </w:t>
      </w:r>
    </w:p>
    <w:p w14:paraId="6E3B7837" w14:textId="0157C740" w:rsidR="0043260B" w:rsidRPr="0063563E" w:rsidRDefault="0043260B" w:rsidP="0043260B">
      <w:pPr>
        <w:pStyle w:val="NormalWeb"/>
        <w:jc w:val="both"/>
        <w:rPr>
          <w:rFonts w:asciiTheme="minorHAnsi" w:hAnsiTheme="minorHAnsi" w:cstheme="minorHAnsi"/>
          <w:b/>
          <w:bCs/>
          <w:sz w:val="22"/>
          <w:szCs w:val="22"/>
        </w:rPr>
      </w:pPr>
      <w:r w:rsidRPr="0063563E">
        <w:rPr>
          <w:rFonts w:asciiTheme="minorHAnsi" w:hAnsiTheme="minorHAnsi" w:cstheme="minorHAnsi"/>
          <w:b/>
          <w:bCs/>
          <w:sz w:val="22"/>
          <w:szCs w:val="22"/>
        </w:rPr>
        <w:t xml:space="preserve">ELIGIBLE INVESTEE ENTITIES </w:t>
      </w:r>
    </w:p>
    <w:p w14:paraId="0988063F" w14:textId="77777777" w:rsidR="0063563E" w:rsidRDefault="0043260B" w:rsidP="0043260B">
      <w:pPr>
        <w:pStyle w:val="NormalWeb"/>
        <w:jc w:val="both"/>
        <w:rPr>
          <w:rFonts w:asciiTheme="minorHAnsi" w:hAnsiTheme="minorHAnsi" w:cstheme="minorHAnsi"/>
          <w:b/>
          <w:bCs/>
          <w:sz w:val="22"/>
          <w:szCs w:val="22"/>
        </w:rPr>
      </w:pPr>
      <w:r w:rsidRPr="007E755C">
        <w:rPr>
          <w:rFonts w:asciiTheme="minorHAnsi" w:hAnsiTheme="minorHAnsi" w:cstheme="minorHAnsi"/>
          <w:b/>
          <w:bCs/>
          <w:sz w:val="22"/>
          <w:szCs w:val="22"/>
        </w:rPr>
        <w:t xml:space="preserve">India Company </w:t>
      </w:r>
    </w:p>
    <w:p w14:paraId="4FFC07BC" w14:textId="01648D29" w:rsidR="0043260B" w:rsidRPr="0063563E" w:rsidRDefault="0043260B" w:rsidP="0043260B">
      <w:pPr>
        <w:pStyle w:val="NormalWeb"/>
        <w:jc w:val="both"/>
        <w:rPr>
          <w:rFonts w:asciiTheme="minorHAnsi" w:hAnsiTheme="minorHAnsi" w:cstheme="minorHAnsi"/>
          <w:b/>
          <w:bCs/>
          <w:sz w:val="22"/>
          <w:szCs w:val="22"/>
        </w:rPr>
      </w:pPr>
      <w:r w:rsidRPr="0043260B">
        <w:rPr>
          <w:rFonts w:asciiTheme="minorHAnsi" w:hAnsiTheme="minorHAnsi" w:cstheme="minorHAnsi"/>
          <w:sz w:val="22"/>
          <w:szCs w:val="22"/>
        </w:rPr>
        <w:t>Indian companies can issue capital against FDI.</w:t>
      </w:r>
    </w:p>
    <w:p w14:paraId="7388E882" w14:textId="42645E64" w:rsidR="0043260B" w:rsidRPr="007E755C" w:rsidRDefault="0043260B" w:rsidP="0043260B">
      <w:pPr>
        <w:pStyle w:val="NormalWeb"/>
        <w:jc w:val="both"/>
        <w:rPr>
          <w:rFonts w:asciiTheme="minorHAnsi" w:hAnsiTheme="minorHAnsi" w:cstheme="minorHAnsi"/>
          <w:b/>
          <w:bCs/>
          <w:sz w:val="22"/>
          <w:szCs w:val="22"/>
        </w:rPr>
      </w:pPr>
      <w:r w:rsidRPr="007E755C">
        <w:rPr>
          <w:rFonts w:asciiTheme="minorHAnsi" w:hAnsiTheme="minorHAnsi" w:cstheme="minorHAnsi"/>
          <w:b/>
          <w:bCs/>
          <w:sz w:val="22"/>
          <w:szCs w:val="22"/>
        </w:rPr>
        <w:t xml:space="preserve">Partnership Firm/Proprietary Concern </w:t>
      </w:r>
    </w:p>
    <w:p w14:paraId="0A89CE08" w14:textId="6FAF09B4" w:rsidR="007E755C" w:rsidRDefault="0043260B" w:rsidP="0043260B">
      <w:pPr>
        <w:pStyle w:val="NormalWeb"/>
        <w:jc w:val="both"/>
        <w:rPr>
          <w:rFonts w:asciiTheme="minorHAnsi" w:hAnsiTheme="minorHAnsi" w:cstheme="minorHAnsi"/>
          <w:sz w:val="22"/>
          <w:szCs w:val="22"/>
        </w:rPr>
      </w:pPr>
      <w:r w:rsidRPr="0043260B">
        <w:rPr>
          <w:rFonts w:asciiTheme="minorHAnsi" w:hAnsiTheme="minorHAnsi" w:cstheme="minorHAnsi"/>
          <w:sz w:val="22"/>
          <w:szCs w:val="22"/>
        </w:rPr>
        <w:t>A Non-Resident Indian (NRI) can invest in the capital of a firm or a proprietary concern in India on a non-repatriation basis provided</w:t>
      </w:r>
      <w:r w:rsidR="007E755C">
        <w:rPr>
          <w:rFonts w:asciiTheme="minorHAnsi" w:hAnsiTheme="minorHAnsi" w:cstheme="minorHAnsi"/>
          <w:sz w:val="22"/>
          <w:szCs w:val="22"/>
        </w:rPr>
        <w:t>.</w:t>
      </w:r>
      <w:r w:rsidRPr="0043260B">
        <w:rPr>
          <w:rFonts w:asciiTheme="minorHAnsi" w:hAnsiTheme="minorHAnsi" w:cstheme="minorHAnsi"/>
          <w:sz w:val="22"/>
          <w:szCs w:val="22"/>
        </w:rPr>
        <w:t xml:space="preserve"> Amount is invested by inward remittance or out of NRE/FCNR(B)/NRO account maintained with Authorized Dealers/Authorized banks.</w:t>
      </w:r>
      <w:r w:rsidR="007E755C">
        <w:rPr>
          <w:rFonts w:asciiTheme="minorHAnsi" w:hAnsiTheme="minorHAnsi" w:cstheme="minorHAnsi"/>
          <w:sz w:val="22"/>
          <w:szCs w:val="22"/>
        </w:rPr>
        <w:t xml:space="preserve"> </w:t>
      </w:r>
      <w:r w:rsidRPr="0043260B">
        <w:rPr>
          <w:rFonts w:asciiTheme="minorHAnsi" w:hAnsiTheme="minorHAnsi" w:cstheme="minorHAnsi"/>
          <w:sz w:val="22"/>
          <w:szCs w:val="22"/>
        </w:rPr>
        <w:t>The firm or proprietary concern is not engaged in any agricultural/plantation or real estate business or print media sector.</w:t>
      </w:r>
      <w:r w:rsidR="007E755C">
        <w:rPr>
          <w:rFonts w:asciiTheme="minorHAnsi" w:hAnsiTheme="minorHAnsi" w:cstheme="minorHAnsi"/>
          <w:sz w:val="22"/>
          <w:szCs w:val="22"/>
        </w:rPr>
        <w:t xml:space="preserve"> </w:t>
      </w:r>
      <w:r w:rsidRPr="0043260B">
        <w:rPr>
          <w:rFonts w:asciiTheme="minorHAnsi" w:hAnsiTheme="minorHAnsi" w:cstheme="minorHAnsi"/>
          <w:sz w:val="22"/>
          <w:szCs w:val="22"/>
        </w:rPr>
        <w:t xml:space="preserve">Investment by non-residents other than NRIs: A person resident outside India other than NRIs may make an application and seek prior approval of Reserve Bank for making investment in the capital of a firm or a proprietorship concern or any association of persons in India. The application will be decided in consultation with the Government of India. </w:t>
      </w:r>
    </w:p>
    <w:p w14:paraId="3577E30F" w14:textId="77777777" w:rsidR="007E755C" w:rsidRPr="007E755C" w:rsidRDefault="0043260B" w:rsidP="0043260B">
      <w:pPr>
        <w:pStyle w:val="NormalWeb"/>
        <w:jc w:val="both"/>
        <w:rPr>
          <w:rFonts w:asciiTheme="minorHAnsi" w:hAnsiTheme="minorHAnsi" w:cstheme="minorHAnsi"/>
          <w:b/>
          <w:bCs/>
          <w:sz w:val="22"/>
          <w:szCs w:val="22"/>
        </w:rPr>
      </w:pPr>
      <w:r w:rsidRPr="007E755C">
        <w:rPr>
          <w:rFonts w:asciiTheme="minorHAnsi" w:hAnsiTheme="minorHAnsi" w:cstheme="minorHAnsi"/>
          <w:b/>
          <w:bCs/>
          <w:sz w:val="22"/>
          <w:szCs w:val="22"/>
        </w:rPr>
        <w:t xml:space="preserve">Trust </w:t>
      </w:r>
    </w:p>
    <w:p w14:paraId="05253989" w14:textId="77777777" w:rsidR="007E755C" w:rsidRDefault="0043260B" w:rsidP="0043260B">
      <w:pPr>
        <w:pStyle w:val="NormalWeb"/>
        <w:jc w:val="both"/>
        <w:rPr>
          <w:rFonts w:asciiTheme="minorHAnsi" w:hAnsiTheme="minorHAnsi" w:cstheme="minorHAnsi"/>
          <w:sz w:val="22"/>
          <w:szCs w:val="22"/>
        </w:rPr>
      </w:pPr>
      <w:r w:rsidRPr="0043260B">
        <w:rPr>
          <w:rFonts w:asciiTheme="minorHAnsi" w:hAnsiTheme="minorHAnsi" w:cstheme="minorHAnsi"/>
          <w:sz w:val="22"/>
          <w:szCs w:val="22"/>
        </w:rPr>
        <w:t xml:space="preserve">Investment by a person resident outside India is not permitted in Trusts other than in ‘VCF’ registered and regulated by SEBI and ‘Investment vehicle’. </w:t>
      </w:r>
    </w:p>
    <w:p w14:paraId="5069B3D3" w14:textId="77777777" w:rsidR="007E755C" w:rsidRDefault="0043260B" w:rsidP="0043260B">
      <w:pPr>
        <w:pStyle w:val="NormalWeb"/>
        <w:jc w:val="both"/>
        <w:rPr>
          <w:rFonts w:asciiTheme="minorHAnsi" w:hAnsiTheme="minorHAnsi" w:cstheme="minorHAnsi"/>
          <w:sz w:val="22"/>
          <w:szCs w:val="22"/>
        </w:rPr>
      </w:pPr>
      <w:r w:rsidRPr="007E755C">
        <w:rPr>
          <w:rFonts w:asciiTheme="minorHAnsi" w:hAnsiTheme="minorHAnsi" w:cstheme="minorHAnsi"/>
          <w:b/>
          <w:bCs/>
          <w:sz w:val="22"/>
          <w:szCs w:val="22"/>
        </w:rPr>
        <w:t>Limited Liability Partnerships (LLPs)</w:t>
      </w:r>
    </w:p>
    <w:p w14:paraId="5CEE96CD" w14:textId="72AFFF73" w:rsidR="0043260B" w:rsidRPr="0043260B" w:rsidRDefault="0043260B" w:rsidP="0043260B">
      <w:pPr>
        <w:pStyle w:val="NormalWeb"/>
        <w:jc w:val="both"/>
        <w:rPr>
          <w:rFonts w:asciiTheme="minorHAnsi" w:hAnsiTheme="minorHAnsi" w:cstheme="minorHAnsi"/>
          <w:sz w:val="22"/>
          <w:szCs w:val="22"/>
        </w:rPr>
      </w:pPr>
      <w:r w:rsidRPr="0043260B">
        <w:rPr>
          <w:rFonts w:asciiTheme="minorHAnsi" w:hAnsiTheme="minorHAnsi" w:cstheme="minorHAnsi"/>
          <w:sz w:val="22"/>
          <w:szCs w:val="22"/>
        </w:rPr>
        <w:t xml:space="preserve"> Foreign Investment in LLPs is permitted subject to the following conditions: Foreign Investment is permitted under the automatic route in Limited Liability Partnership (LLPs) operating in sectors/activities where 100% FDI is allowed through the automatic route and there are no FDI-linked performance conditions. An Indian company or an LLP, having foreign investment, is also permitted to make downstream investment in another company or LLP in </w:t>
      </w:r>
      <w:r w:rsidRPr="0043260B">
        <w:rPr>
          <w:rFonts w:asciiTheme="minorHAnsi" w:hAnsiTheme="minorHAnsi" w:cstheme="minorHAnsi"/>
          <w:sz w:val="22"/>
          <w:szCs w:val="22"/>
        </w:rPr>
        <w:t xml:space="preserve">sectors in which 100% FDI is allowed under the automatic route and there are no FDI-linked performance conditions. </w:t>
      </w:r>
    </w:p>
    <w:p w14:paraId="79540B97" w14:textId="77777777" w:rsidR="0043260B" w:rsidRPr="007E755C" w:rsidRDefault="0043260B" w:rsidP="0043260B">
      <w:pPr>
        <w:pStyle w:val="NormalWeb"/>
        <w:jc w:val="both"/>
        <w:rPr>
          <w:rFonts w:asciiTheme="minorHAnsi" w:hAnsiTheme="minorHAnsi" w:cstheme="minorHAnsi"/>
          <w:b/>
          <w:bCs/>
          <w:sz w:val="22"/>
          <w:szCs w:val="22"/>
        </w:rPr>
      </w:pPr>
      <w:r w:rsidRPr="007E755C">
        <w:rPr>
          <w:rFonts w:asciiTheme="minorHAnsi" w:hAnsiTheme="minorHAnsi" w:cstheme="minorHAnsi"/>
          <w:b/>
          <w:bCs/>
          <w:sz w:val="22"/>
          <w:szCs w:val="22"/>
        </w:rPr>
        <w:t>Investment Vehicle</w:t>
      </w:r>
    </w:p>
    <w:p w14:paraId="4B8CA9D8" w14:textId="77777777" w:rsidR="007E755C" w:rsidRDefault="0043260B" w:rsidP="0043260B">
      <w:pPr>
        <w:pStyle w:val="NormalWeb"/>
        <w:jc w:val="both"/>
        <w:rPr>
          <w:rFonts w:asciiTheme="minorHAnsi" w:hAnsiTheme="minorHAnsi" w:cstheme="minorHAnsi"/>
          <w:sz w:val="22"/>
          <w:szCs w:val="22"/>
        </w:rPr>
      </w:pPr>
      <w:r w:rsidRPr="0043260B">
        <w:rPr>
          <w:rFonts w:asciiTheme="minorHAnsi" w:hAnsiTheme="minorHAnsi" w:cstheme="minorHAnsi"/>
          <w:sz w:val="22"/>
          <w:szCs w:val="22"/>
        </w:rPr>
        <w:t xml:space="preserve"> An entity being ‘investment vehicle’ registered and regulated under relevant regulations framed by SEBI or any other authority designated for the purpose including Real Estate Investment Trusts (REITs) governed by the SEBI (REITs) Regulations, 2014, Infrastructure Investment Trusts (InvIts) governed by the SEBI (InvIts) Regulations, 2014, Alternative Investment Funds (AIFs) governed by the SEBI (AIFs) Regulations, 2012 is permitted to receive foreign investment from a person resident outside India (other than an individual who is citizen of or any other entity which is registered / incorporated in Pakistan or Bangladesh) in the manner and subject to the terms and conditions specified under Schedule VIII of the Foreign Exchange Management (Non-Debt Instruments) Rules, 2019. </w:t>
      </w:r>
    </w:p>
    <w:p w14:paraId="72A141A5" w14:textId="77777777" w:rsidR="007E755C" w:rsidRPr="007E755C" w:rsidRDefault="0043260B" w:rsidP="0043260B">
      <w:pPr>
        <w:pStyle w:val="NormalWeb"/>
        <w:jc w:val="both"/>
        <w:rPr>
          <w:rFonts w:asciiTheme="minorHAnsi" w:hAnsiTheme="minorHAnsi" w:cstheme="minorHAnsi"/>
          <w:b/>
          <w:bCs/>
          <w:sz w:val="22"/>
          <w:szCs w:val="22"/>
        </w:rPr>
      </w:pPr>
      <w:r w:rsidRPr="007E755C">
        <w:rPr>
          <w:rFonts w:asciiTheme="minorHAnsi" w:hAnsiTheme="minorHAnsi" w:cstheme="minorHAnsi"/>
          <w:b/>
          <w:bCs/>
          <w:sz w:val="22"/>
          <w:szCs w:val="22"/>
        </w:rPr>
        <w:t>Start-up Companies</w:t>
      </w:r>
    </w:p>
    <w:p w14:paraId="1EF32D12" w14:textId="7C18422D" w:rsidR="007E755C" w:rsidRDefault="0043260B" w:rsidP="0043260B">
      <w:pPr>
        <w:pStyle w:val="NormalWeb"/>
        <w:jc w:val="both"/>
        <w:rPr>
          <w:rFonts w:asciiTheme="minorHAnsi" w:hAnsiTheme="minorHAnsi" w:cstheme="minorHAnsi"/>
          <w:sz w:val="22"/>
          <w:szCs w:val="22"/>
        </w:rPr>
      </w:pPr>
      <w:r w:rsidRPr="0043260B">
        <w:rPr>
          <w:rFonts w:asciiTheme="minorHAnsi" w:hAnsiTheme="minorHAnsi" w:cstheme="minorHAnsi"/>
          <w:sz w:val="22"/>
          <w:szCs w:val="22"/>
        </w:rPr>
        <w:t xml:space="preserve"> Start-ups can issue equity or equity linked instruments or debt instruments to FVCI against receipt of foreign remittance, as per the Schedule VII of Foreign Exchange Management (Non-Debt Instruments) Rules, 2019. In addition, start-ups can issue convertible notes to person resident outside India subject to the following conditions: A startup company engaged in a sector where foreign investment requires Government approval may issue convertible notes to a non-resident only with approval of the Government. Explanation: For the purpose of this regulation, the issue of shares against such convertible notes shall have to be in accordance with the Schedule I of the. Foreign Exchange Management (Non-Debt Instruments) Rules, 2019. A person resident outside India may acquire or transfer, by way of sale, convertible notes, from or to, a person resident in or outside India, provided the transfer takes place in accordance applicable pricing guidelines under FEMA. Prior approval from the Government shall be obtained for such acquisitions or transfers in case the startup company is engaged in a sector which requires Government approval. </w:t>
      </w:r>
    </w:p>
    <w:p w14:paraId="208C32A7" w14:textId="77777777" w:rsidR="007E755C" w:rsidRPr="007E755C" w:rsidRDefault="0043260B" w:rsidP="0043260B">
      <w:pPr>
        <w:pStyle w:val="NormalWeb"/>
        <w:jc w:val="both"/>
        <w:rPr>
          <w:rFonts w:asciiTheme="minorHAnsi" w:hAnsiTheme="minorHAnsi" w:cstheme="minorHAnsi"/>
          <w:b/>
          <w:bCs/>
          <w:sz w:val="22"/>
          <w:szCs w:val="22"/>
        </w:rPr>
      </w:pPr>
      <w:r w:rsidRPr="007E755C">
        <w:rPr>
          <w:rFonts w:asciiTheme="minorHAnsi" w:hAnsiTheme="minorHAnsi" w:cstheme="minorHAnsi"/>
          <w:b/>
          <w:bCs/>
          <w:sz w:val="22"/>
          <w:szCs w:val="22"/>
        </w:rPr>
        <w:t xml:space="preserve">Other Entities </w:t>
      </w:r>
    </w:p>
    <w:p w14:paraId="6298F56D" w14:textId="72398B02" w:rsidR="00D9501A" w:rsidRPr="00AF6801" w:rsidRDefault="0043260B" w:rsidP="00E7420D">
      <w:pPr>
        <w:pStyle w:val="NormalWeb"/>
        <w:jc w:val="both"/>
        <w:rPr>
          <w:rFonts w:asciiTheme="minorHAnsi" w:hAnsiTheme="minorHAnsi" w:cstheme="minorHAnsi"/>
        </w:rPr>
      </w:pPr>
      <w:r w:rsidRPr="0043260B">
        <w:rPr>
          <w:rFonts w:asciiTheme="minorHAnsi" w:hAnsiTheme="minorHAnsi" w:cstheme="minorHAnsi"/>
          <w:sz w:val="22"/>
          <w:szCs w:val="22"/>
        </w:rPr>
        <w:t>FDI in resident entities other than those mentioned above is not permitted.</w:t>
      </w:r>
    </w:p>
    <w:bookmarkEnd w:id="1"/>
    <w:p w14:paraId="0F4AAC3C" w14:textId="2C4ED94A" w:rsidR="00D9501A" w:rsidRDefault="00D9501A" w:rsidP="002F5448">
      <w:pPr>
        <w:pStyle w:val="NormalWeb"/>
        <w:spacing w:after="150"/>
        <w:jc w:val="both"/>
        <w:rPr>
          <w:rFonts w:asciiTheme="minorHAnsi" w:hAnsiTheme="minorHAnsi" w:cstheme="minorHAnsi"/>
          <w:b/>
          <w:bCs/>
        </w:rPr>
        <w:sectPr w:rsidR="00D9501A" w:rsidSect="00421927">
          <w:headerReference w:type="default" r:id="rId36"/>
          <w:footerReference w:type="default" r:id="rId37"/>
          <w:headerReference w:type="first" r:id="rId3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B99C70A" w:rsidR="007A6471" w:rsidRPr="008B67BF" w:rsidRDefault="00ED052E"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7F2E75C4" w:rsidR="00EB5F8A" w:rsidRPr="009C317D" w:rsidRDefault="00C66AA3" w:rsidP="00A915BC">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C66AA3">
        <w:rPr>
          <w:rFonts w:asciiTheme="minorHAnsi" w:hAnsiTheme="minorHAnsi" w:cstheme="minorHAnsi"/>
          <w:b/>
          <w:bCs/>
          <w:caps/>
          <w:color w:val="000000" w:themeColor="text1"/>
          <w:lang w:val="en-IN"/>
        </w:rPr>
        <w:t>Rate of exchange of one unit of foreign currency equivalent to Indian rupees - Supersession Notification No. 10/2022-Customs(N.T.), dated 17th February, 2022</w:t>
      </w:r>
    </w:p>
    <w:p w14:paraId="6229F684" w14:textId="7C137A22" w:rsidR="00C66AA3" w:rsidRPr="00774EE9" w:rsidRDefault="00B96B14" w:rsidP="00C66AA3">
      <w:pPr>
        <w:pStyle w:val="NormalWeb"/>
        <w:shd w:val="clear" w:color="auto" w:fill="FFFFFF"/>
        <w:spacing w:line="360" w:lineRule="auto"/>
        <w:jc w:val="both"/>
        <w:rPr>
          <w:rFonts w:asciiTheme="minorHAnsi" w:hAnsiTheme="minorHAnsi" w:cstheme="minorHAnsi"/>
          <w:color w:val="000000"/>
          <w:sz w:val="22"/>
          <w:szCs w:val="22"/>
        </w:rPr>
      </w:pPr>
      <w:r w:rsidRPr="00640B5D">
        <w:rPr>
          <w:rFonts w:asciiTheme="minorHAnsi" w:hAnsiTheme="minorHAnsi" w:cstheme="minorHAnsi"/>
          <w:b/>
          <w:bCs/>
          <w:sz w:val="22"/>
          <w:szCs w:val="22"/>
          <w:shd w:val="clear" w:color="auto" w:fill="FFFFFF"/>
        </w:rPr>
        <w:t>OUR COMMENTS</w:t>
      </w:r>
      <w:r w:rsidRPr="00774EE9">
        <w:rPr>
          <w:rFonts w:asciiTheme="minorHAnsi" w:hAnsiTheme="minorHAnsi" w:cstheme="minorHAnsi"/>
          <w:sz w:val="22"/>
          <w:szCs w:val="22"/>
          <w:shd w:val="clear" w:color="auto" w:fill="FFFFFF"/>
        </w:rPr>
        <w:t>:</w:t>
      </w:r>
      <w:r w:rsidR="00A553B4" w:rsidRPr="00774EE9">
        <w:rPr>
          <w:rFonts w:asciiTheme="minorHAnsi" w:hAnsiTheme="minorHAnsi" w:cstheme="minorHAnsi"/>
          <w:sz w:val="22"/>
          <w:szCs w:val="22"/>
        </w:rPr>
        <w:t> </w:t>
      </w:r>
      <w:r w:rsidR="00540A5C" w:rsidRPr="00774EE9">
        <w:rPr>
          <w:rFonts w:asciiTheme="minorHAnsi" w:hAnsiTheme="minorHAnsi" w:cstheme="minorHAnsi"/>
          <w:sz w:val="22"/>
          <w:szCs w:val="22"/>
        </w:rPr>
        <w:t xml:space="preserve"> </w:t>
      </w:r>
      <w:r w:rsidR="00C66AA3" w:rsidRPr="00774EE9">
        <w:rPr>
          <w:rFonts w:asciiTheme="minorHAnsi" w:hAnsiTheme="minorHAnsi" w:cstheme="minorHAnsi"/>
          <w:color w:val="000000"/>
          <w:sz w:val="22"/>
          <w:szCs w:val="22"/>
        </w:rPr>
        <w:t>The Central Board of Indirect Taxes and Customs vide Notification 13/2022 dated 3</w:t>
      </w:r>
      <w:r w:rsidR="00C66AA3" w:rsidRPr="00774EE9">
        <w:rPr>
          <w:rFonts w:asciiTheme="minorHAnsi" w:hAnsiTheme="minorHAnsi" w:cstheme="minorHAnsi"/>
          <w:color w:val="000000"/>
          <w:sz w:val="22"/>
          <w:szCs w:val="22"/>
          <w:vertAlign w:val="superscript"/>
        </w:rPr>
        <w:t>rd</w:t>
      </w:r>
      <w:r w:rsidR="00C66AA3" w:rsidRPr="00774EE9">
        <w:rPr>
          <w:rFonts w:asciiTheme="minorHAnsi" w:hAnsiTheme="minorHAnsi" w:cstheme="minorHAnsi"/>
          <w:color w:val="000000"/>
          <w:sz w:val="22"/>
          <w:szCs w:val="22"/>
        </w:rPr>
        <w:t xml:space="preserve"> March 2022, hereby determines that the rate of exchange of conversion of each of the foreign currencies specified in column (2) of each of Schedule I and Schedule II annexed hereto, into Indian currency or vice versa, shall, with effect from 4 </w:t>
      </w:r>
      <w:proofErr w:type="spellStart"/>
      <w:r w:rsidR="00C66AA3" w:rsidRPr="00774EE9">
        <w:rPr>
          <w:rFonts w:asciiTheme="minorHAnsi" w:hAnsiTheme="minorHAnsi" w:cstheme="minorHAnsi"/>
          <w:color w:val="000000"/>
          <w:sz w:val="22"/>
          <w:szCs w:val="22"/>
        </w:rPr>
        <w:t>th</w:t>
      </w:r>
      <w:proofErr w:type="spellEnd"/>
      <w:r w:rsidR="00C66AA3" w:rsidRPr="00774EE9">
        <w:rPr>
          <w:rFonts w:asciiTheme="minorHAnsi" w:hAnsiTheme="minorHAnsi" w:cstheme="minorHAnsi"/>
          <w:color w:val="000000"/>
          <w:sz w:val="22"/>
          <w:szCs w:val="22"/>
        </w:rPr>
        <w:t xml:space="preserve"> March, 2022, be the rate mentioned against it in the corresponding entry in column (3) thereof, for the purpose of the said section, relating to imported and export goods.</w:t>
      </w:r>
    </w:p>
    <w:p w14:paraId="7EE312BF" w14:textId="77777777" w:rsidR="00C66AA3" w:rsidRPr="00C66AA3" w:rsidRDefault="00C66AA3" w:rsidP="00C66AA3">
      <w:pPr>
        <w:shd w:val="clear" w:color="auto" w:fill="FFFFFF"/>
        <w:spacing w:before="100" w:beforeAutospacing="1" w:after="100" w:afterAutospacing="1" w:line="240" w:lineRule="auto"/>
        <w:jc w:val="center"/>
        <w:rPr>
          <w:rFonts w:asciiTheme="minorHAnsi" w:hAnsiTheme="minorHAnsi" w:cstheme="minorHAnsi"/>
          <w:b/>
          <w:bCs/>
          <w:color w:val="000000"/>
          <w:lang w:val="en-IN" w:eastAsia="en-IN"/>
        </w:rPr>
      </w:pPr>
      <w:r w:rsidRPr="00C66AA3">
        <w:rPr>
          <w:rFonts w:asciiTheme="minorHAnsi" w:hAnsiTheme="minorHAnsi" w:cstheme="minorHAnsi"/>
          <w:b/>
          <w:bCs/>
          <w:color w:val="333333"/>
          <w:shd w:val="clear" w:color="auto" w:fill="FFFFFF"/>
          <w:lang w:val="en-IN" w:eastAsia="en-IN"/>
        </w:rPr>
        <w:t>SCHEDULE-I</w:t>
      </w:r>
    </w:p>
    <w:tbl>
      <w:tblPr>
        <w:tblW w:w="5462"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261"/>
        <w:gridCol w:w="1957"/>
        <w:gridCol w:w="1242"/>
        <w:gridCol w:w="1002"/>
      </w:tblGrid>
      <w:tr w:rsidR="00C66AA3" w:rsidRPr="00C66AA3" w14:paraId="00B2477A" w14:textId="77777777" w:rsidTr="00C66AA3">
        <w:trPr>
          <w:trHeight w:val="810"/>
          <w:jc w:val="center"/>
        </w:trPr>
        <w:tc>
          <w:tcPr>
            <w:tcW w:w="1261" w:type="dxa"/>
            <w:tcBorders>
              <w:top w:val="single" w:sz="12" w:space="0" w:color="000000"/>
              <w:left w:val="single" w:sz="12" w:space="0" w:color="000000"/>
              <w:bottom w:val="single" w:sz="12" w:space="0" w:color="000000"/>
              <w:right w:val="single" w:sz="12" w:space="0" w:color="000000"/>
            </w:tcBorders>
            <w:shd w:val="clear" w:color="auto" w:fill="FFFFFF"/>
            <w:hideMark/>
          </w:tcPr>
          <w:p w14:paraId="68531FB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Sl.</w:t>
            </w:r>
          </w:p>
          <w:p w14:paraId="57F3E8A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No.</w:t>
            </w:r>
          </w:p>
        </w:tc>
        <w:tc>
          <w:tcPr>
            <w:tcW w:w="1957" w:type="dxa"/>
            <w:tcBorders>
              <w:top w:val="single" w:sz="12" w:space="0" w:color="000000"/>
              <w:left w:val="nil"/>
              <w:bottom w:val="single" w:sz="12" w:space="0" w:color="000000"/>
              <w:right w:val="single" w:sz="12" w:space="0" w:color="000000"/>
            </w:tcBorders>
            <w:shd w:val="clear" w:color="auto" w:fill="FFFFFF"/>
            <w:hideMark/>
          </w:tcPr>
          <w:p w14:paraId="4331F5B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Foreign Currency</w:t>
            </w:r>
          </w:p>
        </w:tc>
        <w:tc>
          <w:tcPr>
            <w:tcW w:w="0" w:type="auto"/>
            <w:gridSpan w:val="2"/>
            <w:tcBorders>
              <w:top w:val="single" w:sz="12" w:space="0" w:color="000000"/>
              <w:left w:val="nil"/>
              <w:bottom w:val="single" w:sz="12" w:space="0" w:color="000000"/>
              <w:right w:val="single" w:sz="12" w:space="0" w:color="000000"/>
            </w:tcBorders>
            <w:shd w:val="clear" w:color="auto" w:fill="FFFFFF"/>
            <w:hideMark/>
          </w:tcPr>
          <w:p w14:paraId="6EAD12A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Rate of exchange of one unit of foreign currency equivalent to Indian rupees</w:t>
            </w:r>
          </w:p>
        </w:tc>
      </w:tr>
      <w:tr w:rsidR="00C66AA3" w:rsidRPr="00C66AA3" w14:paraId="30CF5037"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526CB184"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w:t>
            </w:r>
          </w:p>
        </w:tc>
        <w:tc>
          <w:tcPr>
            <w:tcW w:w="1957" w:type="dxa"/>
            <w:tcBorders>
              <w:top w:val="nil"/>
              <w:left w:val="nil"/>
              <w:bottom w:val="single" w:sz="12" w:space="0" w:color="000000"/>
              <w:right w:val="single" w:sz="12" w:space="0" w:color="000000"/>
            </w:tcBorders>
            <w:shd w:val="clear" w:color="auto" w:fill="FFFFFF"/>
            <w:hideMark/>
          </w:tcPr>
          <w:p w14:paraId="2EE2F683"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(2)</w:t>
            </w:r>
          </w:p>
        </w:tc>
        <w:tc>
          <w:tcPr>
            <w:tcW w:w="0" w:type="auto"/>
            <w:gridSpan w:val="2"/>
            <w:tcBorders>
              <w:top w:val="nil"/>
              <w:left w:val="nil"/>
              <w:bottom w:val="single" w:sz="12" w:space="0" w:color="000000"/>
              <w:right w:val="single" w:sz="12" w:space="0" w:color="000000"/>
            </w:tcBorders>
            <w:shd w:val="clear" w:color="auto" w:fill="FFFFFF"/>
            <w:hideMark/>
          </w:tcPr>
          <w:p w14:paraId="5417D18F"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(3)</w:t>
            </w:r>
          </w:p>
        </w:tc>
      </w:tr>
      <w:tr w:rsidR="00C66AA3" w:rsidRPr="00C66AA3" w14:paraId="6573D3C5" w14:textId="77777777" w:rsidTr="00C66AA3">
        <w:trPr>
          <w:trHeight w:val="27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1C450BB9" w14:textId="77777777" w:rsidR="00C66AA3" w:rsidRPr="00C66AA3" w:rsidRDefault="00C66AA3" w:rsidP="00C66AA3">
            <w:pPr>
              <w:spacing w:after="0" w:line="240" w:lineRule="auto"/>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 </w:t>
            </w:r>
          </w:p>
        </w:tc>
        <w:tc>
          <w:tcPr>
            <w:tcW w:w="1957" w:type="dxa"/>
            <w:tcBorders>
              <w:top w:val="nil"/>
              <w:left w:val="nil"/>
              <w:bottom w:val="single" w:sz="12" w:space="0" w:color="000000"/>
              <w:right w:val="single" w:sz="12" w:space="0" w:color="000000"/>
            </w:tcBorders>
            <w:shd w:val="clear" w:color="auto" w:fill="FFFFFF"/>
            <w:hideMark/>
          </w:tcPr>
          <w:p w14:paraId="1FDF8576"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 </w:t>
            </w:r>
          </w:p>
        </w:tc>
        <w:tc>
          <w:tcPr>
            <w:tcW w:w="0" w:type="auto"/>
            <w:tcBorders>
              <w:top w:val="nil"/>
              <w:left w:val="nil"/>
              <w:bottom w:val="single" w:sz="12" w:space="0" w:color="000000"/>
              <w:right w:val="single" w:sz="12" w:space="0" w:color="000000"/>
            </w:tcBorders>
            <w:shd w:val="clear" w:color="auto" w:fill="FFFFFF"/>
            <w:hideMark/>
          </w:tcPr>
          <w:p w14:paraId="5D0FBDC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333333"/>
                <w:lang w:val="en-IN" w:eastAsia="en-IN"/>
              </w:rPr>
              <w:t>(a)</w:t>
            </w:r>
          </w:p>
        </w:tc>
        <w:tc>
          <w:tcPr>
            <w:tcW w:w="0" w:type="auto"/>
            <w:tcBorders>
              <w:top w:val="nil"/>
              <w:left w:val="nil"/>
              <w:bottom w:val="single" w:sz="12" w:space="0" w:color="000000"/>
              <w:right w:val="single" w:sz="12" w:space="0" w:color="000000"/>
            </w:tcBorders>
            <w:shd w:val="clear" w:color="auto" w:fill="FFFFFF"/>
            <w:hideMark/>
          </w:tcPr>
          <w:p w14:paraId="3FEF96A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333333"/>
                <w:lang w:val="en-IN" w:eastAsia="en-IN"/>
              </w:rPr>
              <w:t>(b)</w:t>
            </w:r>
          </w:p>
        </w:tc>
      </w:tr>
      <w:tr w:rsidR="00C66AA3" w:rsidRPr="00C66AA3" w14:paraId="5A14EFEF"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27900881" w14:textId="77777777" w:rsidR="00C66AA3" w:rsidRPr="00C66AA3" w:rsidRDefault="00C66AA3" w:rsidP="00C66AA3">
            <w:pPr>
              <w:spacing w:after="0" w:line="240" w:lineRule="auto"/>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 </w:t>
            </w:r>
          </w:p>
        </w:tc>
        <w:tc>
          <w:tcPr>
            <w:tcW w:w="1957" w:type="dxa"/>
            <w:tcBorders>
              <w:top w:val="nil"/>
              <w:left w:val="nil"/>
              <w:bottom w:val="single" w:sz="12" w:space="0" w:color="000000"/>
              <w:right w:val="single" w:sz="12" w:space="0" w:color="000000"/>
            </w:tcBorders>
            <w:shd w:val="clear" w:color="auto" w:fill="FFFFFF"/>
            <w:hideMark/>
          </w:tcPr>
          <w:p w14:paraId="5BA311D5"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 </w:t>
            </w:r>
          </w:p>
        </w:tc>
        <w:tc>
          <w:tcPr>
            <w:tcW w:w="0" w:type="auto"/>
            <w:tcBorders>
              <w:top w:val="nil"/>
              <w:left w:val="nil"/>
              <w:bottom w:val="single" w:sz="12" w:space="0" w:color="000000"/>
              <w:right w:val="single" w:sz="12" w:space="0" w:color="000000"/>
            </w:tcBorders>
            <w:shd w:val="clear" w:color="auto" w:fill="FFFFFF"/>
            <w:hideMark/>
          </w:tcPr>
          <w:p w14:paraId="19EFF179"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333333"/>
                <w:lang w:val="en-IN" w:eastAsia="en-IN"/>
              </w:rPr>
              <w:t>(For Imported Goods)</w:t>
            </w:r>
          </w:p>
        </w:tc>
        <w:tc>
          <w:tcPr>
            <w:tcW w:w="0" w:type="auto"/>
            <w:tcBorders>
              <w:top w:val="nil"/>
              <w:left w:val="nil"/>
              <w:bottom w:val="single" w:sz="12" w:space="0" w:color="000000"/>
              <w:right w:val="single" w:sz="12" w:space="0" w:color="000000"/>
            </w:tcBorders>
            <w:shd w:val="clear" w:color="auto" w:fill="FFFFFF"/>
            <w:hideMark/>
          </w:tcPr>
          <w:p w14:paraId="250F6150"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333333"/>
                <w:lang w:val="en-IN" w:eastAsia="en-IN"/>
              </w:rPr>
              <w:t>(For Export Goods)</w:t>
            </w:r>
          </w:p>
        </w:tc>
      </w:tr>
      <w:tr w:rsidR="00C66AA3" w:rsidRPr="00C66AA3" w14:paraId="1A07FCA9"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704594A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w:t>
            </w:r>
          </w:p>
        </w:tc>
        <w:tc>
          <w:tcPr>
            <w:tcW w:w="1957" w:type="dxa"/>
            <w:tcBorders>
              <w:top w:val="nil"/>
              <w:left w:val="nil"/>
              <w:bottom w:val="single" w:sz="12" w:space="0" w:color="000000"/>
              <w:right w:val="single" w:sz="12" w:space="0" w:color="000000"/>
            </w:tcBorders>
            <w:shd w:val="clear" w:color="auto" w:fill="FFFFFF"/>
            <w:hideMark/>
          </w:tcPr>
          <w:p w14:paraId="38652CB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Australian Dollar</w:t>
            </w:r>
          </w:p>
        </w:tc>
        <w:tc>
          <w:tcPr>
            <w:tcW w:w="0" w:type="auto"/>
            <w:tcBorders>
              <w:top w:val="nil"/>
              <w:left w:val="nil"/>
              <w:bottom w:val="single" w:sz="12" w:space="0" w:color="000000"/>
              <w:right w:val="single" w:sz="12" w:space="0" w:color="000000"/>
            </w:tcBorders>
            <w:shd w:val="clear" w:color="auto" w:fill="FFFFFF"/>
            <w:hideMark/>
          </w:tcPr>
          <w:p w14:paraId="1C71B5DD"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56.55</w:t>
            </w:r>
          </w:p>
        </w:tc>
        <w:tc>
          <w:tcPr>
            <w:tcW w:w="0" w:type="auto"/>
            <w:tcBorders>
              <w:top w:val="nil"/>
              <w:left w:val="nil"/>
              <w:bottom w:val="single" w:sz="12" w:space="0" w:color="000000"/>
              <w:right w:val="single" w:sz="12" w:space="0" w:color="000000"/>
            </w:tcBorders>
            <w:shd w:val="clear" w:color="auto" w:fill="FFFFFF"/>
            <w:hideMark/>
          </w:tcPr>
          <w:p w14:paraId="515A8E0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54.20</w:t>
            </w:r>
          </w:p>
        </w:tc>
      </w:tr>
      <w:tr w:rsidR="00C66AA3" w:rsidRPr="00C66AA3" w14:paraId="0E1D8390" w14:textId="77777777" w:rsidTr="00C66AA3">
        <w:trPr>
          <w:trHeight w:val="27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3F74AFDE"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2.</w:t>
            </w:r>
          </w:p>
        </w:tc>
        <w:tc>
          <w:tcPr>
            <w:tcW w:w="1957" w:type="dxa"/>
            <w:tcBorders>
              <w:top w:val="nil"/>
              <w:left w:val="nil"/>
              <w:bottom w:val="single" w:sz="12" w:space="0" w:color="000000"/>
              <w:right w:val="single" w:sz="12" w:space="0" w:color="000000"/>
            </w:tcBorders>
            <w:shd w:val="clear" w:color="auto" w:fill="FFFFFF"/>
            <w:hideMark/>
          </w:tcPr>
          <w:p w14:paraId="7A8BB4A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Bahraini Dinar</w:t>
            </w:r>
          </w:p>
        </w:tc>
        <w:tc>
          <w:tcPr>
            <w:tcW w:w="0" w:type="auto"/>
            <w:tcBorders>
              <w:top w:val="nil"/>
              <w:left w:val="nil"/>
              <w:bottom w:val="single" w:sz="12" w:space="0" w:color="000000"/>
              <w:right w:val="single" w:sz="12" w:space="0" w:color="000000"/>
            </w:tcBorders>
            <w:shd w:val="clear" w:color="auto" w:fill="FFFFFF"/>
            <w:hideMark/>
          </w:tcPr>
          <w:p w14:paraId="5C9D94A6"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207.50</w:t>
            </w:r>
          </w:p>
        </w:tc>
        <w:tc>
          <w:tcPr>
            <w:tcW w:w="0" w:type="auto"/>
            <w:tcBorders>
              <w:top w:val="nil"/>
              <w:left w:val="nil"/>
              <w:bottom w:val="single" w:sz="12" w:space="0" w:color="000000"/>
              <w:right w:val="single" w:sz="12" w:space="0" w:color="000000"/>
            </w:tcBorders>
            <w:shd w:val="clear" w:color="auto" w:fill="FFFFFF"/>
            <w:hideMark/>
          </w:tcPr>
          <w:p w14:paraId="245C906E"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194.85</w:t>
            </w:r>
          </w:p>
        </w:tc>
      </w:tr>
      <w:tr w:rsidR="00C66AA3" w:rsidRPr="00C66AA3" w14:paraId="34598F8C"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1D4CD640"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3.</w:t>
            </w:r>
          </w:p>
        </w:tc>
        <w:tc>
          <w:tcPr>
            <w:tcW w:w="1957" w:type="dxa"/>
            <w:tcBorders>
              <w:top w:val="nil"/>
              <w:left w:val="nil"/>
              <w:bottom w:val="single" w:sz="12" w:space="0" w:color="000000"/>
              <w:right w:val="single" w:sz="12" w:space="0" w:color="000000"/>
            </w:tcBorders>
            <w:shd w:val="clear" w:color="auto" w:fill="FFFFFF"/>
            <w:hideMark/>
          </w:tcPr>
          <w:p w14:paraId="27C40BCD"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Canadian Dollar</w:t>
            </w:r>
          </w:p>
        </w:tc>
        <w:tc>
          <w:tcPr>
            <w:tcW w:w="0" w:type="auto"/>
            <w:tcBorders>
              <w:top w:val="nil"/>
              <w:left w:val="nil"/>
              <w:bottom w:val="single" w:sz="12" w:space="0" w:color="000000"/>
              <w:right w:val="single" w:sz="12" w:space="0" w:color="000000"/>
            </w:tcBorders>
            <w:shd w:val="clear" w:color="auto" w:fill="FFFFFF"/>
            <w:hideMark/>
          </w:tcPr>
          <w:p w14:paraId="270573F1"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61.05</w:t>
            </w:r>
          </w:p>
        </w:tc>
        <w:tc>
          <w:tcPr>
            <w:tcW w:w="0" w:type="auto"/>
            <w:tcBorders>
              <w:top w:val="nil"/>
              <w:left w:val="nil"/>
              <w:bottom w:val="single" w:sz="12" w:space="0" w:color="000000"/>
              <w:right w:val="single" w:sz="12" w:space="0" w:color="000000"/>
            </w:tcBorders>
            <w:shd w:val="clear" w:color="auto" w:fill="FFFFFF"/>
            <w:hideMark/>
          </w:tcPr>
          <w:p w14:paraId="173DAE6F"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58.90</w:t>
            </w:r>
          </w:p>
        </w:tc>
      </w:tr>
      <w:tr w:rsidR="00C66AA3" w:rsidRPr="00C66AA3" w14:paraId="3B826901" w14:textId="77777777" w:rsidTr="00C66AA3">
        <w:trPr>
          <w:trHeight w:val="27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6AE4C2AD"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4.</w:t>
            </w:r>
          </w:p>
        </w:tc>
        <w:tc>
          <w:tcPr>
            <w:tcW w:w="1957" w:type="dxa"/>
            <w:tcBorders>
              <w:top w:val="nil"/>
              <w:left w:val="nil"/>
              <w:bottom w:val="single" w:sz="12" w:space="0" w:color="000000"/>
              <w:right w:val="single" w:sz="12" w:space="0" w:color="000000"/>
            </w:tcBorders>
            <w:shd w:val="clear" w:color="auto" w:fill="FFFFFF"/>
            <w:hideMark/>
          </w:tcPr>
          <w:p w14:paraId="650D585D"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Chinese Yuan</w:t>
            </w:r>
          </w:p>
        </w:tc>
        <w:tc>
          <w:tcPr>
            <w:tcW w:w="0" w:type="auto"/>
            <w:tcBorders>
              <w:top w:val="nil"/>
              <w:left w:val="nil"/>
              <w:bottom w:val="single" w:sz="12" w:space="0" w:color="000000"/>
              <w:right w:val="single" w:sz="12" w:space="0" w:color="000000"/>
            </w:tcBorders>
            <w:shd w:val="clear" w:color="auto" w:fill="FFFFFF"/>
            <w:hideMark/>
          </w:tcPr>
          <w:p w14:paraId="4C03C8D1"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12.20</w:t>
            </w:r>
          </w:p>
        </w:tc>
        <w:tc>
          <w:tcPr>
            <w:tcW w:w="0" w:type="auto"/>
            <w:tcBorders>
              <w:top w:val="nil"/>
              <w:left w:val="nil"/>
              <w:bottom w:val="single" w:sz="12" w:space="0" w:color="000000"/>
              <w:right w:val="single" w:sz="12" w:space="0" w:color="000000"/>
            </w:tcBorders>
            <w:shd w:val="clear" w:color="auto" w:fill="FFFFFF"/>
            <w:hideMark/>
          </w:tcPr>
          <w:p w14:paraId="483BDC6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11.80</w:t>
            </w:r>
          </w:p>
        </w:tc>
      </w:tr>
      <w:tr w:rsidR="00C66AA3" w:rsidRPr="00C66AA3" w14:paraId="54E04826"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1503173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5.</w:t>
            </w:r>
          </w:p>
        </w:tc>
        <w:tc>
          <w:tcPr>
            <w:tcW w:w="1957" w:type="dxa"/>
            <w:tcBorders>
              <w:top w:val="nil"/>
              <w:left w:val="nil"/>
              <w:bottom w:val="single" w:sz="12" w:space="0" w:color="000000"/>
              <w:right w:val="single" w:sz="12" w:space="0" w:color="000000"/>
            </w:tcBorders>
            <w:shd w:val="clear" w:color="auto" w:fill="FFFFFF"/>
            <w:hideMark/>
          </w:tcPr>
          <w:p w14:paraId="329D85BF"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Danish Kroner</w:t>
            </w:r>
          </w:p>
        </w:tc>
        <w:tc>
          <w:tcPr>
            <w:tcW w:w="0" w:type="auto"/>
            <w:tcBorders>
              <w:top w:val="nil"/>
              <w:left w:val="nil"/>
              <w:bottom w:val="single" w:sz="12" w:space="0" w:color="000000"/>
              <w:right w:val="single" w:sz="12" w:space="0" w:color="000000"/>
            </w:tcBorders>
            <w:shd w:val="clear" w:color="auto" w:fill="FFFFFF"/>
            <w:hideMark/>
          </w:tcPr>
          <w:p w14:paraId="6020CD25"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11.50</w:t>
            </w:r>
          </w:p>
        </w:tc>
        <w:tc>
          <w:tcPr>
            <w:tcW w:w="0" w:type="auto"/>
            <w:tcBorders>
              <w:top w:val="nil"/>
              <w:left w:val="nil"/>
              <w:bottom w:val="single" w:sz="12" w:space="0" w:color="000000"/>
              <w:right w:val="single" w:sz="12" w:space="0" w:color="000000"/>
            </w:tcBorders>
            <w:shd w:val="clear" w:color="auto" w:fill="FFFFFF"/>
            <w:hideMark/>
          </w:tcPr>
          <w:p w14:paraId="656AFFB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11.10</w:t>
            </w:r>
          </w:p>
        </w:tc>
      </w:tr>
      <w:tr w:rsidR="00C66AA3" w:rsidRPr="00C66AA3" w14:paraId="316C022A" w14:textId="77777777" w:rsidTr="00C66AA3">
        <w:trPr>
          <w:trHeight w:val="27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3B3CB6A4"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6.</w:t>
            </w:r>
          </w:p>
        </w:tc>
        <w:tc>
          <w:tcPr>
            <w:tcW w:w="1957" w:type="dxa"/>
            <w:tcBorders>
              <w:top w:val="nil"/>
              <w:left w:val="nil"/>
              <w:bottom w:val="single" w:sz="12" w:space="0" w:color="000000"/>
              <w:right w:val="single" w:sz="12" w:space="0" w:color="000000"/>
            </w:tcBorders>
            <w:shd w:val="clear" w:color="auto" w:fill="FFFFFF"/>
            <w:hideMark/>
          </w:tcPr>
          <w:p w14:paraId="23378D71"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EURO</w:t>
            </w:r>
          </w:p>
        </w:tc>
        <w:tc>
          <w:tcPr>
            <w:tcW w:w="0" w:type="auto"/>
            <w:tcBorders>
              <w:top w:val="nil"/>
              <w:left w:val="nil"/>
              <w:bottom w:val="single" w:sz="12" w:space="0" w:color="000000"/>
              <w:right w:val="single" w:sz="12" w:space="0" w:color="000000"/>
            </w:tcBorders>
            <w:shd w:val="clear" w:color="auto" w:fill="FFFFFF"/>
            <w:hideMark/>
          </w:tcPr>
          <w:p w14:paraId="2539F60E"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85.70</w:t>
            </w:r>
          </w:p>
        </w:tc>
        <w:tc>
          <w:tcPr>
            <w:tcW w:w="0" w:type="auto"/>
            <w:tcBorders>
              <w:top w:val="nil"/>
              <w:left w:val="nil"/>
              <w:bottom w:val="single" w:sz="12" w:space="0" w:color="000000"/>
              <w:right w:val="single" w:sz="12" w:space="0" w:color="000000"/>
            </w:tcBorders>
            <w:shd w:val="clear" w:color="auto" w:fill="FFFFFF"/>
            <w:hideMark/>
          </w:tcPr>
          <w:p w14:paraId="3BA12DEF"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82.60</w:t>
            </w:r>
          </w:p>
        </w:tc>
      </w:tr>
      <w:tr w:rsidR="00C66AA3" w:rsidRPr="00C66AA3" w14:paraId="709AF755"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179BE505"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7.</w:t>
            </w:r>
          </w:p>
        </w:tc>
        <w:tc>
          <w:tcPr>
            <w:tcW w:w="1957" w:type="dxa"/>
            <w:tcBorders>
              <w:top w:val="nil"/>
              <w:left w:val="nil"/>
              <w:bottom w:val="single" w:sz="12" w:space="0" w:color="000000"/>
              <w:right w:val="single" w:sz="12" w:space="0" w:color="000000"/>
            </w:tcBorders>
            <w:shd w:val="clear" w:color="auto" w:fill="FFFFFF"/>
            <w:hideMark/>
          </w:tcPr>
          <w:p w14:paraId="52ADA989"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Hong Kong Dollar</w:t>
            </w:r>
          </w:p>
        </w:tc>
        <w:tc>
          <w:tcPr>
            <w:tcW w:w="0" w:type="auto"/>
            <w:tcBorders>
              <w:top w:val="nil"/>
              <w:left w:val="nil"/>
              <w:bottom w:val="single" w:sz="12" w:space="0" w:color="000000"/>
              <w:right w:val="single" w:sz="12" w:space="0" w:color="000000"/>
            </w:tcBorders>
            <w:shd w:val="clear" w:color="auto" w:fill="FFFFFF"/>
            <w:hideMark/>
          </w:tcPr>
          <w:p w14:paraId="6B4DD9DD"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9.85</w:t>
            </w:r>
          </w:p>
        </w:tc>
        <w:tc>
          <w:tcPr>
            <w:tcW w:w="0" w:type="auto"/>
            <w:tcBorders>
              <w:top w:val="nil"/>
              <w:left w:val="nil"/>
              <w:bottom w:val="single" w:sz="12" w:space="0" w:color="000000"/>
              <w:right w:val="single" w:sz="12" w:space="0" w:color="000000"/>
            </w:tcBorders>
            <w:shd w:val="clear" w:color="auto" w:fill="FFFFFF"/>
            <w:hideMark/>
          </w:tcPr>
          <w:p w14:paraId="24ABDF1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9.50</w:t>
            </w:r>
          </w:p>
        </w:tc>
      </w:tr>
      <w:tr w:rsidR="00C66AA3" w:rsidRPr="00C66AA3" w14:paraId="1B5718C1"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040F60A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8.</w:t>
            </w:r>
          </w:p>
        </w:tc>
        <w:tc>
          <w:tcPr>
            <w:tcW w:w="1957" w:type="dxa"/>
            <w:tcBorders>
              <w:top w:val="nil"/>
              <w:left w:val="nil"/>
              <w:bottom w:val="single" w:sz="12" w:space="0" w:color="000000"/>
              <w:right w:val="single" w:sz="12" w:space="0" w:color="000000"/>
            </w:tcBorders>
            <w:shd w:val="clear" w:color="auto" w:fill="FFFFFF"/>
            <w:hideMark/>
          </w:tcPr>
          <w:p w14:paraId="5CFAD7EE"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Kuwaiti Dinar</w:t>
            </w:r>
          </w:p>
        </w:tc>
        <w:tc>
          <w:tcPr>
            <w:tcW w:w="0" w:type="auto"/>
            <w:tcBorders>
              <w:top w:val="nil"/>
              <w:left w:val="nil"/>
              <w:bottom w:val="single" w:sz="12" w:space="0" w:color="000000"/>
              <w:right w:val="single" w:sz="12" w:space="0" w:color="000000"/>
            </w:tcBorders>
            <w:shd w:val="clear" w:color="auto" w:fill="FFFFFF"/>
            <w:hideMark/>
          </w:tcPr>
          <w:p w14:paraId="1E3A9E54"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258.40</w:t>
            </w:r>
          </w:p>
        </w:tc>
        <w:tc>
          <w:tcPr>
            <w:tcW w:w="0" w:type="auto"/>
            <w:tcBorders>
              <w:top w:val="nil"/>
              <w:left w:val="nil"/>
              <w:bottom w:val="single" w:sz="12" w:space="0" w:color="000000"/>
              <w:right w:val="single" w:sz="12" w:space="0" w:color="000000"/>
            </w:tcBorders>
            <w:shd w:val="clear" w:color="auto" w:fill="FFFFFF"/>
            <w:hideMark/>
          </w:tcPr>
          <w:p w14:paraId="49D8C053"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242.05</w:t>
            </w:r>
          </w:p>
        </w:tc>
      </w:tr>
      <w:tr w:rsidR="00C66AA3" w:rsidRPr="00C66AA3" w14:paraId="74290D80" w14:textId="77777777" w:rsidTr="00C66AA3">
        <w:trPr>
          <w:trHeight w:val="27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775D6D77"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9.</w:t>
            </w:r>
          </w:p>
        </w:tc>
        <w:tc>
          <w:tcPr>
            <w:tcW w:w="1957" w:type="dxa"/>
            <w:tcBorders>
              <w:top w:val="nil"/>
              <w:left w:val="nil"/>
              <w:bottom w:val="single" w:sz="12" w:space="0" w:color="000000"/>
              <w:right w:val="single" w:sz="12" w:space="0" w:color="000000"/>
            </w:tcBorders>
            <w:shd w:val="clear" w:color="auto" w:fill="FFFFFF"/>
            <w:hideMark/>
          </w:tcPr>
          <w:p w14:paraId="563D67C3"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New Zealand Dollar</w:t>
            </w:r>
          </w:p>
        </w:tc>
        <w:tc>
          <w:tcPr>
            <w:tcW w:w="0" w:type="auto"/>
            <w:tcBorders>
              <w:top w:val="nil"/>
              <w:left w:val="nil"/>
              <w:bottom w:val="single" w:sz="12" w:space="0" w:color="000000"/>
              <w:right w:val="single" w:sz="12" w:space="0" w:color="000000"/>
            </w:tcBorders>
            <w:shd w:val="clear" w:color="auto" w:fill="FFFFFF"/>
            <w:hideMark/>
          </w:tcPr>
          <w:p w14:paraId="0CC295A9"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52.70</w:t>
            </w:r>
          </w:p>
        </w:tc>
        <w:tc>
          <w:tcPr>
            <w:tcW w:w="0" w:type="auto"/>
            <w:tcBorders>
              <w:top w:val="nil"/>
              <w:left w:val="nil"/>
              <w:bottom w:val="single" w:sz="12" w:space="0" w:color="000000"/>
              <w:right w:val="single" w:sz="12" w:space="0" w:color="000000"/>
            </w:tcBorders>
            <w:shd w:val="clear" w:color="auto" w:fill="FFFFFF"/>
            <w:hideMark/>
          </w:tcPr>
          <w:p w14:paraId="1FF42480"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50.40</w:t>
            </w:r>
          </w:p>
        </w:tc>
      </w:tr>
      <w:tr w:rsidR="00C66AA3" w:rsidRPr="00C66AA3" w14:paraId="734B15D0"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65F7E0E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10.</w:t>
            </w:r>
          </w:p>
        </w:tc>
        <w:tc>
          <w:tcPr>
            <w:tcW w:w="1957" w:type="dxa"/>
            <w:tcBorders>
              <w:top w:val="nil"/>
              <w:left w:val="nil"/>
              <w:bottom w:val="single" w:sz="12" w:space="0" w:color="000000"/>
              <w:right w:val="single" w:sz="12" w:space="0" w:color="000000"/>
            </w:tcBorders>
            <w:shd w:val="clear" w:color="auto" w:fill="FFFFFF"/>
            <w:hideMark/>
          </w:tcPr>
          <w:p w14:paraId="717B21D4"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Norwegian Kroner</w:t>
            </w:r>
          </w:p>
        </w:tc>
        <w:tc>
          <w:tcPr>
            <w:tcW w:w="0" w:type="auto"/>
            <w:tcBorders>
              <w:top w:val="nil"/>
              <w:left w:val="nil"/>
              <w:bottom w:val="single" w:sz="12" w:space="0" w:color="000000"/>
              <w:right w:val="single" w:sz="12" w:space="0" w:color="000000"/>
            </w:tcBorders>
            <w:shd w:val="clear" w:color="auto" w:fill="FFFFFF"/>
            <w:hideMark/>
          </w:tcPr>
          <w:p w14:paraId="1BCDB927"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8.70</w:t>
            </w:r>
          </w:p>
        </w:tc>
        <w:tc>
          <w:tcPr>
            <w:tcW w:w="0" w:type="auto"/>
            <w:tcBorders>
              <w:top w:val="nil"/>
              <w:left w:val="nil"/>
              <w:bottom w:val="single" w:sz="12" w:space="0" w:color="000000"/>
              <w:right w:val="single" w:sz="12" w:space="0" w:color="000000"/>
            </w:tcBorders>
            <w:shd w:val="clear" w:color="auto" w:fill="FFFFFF"/>
            <w:hideMark/>
          </w:tcPr>
          <w:p w14:paraId="3E44DFD0"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8.40</w:t>
            </w:r>
          </w:p>
        </w:tc>
      </w:tr>
      <w:tr w:rsidR="00C66AA3" w:rsidRPr="00C66AA3" w14:paraId="33CD78D1" w14:textId="77777777" w:rsidTr="00C66AA3">
        <w:trPr>
          <w:trHeight w:val="27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2290B1F1"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11.</w:t>
            </w:r>
          </w:p>
        </w:tc>
        <w:tc>
          <w:tcPr>
            <w:tcW w:w="1957" w:type="dxa"/>
            <w:tcBorders>
              <w:top w:val="nil"/>
              <w:left w:val="nil"/>
              <w:bottom w:val="single" w:sz="12" w:space="0" w:color="000000"/>
              <w:right w:val="single" w:sz="12" w:space="0" w:color="000000"/>
            </w:tcBorders>
            <w:shd w:val="clear" w:color="auto" w:fill="FFFFFF"/>
            <w:hideMark/>
          </w:tcPr>
          <w:p w14:paraId="24073B40"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Pound Sterling</w:t>
            </w:r>
          </w:p>
        </w:tc>
        <w:tc>
          <w:tcPr>
            <w:tcW w:w="0" w:type="auto"/>
            <w:tcBorders>
              <w:top w:val="nil"/>
              <w:left w:val="nil"/>
              <w:bottom w:val="single" w:sz="12" w:space="0" w:color="000000"/>
              <w:right w:val="single" w:sz="12" w:space="0" w:color="000000"/>
            </w:tcBorders>
            <w:shd w:val="clear" w:color="auto" w:fill="FFFFFF"/>
            <w:hideMark/>
          </w:tcPr>
          <w:p w14:paraId="4478D1C7"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103.35</w:t>
            </w:r>
          </w:p>
        </w:tc>
        <w:tc>
          <w:tcPr>
            <w:tcW w:w="0" w:type="auto"/>
            <w:tcBorders>
              <w:top w:val="nil"/>
              <w:left w:val="nil"/>
              <w:bottom w:val="single" w:sz="12" w:space="0" w:color="000000"/>
              <w:right w:val="single" w:sz="12" w:space="0" w:color="000000"/>
            </w:tcBorders>
            <w:shd w:val="clear" w:color="auto" w:fill="FFFFFF"/>
            <w:hideMark/>
          </w:tcPr>
          <w:p w14:paraId="6A149CB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99.85</w:t>
            </w:r>
          </w:p>
        </w:tc>
      </w:tr>
      <w:tr w:rsidR="00C66AA3" w:rsidRPr="00C66AA3" w14:paraId="7ED283D9"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6CA0BD5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12.</w:t>
            </w:r>
          </w:p>
        </w:tc>
        <w:tc>
          <w:tcPr>
            <w:tcW w:w="1957" w:type="dxa"/>
            <w:tcBorders>
              <w:top w:val="nil"/>
              <w:left w:val="nil"/>
              <w:bottom w:val="single" w:sz="12" w:space="0" w:color="000000"/>
              <w:right w:val="single" w:sz="12" w:space="0" w:color="000000"/>
            </w:tcBorders>
            <w:shd w:val="clear" w:color="auto" w:fill="FFFFFF"/>
            <w:hideMark/>
          </w:tcPr>
          <w:p w14:paraId="6D8BD2FF"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Qatari Riyal</w:t>
            </w:r>
          </w:p>
        </w:tc>
        <w:tc>
          <w:tcPr>
            <w:tcW w:w="0" w:type="auto"/>
            <w:tcBorders>
              <w:top w:val="nil"/>
              <w:left w:val="nil"/>
              <w:bottom w:val="single" w:sz="12" w:space="0" w:color="000000"/>
              <w:right w:val="single" w:sz="12" w:space="0" w:color="000000"/>
            </w:tcBorders>
            <w:shd w:val="clear" w:color="auto" w:fill="FFFFFF"/>
            <w:hideMark/>
          </w:tcPr>
          <w:p w14:paraId="282A632B"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21.40</w:t>
            </w:r>
          </w:p>
        </w:tc>
        <w:tc>
          <w:tcPr>
            <w:tcW w:w="0" w:type="auto"/>
            <w:tcBorders>
              <w:top w:val="nil"/>
              <w:left w:val="nil"/>
              <w:bottom w:val="single" w:sz="12" w:space="0" w:color="000000"/>
              <w:right w:val="single" w:sz="12" w:space="0" w:color="000000"/>
            </w:tcBorders>
            <w:shd w:val="clear" w:color="auto" w:fill="FFFFFF"/>
            <w:hideMark/>
          </w:tcPr>
          <w:p w14:paraId="7D2B3D10"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20.05</w:t>
            </w:r>
          </w:p>
        </w:tc>
      </w:tr>
      <w:tr w:rsidR="00C66AA3" w:rsidRPr="00C66AA3" w14:paraId="7B5BA359" w14:textId="77777777" w:rsidTr="00C66AA3">
        <w:trPr>
          <w:trHeight w:val="27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6D19118B"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13.</w:t>
            </w:r>
          </w:p>
        </w:tc>
        <w:tc>
          <w:tcPr>
            <w:tcW w:w="1957" w:type="dxa"/>
            <w:tcBorders>
              <w:top w:val="nil"/>
              <w:left w:val="nil"/>
              <w:bottom w:val="single" w:sz="12" w:space="0" w:color="000000"/>
              <w:right w:val="single" w:sz="12" w:space="0" w:color="000000"/>
            </w:tcBorders>
            <w:shd w:val="clear" w:color="auto" w:fill="FFFFFF"/>
            <w:hideMark/>
          </w:tcPr>
          <w:p w14:paraId="75C2E91E"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Saudi Arabian Riyal</w:t>
            </w:r>
          </w:p>
        </w:tc>
        <w:tc>
          <w:tcPr>
            <w:tcW w:w="0" w:type="auto"/>
            <w:tcBorders>
              <w:top w:val="nil"/>
              <w:left w:val="nil"/>
              <w:bottom w:val="single" w:sz="12" w:space="0" w:color="000000"/>
              <w:right w:val="single" w:sz="12" w:space="0" w:color="000000"/>
            </w:tcBorders>
            <w:shd w:val="clear" w:color="auto" w:fill="FFFFFF"/>
            <w:hideMark/>
          </w:tcPr>
          <w:p w14:paraId="51762C31"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20.85</w:t>
            </w:r>
          </w:p>
        </w:tc>
        <w:tc>
          <w:tcPr>
            <w:tcW w:w="0" w:type="auto"/>
            <w:tcBorders>
              <w:top w:val="nil"/>
              <w:left w:val="nil"/>
              <w:bottom w:val="single" w:sz="12" w:space="0" w:color="000000"/>
              <w:right w:val="single" w:sz="12" w:space="0" w:color="000000"/>
            </w:tcBorders>
            <w:shd w:val="clear" w:color="auto" w:fill="FFFFFF"/>
            <w:hideMark/>
          </w:tcPr>
          <w:p w14:paraId="3D8A3D3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19.60</w:t>
            </w:r>
          </w:p>
        </w:tc>
      </w:tr>
      <w:tr w:rsidR="00C66AA3" w:rsidRPr="00C66AA3" w14:paraId="5DC32D97"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05967FE7"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14.</w:t>
            </w:r>
          </w:p>
        </w:tc>
        <w:tc>
          <w:tcPr>
            <w:tcW w:w="1957" w:type="dxa"/>
            <w:tcBorders>
              <w:top w:val="nil"/>
              <w:left w:val="nil"/>
              <w:bottom w:val="single" w:sz="12" w:space="0" w:color="000000"/>
              <w:right w:val="single" w:sz="12" w:space="0" w:color="000000"/>
            </w:tcBorders>
            <w:shd w:val="clear" w:color="auto" w:fill="FFFFFF"/>
            <w:hideMark/>
          </w:tcPr>
          <w:p w14:paraId="79B56A0D"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Singapore Dollar</w:t>
            </w:r>
          </w:p>
        </w:tc>
        <w:tc>
          <w:tcPr>
            <w:tcW w:w="0" w:type="auto"/>
            <w:tcBorders>
              <w:top w:val="nil"/>
              <w:left w:val="nil"/>
              <w:bottom w:val="single" w:sz="12" w:space="0" w:color="000000"/>
              <w:right w:val="single" w:sz="12" w:space="0" w:color="000000"/>
            </w:tcBorders>
            <w:shd w:val="clear" w:color="auto" w:fill="FFFFFF"/>
            <w:hideMark/>
          </w:tcPr>
          <w:p w14:paraId="3FB26A36"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56.85</w:t>
            </w:r>
          </w:p>
        </w:tc>
        <w:tc>
          <w:tcPr>
            <w:tcW w:w="0" w:type="auto"/>
            <w:tcBorders>
              <w:top w:val="nil"/>
              <w:left w:val="nil"/>
              <w:bottom w:val="single" w:sz="12" w:space="0" w:color="000000"/>
              <w:right w:val="single" w:sz="12" w:space="0" w:color="000000"/>
            </w:tcBorders>
            <w:shd w:val="clear" w:color="auto" w:fill="FFFFFF"/>
            <w:hideMark/>
          </w:tcPr>
          <w:p w14:paraId="3AA16C44"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54.90</w:t>
            </w:r>
          </w:p>
        </w:tc>
      </w:tr>
      <w:tr w:rsidR="00C66AA3" w:rsidRPr="00C66AA3" w14:paraId="23674FD8"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23B8DF3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15.</w:t>
            </w:r>
          </w:p>
        </w:tc>
        <w:tc>
          <w:tcPr>
            <w:tcW w:w="1957" w:type="dxa"/>
            <w:tcBorders>
              <w:top w:val="nil"/>
              <w:left w:val="nil"/>
              <w:bottom w:val="single" w:sz="12" w:space="0" w:color="000000"/>
              <w:right w:val="single" w:sz="12" w:space="0" w:color="000000"/>
            </w:tcBorders>
            <w:shd w:val="clear" w:color="auto" w:fill="FFFFFF"/>
            <w:hideMark/>
          </w:tcPr>
          <w:p w14:paraId="0658D16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South African Rand</w:t>
            </w:r>
          </w:p>
        </w:tc>
        <w:tc>
          <w:tcPr>
            <w:tcW w:w="0" w:type="auto"/>
            <w:tcBorders>
              <w:top w:val="nil"/>
              <w:left w:val="nil"/>
              <w:bottom w:val="single" w:sz="12" w:space="0" w:color="000000"/>
              <w:right w:val="single" w:sz="12" w:space="0" w:color="000000"/>
            </w:tcBorders>
            <w:shd w:val="clear" w:color="auto" w:fill="FFFFFF"/>
            <w:hideMark/>
          </w:tcPr>
          <w:p w14:paraId="1866E0C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5.10</w:t>
            </w:r>
          </w:p>
        </w:tc>
        <w:tc>
          <w:tcPr>
            <w:tcW w:w="0" w:type="auto"/>
            <w:tcBorders>
              <w:top w:val="nil"/>
              <w:left w:val="nil"/>
              <w:bottom w:val="single" w:sz="12" w:space="0" w:color="000000"/>
              <w:right w:val="single" w:sz="12" w:space="0" w:color="000000"/>
            </w:tcBorders>
            <w:shd w:val="clear" w:color="auto" w:fill="FFFFFF"/>
            <w:hideMark/>
          </w:tcPr>
          <w:p w14:paraId="3DCAAD4E"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4.80</w:t>
            </w:r>
          </w:p>
        </w:tc>
      </w:tr>
      <w:tr w:rsidR="00C66AA3" w:rsidRPr="00C66AA3" w14:paraId="6F6E63CD" w14:textId="77777777" w:rsidTr="00C66AA3">
        <w:trPr>
          <w:trHeight w:val="27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4D6EE863"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16.</w:t>
            </w:r>
          </w:p>
        </w:tc>
        <w:tc>
          <w:tcPr>
            <w:tcW w:w="1957" w:type="dxa"/>
            <w:tcBorders>
              <w:top w:val="nil"/>
              <w:left w:val="nil"/>
              <w:bottom w:val="single" w:sz="12" w:space="0" w:color="000000"/>
              <w:right w:val="single" w:sz="12" w:space="0" w:color="000000"/>
            </w:tcBorders>
            <w:shd w:val="clear" w:color="auto" w:fill="FFFFFF"/>
            <w:hideMark/>
          </w:tcPr>
          <w:p w14:paraId="32D5EC6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Swedish Kroner</w:t>
            </w:r>
          </w:p>
        </w:tc>
        <w:tc>
          <w:tcPr>
            <w:tcW w:w="0" w:type="auto"/>
            <w:tcBorders>
              <w:top w:val="nil"/>
              <w:left w:val="nil"/>
              <w:bottom w:val="single" w:sz="12" w:space="0" w:color="000000"/>
              <w:right w:val="single" w:sz="12" w:space="0" w:color="000000"/>
            </w:tcBorders>
            <w:shd w:val="clear" w:color="auto" w:fill="FFFFFF"/>
            <w:hideMark/>
          </w:tcPr>
          <w:p w14:paraId="53DB7F2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7.90</w:t>
            </w:r>
          </w:p>
        </w:tc>
        <w:tc>
          <w:tcPr>
            <w:tcW w:w="0" w:type="auto"/>
            <w:tcBorders>
              <w:top w:val="nil"/>
              <w:left w:val="nil"/>
              <w:bottom w:val="single" w:sz="12" w:space="0" w:color="000000"/>
              <w:right w:val="single" w:sz="12" w:space="0" w:color="000000"/>
            </w:tcBorders>
            <w:shd w:val="clear" w:color="auto" w:fill="FFFFFF"/>
            <w:hideMark/>
          </w:tcPr>
          <w:p w14:paraId="26AA543D"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7.65</w:t>
            </w:r>
          </w:p>
        </w:tc>
      </w:tr>
      <w:tr w:rsidR="00C66AA3" w:rsidRPr="00C66AA3" w14:paraId="02B9B5CE"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78F79FC9"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17.</w:t>
            </w:r>
          </w:p>
        </w:tc>
        <w:tc>
          <w:tcPr>
            <w:tcW w:w="1957" w:type="dxa"/>
            <w:tcBorders>
              <w:top w:val="nil"/>
              <w:left w:val="nil"/>
              <w:bottom w:val="single" w:sz="12" w:space="0" w:color="000000"/>
              <w:right w:val="single" w:sz="12" w:space="0" w:color="000000"/>
            </w:tcBorders>
            <w:shd w:val="clear" w:color="auto" w:fill="FFFFFF"/>
            <w:hideMark/>
          </w:tcPr>
          <w:p w14:paraId="4EB9ED03"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Swiss Franc</w:t>
            </w:r>
          </w:p>
        </w:tc>
        <w:tc>
          <w:tcPr>
            <w:tcW w:w="0" w:type="auto"/>
            <w:tcBorders>
              <w:top w:val="nil"/>
              <w:left w:val="nil"/>
              <w:bottom w:val="single" w:sz="12" w:space="0" w:color="000000"/>
              <w:right w:val="single" w:sz="12" w:space="0" w:color="000000"/>
            </w:tcBorders>
            <w:shd w:val="clear" w:color="auto" w:fill="FFFFFF"/>
            <w:hideMark/>
          </w:tcPr>
          <w:p w14:paraId="4DC663D5"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83.90</w:t>
            </w:r>
          </w:p>
        </w:tc>
        <w:tc>
          <w:tcPr>
            <w:tcW w:w="0" w:type="auto"/>
            <w:tcBorders>
              <w:top w:val="nil"/>
              <w:left w:val="nil"/>
              <w:bottom w:val="single" w:sz="12" w:space="0" w:color="000000"/>
              <w:right w:val="single" w:sz="12" w:space="0" w:color="000000"/>
            </w:tcBorders>
            <w:shd w:val="clear" w:color="auto" w:fill="FFFFFF"/>
            <w:hideMark/>
          </w:tcPr>
          <w:p w14:paraId="4EF0B0C1"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80.70</w:t>
            </w:r>
          </w:p>
        </w:tc>
      </w:tr>
      <w:tr w:rsidR="00C66AA3" w:rsidRPr="00C66AA3" w14:paraId="12650E85" w14:textId="77777777" w:rsidTr="00C66AA3">
        <w:trPr>
          <w:trHeight w:val="27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29806393"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18.</w:t>
            </w:r>
          </w:p>
        </w:tc>
        <w:tc>
          <w:tcPr>
            <w:tcW w:w="1957" w:type="dxa"/>
            <w:tcBorders>
              <w:top w:val="nil"/>
              <w:left w:val="nil"/>
              <w:bottom w:val="single" w:sz="12" w:space="0" w:color="000000"/>
              <w:right w:val="single" w:sz="12" w:space="0" w:color="000000"/>
            </w:tcBorders>
            <w:shd w:val="clear" w:color="auto" w:fill="FFFFFF"/>
            <w:hideMark/>
          </w:tcPr>
          <w:p w14:paraId="3D78B9A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Turkish Lira</w:t>
            </w:r>
          </w:p>
        </w:tc>
        <w:tc>
          <w:tcPr>
            <w:tcW w:w="0" w:type="auto"/>
            <w:tcBorders>
              <w:top w:val="nil"/>
              <w:left w:val="nil"/>
              <w:bottom w:val="single" w:sz="12" w:space="0" w:color="000000"/>
              <w:right w:val="single" w:sz="12" w:space="0" w:color="000000"/>
            </w:tcBorders>
            <w:shd w:val="clear" w:color="auto" w:fill="FFFFFF"/>
            <w:hideMark/>
          </w:tcPr>
          <w:p w14:paraId="5B77DFF6"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5.55</w:t>
            </w:r>
          </w:p>
        </w:tc>
        <w:tc>
          <w:tcPr>
            <w:tcW w:w="0" w:type="auto"/>
            <w:tcBorders>
              <w:top w:val="nil"/>
              <w:left w:val="nil"/>
              <w:bottom w:val="single" w:sz="12" w:space="0" w:color="000000"/>
              <w:right w:val="single" w:sz="12" w:space="0" w:color="000000"/>
            </w:tcBorders>
            <w:shd w:val="clear" w:color="auto" w:fill="FFFFFF"/>
            <w:hideMark/>
          </w:tcPr>
          <w:p w14:paraId="20D7D076"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5.25</w:t>
            </w:r>
          </w:p>
        </w:tc>
      </w:tr>
      <w:tr w:rsidR="00C66AA3" w:rsidRPr="00C66AA3" w14:paraId="6CCB354B"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49EABB04"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19.</w:t>
            </w:r>
          </w:p>
        </w:tc>
        <w:tc>
          <w:tcPr>
            <w:tcW w:w="1957" w:type="dxa"/>
            <w:tcBorders>
              <w:top w:val="nil"/>
              <w:left w:val="nil"/>
              <w:bottom w:val="single" w:sz="12" w:space="0" w:color="000000"/>
              <w:right w:val="single" w:sz="12" w:space="0" w:color="000000"/>
            </w:tcBorders>
            <w:shd w:val="clear" w:color="auto" w:fill="FFFFFF"/>
            <w:hideMark/>
          </w:tcPr>
          <w:p w14:paraId="4D1552DB"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UAE Dirham</w:t>
            </w:r>
          </w:p>
        </w:tc>
        <w:tc>
          <w:tcPr>
            <w:tcW w:w="0" w:type="auto"/>
            <w:tcBorders>
              <w:top w:val="nil"/>
              <w:left w:val="nil"/>
              <w:bottom w:val="single" w:sz="12" w:space="0" w:color="000000"/>
              <w:right w:val="single" w:sz="12" w:space="0" w:color="000000"/>
            </w:tcBorders>
            <w:shd w:val="clear" w:color="auto" w:fill="FFFFFF"/>
            <w:hideMark/>
          </w:tcPr>
          <w:p w14:paraId="4618838F"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21.30</w:t>
            </w:r>
          </w:p>
        </w:tc>
        <w:tc>
          <w:tcPr>
            <w:tcW w:w="0" w:type="auto"/>
            <w:tcBorders>
              <w:top w:val="nil"/>
              <w:left w:val="nil"/>
              <w:bottom w:val="single" w:sz="12" w:space="0" w:color="000000"/>
              <w:right w:val="single" w:sz="12" w:space="0" w:color="000000"/>
            </w:tcBorders>
            <w:shd w:val="clear" w:color="auto" w:fill="FFFFFF"/>
            <w:hideMark/>
          </w:tcPr>
          <w:p w14:paraId="357BE349"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20.00</w:t>
            </w:r>
          </w:p>
        </w:tc>
      </w:tr>
      <w:tr w:rsidR="00C66AA3" w:rsidRPr="00C66AA3" w14:paraId="1D0B4372" w14:textId="77777777" w:rsidTr="00C66AA3">
        <w:trPr>
          <w:trHeight w:val="263"/>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4AC86CE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20.</w:t>
            </w:r>
          </w:p>
        </w:tc>
        <w:tc>
          <w:tcPr>
            <w:tcW w:w="1957" w:type="dxa"/>
            <w:tcBorders>
              <w:top w:val="nil"/>
              <w:left w:val="nil"/>
              <w:bottom w:val="single" w:sz="12" w:space="0" w:color="000000"/>
              <w:right w:val="single" w:sz="12" w:space="0" w:color="000000"/>
            </w:tcBorders>
            <w:shd w:val="clear" w:color="auto" w:fill="FFFFFF"/>
            <w:hideMark/>
          </w:tcPr>
          <w:p w14:paraId="060731C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333333"/>
                <w:lang w:val="en-IN" w:eastAsia="en-IN"/>
              </w:rPr>
              <w:t>US Dollar</w:t>
            </w:r>
          </w:p>
        </w:tc>
        <w:tc>
          <w:tcPr>
            <w:tcW w:w="0" w:type="auto"/>
            <w:tcBorders>
              <w:top w:val="nil"/>
              <w:left w:val="nil"/>
              <w:bottom w:val="single" w:sz="12" w:space="0" w:color="000000"/>
              <w:right w:val="single" w:sz="12" w:space="0" w:color="000000"/>
            </w:tcBorders>
            <w:shd w:val="clear" w:color="auto" w:fill="FFFFFF"/>
            <w:hideMark/>
          </w:tcPr>
          <w:p w14:paraId="5D0DD19F"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76.65</w:t>
            </w:r>
          </w:p>
        </w:tc>
        <w:tc>
          <w:tcPr>
            <w:tcW w:w="0" w:type="auto"/>
            <w:tcBorders>
              <w:top w:val="nil"/>
              <w:left w:val="nil"/>
              <w:bottom w:val="single" w:sz="12" w:space="0" w:color="000000"/>
              <w:right w:val="single" w:sz="12" w:space="0" w:color="000000"/>
            </w:tcBorders>
            <w:shd w:val="clear" w:color="auto" w:fill="FFFFFF"/>
            <w:hideMark/>
          </w:tcPr>
          <w:p w14:paraId="762FA649"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74.95</w:t>
            </w:r>
          </w:p>
        </w:tc>
      </w:tr>
    </w:tbl>
    <w:p w14:paraId="542728E1" w14:textId="77777777" w:rsidR="00C66AA3" w:rsidRPr="00C66AA3" w:rsidRDefault="00C66AA3" w:rsidP="00C66AA3">
      <w:pPr>
        <w:shd w:val="clear" w:color="auto" w:fill="FFFFFF"/>
        <w:spacing w:before="100" w:beforeAutospacing="1" w:after="100" w:afterAutospacing="1" w:line="240" w:lineRule="auto"/>
        <w:jc w:val="center"/>
        <w:rPr>
          <w:rFonts w:asciiTheme="minorHAnsi" w:hAnsiTheme="minorHAnsi" w:cstheme="minorHAnsi"/>
          <w:b/>
          <w:bCs/>
          <w:color w:val="000000"/>
          <w:lang w:val="en-IN" w:eastAsia="en-IN"/>
        </w:rPr>
      </w:pPr>
      <w:r w:rsidRPr="00C66AA3">
        <w:rPr>
          <w:rFonts w:asciiTheme="minorHAnsi" w:hAnsiTheme="minorHAnsi" w:cstheme="minorHAnsi"/>
          <w:b/>
          <w:bCs/>
          <w:color w:val="333333"/>
          <w:shd w:val="clear" w:color="auto" w:fill="FFFFFF"/>
          <w:lang w:val="en-IN" w:eastAsia="en-IN"/>
        </w:rPr>
        <w:t>SCHEDULE-II</w:t>
      </w:r>
      <w:r w:rsidRPr="00C66AA3">
        <w:rPr>
          <w:rFonts w:asciiTheme="minorHAnsi" w:hAnsiTheme="minorHAnsi" w:cstheme="minorHAnsi"/>
          <w:b/>
          <w:bCs/>
          <w:color w:val="000000"/>
          <w:shd w:val="clear" w:color="auto" w:fill="FFFFFF"/>
          <w:lang w:val="en-IN" w:eastAsia="en-IN"/>
        </w:rPr>
        <w:t> </w:t>
      </w:r>
    </w:p>
    <w:tbl>
      <w:tblPr>
        <w:tblW w:w="551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44"/>
        <w:gridCol w:w="1382"/>
        <w:gridCol w:w="1729"/>
        <w:gridCol w:w="2059"/>
      </w:tblGrid>
      <w:tr w:rsidR="00C66AA3" w:rsidRPr="00C66AA3" w14:paraId="702DB1BE" w14:textId="77777777" w:rsidTr="00C66AA3">
        <w:trPr>
          <w:trHeight w:val="672"/>
          <w:jc w:val="center"/>
        </w:trPr>
        <w:tc>
          <w:tcPr>
            <w:tcW w:w="344" w:type="dxa"/>
            <w:tcBorders>
              <w:top w:val="single" w:sz="12" w:space="0" w:color="000000"/>
              <w:left w:val="single" w:sz="12" w:space="0" w:color="000000"/>
              <w:bottom w:val="single" w:sz="12" w:space="0" w:color="000000"/>
              <w:right w:val="single" w:sz="12" w:space="0" w:color="000000"/>
            </w:tcBorders>
            <w:shd w:val="clear" w:color="auto" w:fill="FFFFFF"/>
            <w:hideMark/>
          </w:tcPr>
          <w:p w14:paraId="7D582FF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Sl.</w:t>
            </w:r>
          </w:p>
          <w:p w14:paraId="3B358DC5"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No.</w:t>
            </w:r>
          </w:p>
        </w:tc>
        <w:tc>
          <w:tcPr>
            <w:tcW w:w="0" w:type="auto"/>
            <w:tcBorders>
              <w:top w:val="single" w:sz="12" w:space="0" w:color="000000"/>
              <w:left w:val="nil"/>
              <w:bottom w:val="single" w:sz="12" w:space="0" w:color="000000"/>
              <w:right w:val="single" w:sz="12" w:space="0" w:color="000000"/>
            </w:tcBorders>
            <w:shd w:val="clear" w:color="auto" w:fill="FFFFFF"/>
            <w:hideMark/>
          </w:tcPr>
          <w:p w14:paraId="108C9377"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Foreign Currency</w:t>
            </w:r>
          </w:p>
        </w:tc>
        <w:tc>
          <w:tcPr>
            <w:tcW w:w="3788" w:type="dxa"/>
            <w:gridSpan w:val="2"/>
            <w:tcBorders>
              <w:top w:val="single" w:sz="12" w:space="0" w:color="000000"/>
              <w:left w:val="nil"/>
              <w:bottom w:val="single" w:sz="12" w:space="0" w:color="000000"/>
              <w:right w:val="single" w:sz="12" w:space="0" w:color="000000"/>
            </w:tcBorders>
            <w:shd w:val="clear" w:color="auto" w:fill="FFFFFF"/>
            <w:hideMark/>
          </w:tcPr>
          <w:p w14:paraId="7C01E7F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Rate of exchange of 100 units of foreign currency equivalent to Indian rupees</w:t>
            </w:r>
          </w:p>
        </w:tc>
      </w:tr>
      <w:tr w:rsidR="00C66AA3" w:rsidRPr="00C66AA3" w14:paraId="49A39A73" w14:textId="77777777" w:rsidTr="00C66AA3">
        <w:trPr>
          <w:trHeight w:val="218"/>
          <w:jc w:val="center"/>
        </w:trPr>
        <w:tc>
          <w:tcPr>
            <w:tcW w:w="344" w:type="dxa"/>
            <w:tcBorders>
              <w:top w:val="nil"/>
              <w:left w:val="single" w:sz="12" w:space="0" w:color="000000"/>
              <w:bottom w:val="single" w:sz="12" w:space="0" w:color="000000"/>
              <w:right w:val="single" w:sz="12" w:space="0" w:color="000000"/>
            </w:tcBorders>
            <w:shd w:val="clear" w:color="auto" w:fill="FFFFFF"/>
            <w:hideMark/>
          </w:tcPr>
          <w:p w14:paraId="2408C853"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(1)</w:t>
            </w:r>
          </w:p>
        </w:tc>
        <w:tc>
          <w:tcPr>
            <w:tcW w:w="0" w:type="auto"/>
            <w:tcBorders>
              <w:top w:val="nil"/>
              <w:left w:val="nil"/>
              <w:bottom w:val="single" w:sz="12" w:space="0" w:color="000000"/>
              <w:right w:val="single" w:sz="12" w:space="0" w:color="000000"/>
            </w:tcBorders>
            <w:shd w:val="clear" w:color="auto" w:fill="FFFFFF"/>
            <w:hideMark/>
          </w:tcPr>
          <w:p w14:paraId="7FF9ED31"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(2)</w:t>
            </w:r>
          </w:p>
        </w:tc>
        <w:tc>
          <w:tcPr>
            <w:tcW w:w="3788" w:type="dxa"/>
            <w:gridSpan w:val="2"/>
            <w:tcBorders>
              <w:top w:val="nil"/>
              <w:left w:val="nil"/>
              <w:bottom w:val="single" w:sz="12" w:space="0" w:color="000000"/>
              <w:right w:val="single" w:sz="12" w:space="0" w:color="000000"/>
            </w:tcBorders>
            <w:shd w:val="clear" w:color="auto" w:fill="FFFFFF"/>
            <w:hideMark/>
          </w:tcPr>
          <w:p w14:paraId="320D7739"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(3)</w:t>
            </w:r>
          </w:p>
        </w:tc>
      </w:tr>
      <w:tr w:rsidR="00C66AA3" w:rsidRPr="00774EE9" w14:paraId="74FFB3F9" w14:textId="77777777" w:rsidTr="00C66AA3">
        <w:trPr>
          <w:trHeight w:val="227"/>
          <w:jc w:val="center"/>
        </w:trPr>
        <w:tc>
          <w:tcPr>
            <w:tcW w:w="344" w:type="dxa"/>
            <w:tcBorders>
              <w:top w:val="nil"/>
              <w:left w:val="single" w:sz="12" w:space="0" w:color="000000"/>
              <w:bottom w:val="single" w:sz="12" w:space="0" w:color="000000"/>
              <w:right w:val="single" w:sz="12" w:space="0" w:color="000000"/>
            </w:tcBorders>
            <w:shd w:val="clear" w:color="auto" w:fill="FFFFFF"/>
            <w:hideMark/>
          </w:tcPr>
          <w:p w14:paraId="24691854" w14:textId="77777777" w:rsidR="00C66AA3" w:rsidRPr="00C66AA3" w:rsidRDefault="00C66AA3" w:rsidP="00C66AA3">
            <w:pPr>
              <w:spacing w:after="0" w:line="240" w:lineRule="auto"/>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 </w:t>
            </w:r>
          </w:p>
        </w:tc>
        <w:tc>
          <w:tcPr>
            <w:tcW w:w="0" w:type="auto"/>
            <w:tcBorders>
              <w:top w:val="nil"/>
              <w:left w:val="nil"/>
              <w:bottom w:val="single" w:sz="12" w:space="0" w:color="000000"/>
              <w:right w:val="single" w:sz="12" w:space="0" w:color="000000"/>
            </w:tcBorders>
            <w:shd w:val="clear" w:color="auto" w:fill="FFFFFF"/>
            <w:hideMark/>
          </w:tcPr>
          <w:p w14:paraId="6ED70D3A"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 </w:t>
            </w:r>
          </w:p>
        </w:tc>
        <w:tc>
          <w:tcPr>
            <w:tcW w:w="0" w:type="auto"/>
            <w:tcBorders>
              <w:top w:val="nil"/>
              <w:left w:val="nil"/>
              <w:bottom w:val="single" w:sz="12" w:space="0" w:color="000000"/>
              <w:right w:val="single" w:sz="12" w:space="0" w:color="000000"/>
            </w:tcBorders>
            <w:shd w:val="clear" w:color="auto" w:fill="FFFFFF"/>
            <w:hideMark/>
          </w:tcPr>
          <w:p w14:paraId="4B236B8C"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(a)</w:t>
            </w:r>
          </w:p>
        </w:tc>
        <w:tc>
          <w:tcPr>
            <w:tcW w:w="2059" w:type="dxa"/>
            <w:tcBorders>
              <w:top w:val="nil"/>
              <w:left w:val="nil"/>
              <w:bottom w:val="single" w:sz="12" w:space="0" w:color="000000"/>
              <w:right w:val="single" w:sz="12" w:space="0" w:color="000000"/>
            </w:tcBorders>
            <w:shd w:val="clear" w:color="auto" w:fill="FFFFFF"/>
            <w:hideMark/>
          </w:tcPr>
          <w:p w14:paraId="28E1AEE8"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(b)</w:t>
            </w:r>
          </w:p>
        </w:tc>
      </w:tr>
      <w:tr w:rsidR="00C66AA3" w:rsidRPr="00774EE9" w14:paraId="49FA4B0B" w14:textId="77777777" w:rsidTr="00C66AA3">
        <w:trPr>
          <w:trHeight w:val="218"/>
          <w:jc w:val="center"/>
        </w:trPr>
        <w:tc>
          <w:tcPr>
            <w:tcW w:w="344" w:type="dxa"/>
            <w:tcBorders>
              <w:top w:val="nil"/>
              <w:left w:val="single" w:sz="12" w:space="0" w:color="000000"/>
              <w:bottom w:val="single" w:sz="12" w:space="0" w:color="000000"/>
              <w:right w:val="single" w:sz="12" w:space="0" w:color="000000"/>
            </w:tcBorders>
            <w:shd w:val="clear" w:color="auto" w:fill="FFFFFF"/>
            <w:hideMark/>
          </w:tcPr>
          <w:p w14:paraId="10A8526B" w14:textId="77777777" w:rsidR="00C66AA3" w:rsidRPr="00C66AA3" w:rsidRDefault="00C66AA3" w:rsidP="00C66AA3">
            <w:pPr>
              <w:spacing w:after="0" w:line="240" w:lineRule="auto"/>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 </w:t>
            </w:r>
          </w:p>
        </w:tc>
        <w:tc>
          <w:tcPr>
            <w:tcW w:w="0" w:type="auto"/>
            <w:tcBorders>
              <w:top w:val="nil"/>
              <w:left w:val="nil"/>
              <w:bottom w:val="single" w:sz="12" w:space="0" w:color="000000"/>
              <w:right w:val="single" w:sz="12" w:space="0" w:color="000000"/>
            </w:tcBorders>
            <w:shd w:val="clear" w:color="auto" w:fill="FFFFFF"/>
            <w:hideMark/>
          </w:tcPr>
          <w:p w14:paraId="246E893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 </w:t>
            </w:r>
          </w:p>
        </w:tc>
        <w:tc>
          <w:tcPr>
            <w:tcW w:w="0" w:type="auto"/>
            <w:tcBorders>
              <w:top w:val="nil"/>
              <w:left w:val="nil"/>
              <w:bottom w:val="single" w:sz="12" w:space="0" w:color="000000"/>
              <w:right w:val="single" w:sz="12" w:space="0" w:color="000000"/>
            </w:tcBorders>
            <w:shd w:val="clear" w:color="auto" w:fill="FFFFFF"/>
            <w:hideMark/>
          </w:tcPr>
          <w:p w14:paraId="3F921117"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(For Imported Goods)</w:t>
            </w:r>
          </w:p>
        </w:tc>
        <w:tc>
          <w:tcPr>
            <w:tcW w:w="2059" w:type="dxa"/>
            <w:tcBorders>
              <w:top w:val="nil"/>
              <w:left w:val="nil"/>
              <w:bottom w:val="single" w:sz="12" w:space="0" w:color="000000"/>
              <w:right w:val="single" w:sz="12" w:space="0" w:color="000000"/>
            </w:tcBorders>
            <w:shd w:val="clear" w:color="auto" w:fill="FFFFFF"/>
            <w:hideMark/>
          </w:tcPr>
          <w:p w14:paraId="61A67599"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(For Export Goods)</w:t>
            </w:r>
          </w:p>
        </w:tc>
      </w:tr>
      <w:tr w:rsidR="00C66AA3" w:rsidRPr="00774EE9" w14:paraId="32A65696" w14:textId="77777777" w:rsidTr="00C66AA3">
        <w:trPr>
          <w:trHeight w:val="218"/>
          <w:jc w:val="center"/>
        </w:trPr>
        <w:tc>
          <w:tcPr>
            <w:tcW w:w="344" w:type="dxa"/>
            <w:tcBorders>
              <w:top w:val="nil"/>
              <w:left w:val="single" w:sz="12" w:space="0" w:color="000000"/>
              <w:bottom w:val="single" w:sz="12" w:space="0" w:color="000000"/>
              <w:right w:val="single" w:sz="12" w:space="0" w:color="000000"/>
            </w:tcBorders>
            <w:shd w:val="clear" w:color="auto" w:fill="FFFFFF"/>
            <w:hideMark/>
          </w:tcPr>
          <w:p w14:paraId="221DC462"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1.</w:t>
            </w:r>
          </w:p>
        </w:tc>
        <w:tc>
          <w:tcPr>
            <w:tcW w:w="0" w:type="auto"/>
            <w:tcBorders>
              <w:top w:val="nil"/>
              <w:left w:val="nil"/>
              <w:bottom w:val="single" w:sz="12" w:space="0" w:color="000000"/>
              <w:right w:val="single" w:sz="12" w:space="0" w:color="000000"/>
            </w:tcBorders>
            <w:shd w:val="clear" w:color="auto" w:fill="FFFFFF"/>
            <w:hideMark/>
          </w:tcPr>
          <w:p w14:paraId="6B039FD7"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Japanese Yen</w:t>
            </w:r>
          </w:p>
        </w:tc>
        <w:tc>
          <w:tcPr>
            <w:tcW w:w="0" w:type="auto"/>
            <w:tcBorders>
              <w:top w:val="nil"/>
              <w:left w:val="nil"/>
              <w:bottom w:val="single" w:sz="12" w:space="0" w:color="000000"/>
              <w:right w:val="single" w:sz="12" w:space="0" w:color="000000"/>
            </w:tcBorders>
            <w:shd w:val="clear" w:color="auto" w:fill="FFFFFF"/>
            <w:hideMark/>
          </w:tcPr>
          <w:p w14:paraId="0517FCCF"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66.70</w:t>
            </w:r>
          </w:p>
        </w:tc>
        <w:tc>
          <w:tcPr>
            <w:tcW w:w="2059" w:type="dxa"/>
            <w:tcBorders>
              <w:top w:val="nil"/>
              <w:left w:val="nil"/>
              <w:bottom w:val="single" w:sz="12" w:space="0" w:color="000000"/>
              <w:right w:val="single" w:sz="12" w:space="0" w:color="000000"/>
            </w:tcBorders>
            <w:shd w:val="clear" w:color="auto" w:fill="FFFFFF"/>
            <w:hideMark/>
          </w:tcPr>
          <w:p w14:paraId="044A54DD"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64.35</w:t>
            </w:r>
          </w:p>
        </w:tc>
      </w:tr>
      <w:tr w:rsidR="00C66AA3" w:rsidRPr="00774EE9" w14:paraId="52464E5F" w14:textId="77777777" w:rsidTr="00C66AA3">
        <w:trPr>
          <w:trHeight w:val="227"/>
          <w:jc w:val="center"/>
        </w:trPr>
        <w:tc>
          <w:tcPr>
            <w:tcW w:w="344" w:type="dxa"/>
            <w:tcBorders>
              <w:top w:val="nil"/>
              <w:left w:val="single" w:sz="12" w:space="0" w:color="000000"/>
              <w:bottom w:val="single" w:sz="12" w:space="0" w:color="000000"/>
              <w:right w:val="single" w:sz="12" w:space="0" w:color="000000"/>
            </w:tcBorders>
            <w:shd w:val="clear" w:color="auto" w:fill="FFFFFF"/>
            <w:hideMark/>
          </w:tcPr>
          <w:p w14:paraId="32548A17"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2.</w:t>
            </w:r>
          </w:p>
        </w:tc>
        <w:tc>
          <w:tcPr>
            <w:tcW w:w="0" w:type="auto"/>
            <w:tcBorders>
              <w:top w:val="nil"/>
              <w:left w:val="nil"/>
              <w:bottom w:val="single" w:sz="12" w:space="0" w:color="000000"/>
              <w:right w:val="single" w:sz="12" w:space="0" w:color="000000"/>
            </w:tcBorders>
            <w:shd w:val="clear" w:color="auto" w:fill="FFFFFF"/>
            <w:hideMark/>
          </w:tcPr>
          <w:p w14:paraId="704266C6"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color w:val="000000"/>
                <w:lang w:val="en-IN" w:eastAsia="en-IN"/>
              </w:rPr>
              <w:t>Korean Won</w:t>
            </w:r>
          </w:p>
        </w:tc>
        <w:tc>
          <w:tcPr>
            <w:tcW w:w="0" w:type="auto"/>
            <w:tcBorders>
              <w:top w:val="nil"/>
              <w:left w:val="nil"/>
              <w:bottom w:val="single" w:sz="12" w:space="0" w:color="000000"/>
              <w:right w:val="single" w:sz="12" w:space="0" w:color="000000"/>
            </w:tcBorders>
            <w:shd w:val="clear" w:color="auto" w:fill="FFFFFF"/>
            <w:hideMark/>
          </w:tcPr>
          <w:p w14:paraId="3E6DB2A4"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6.50</w:t>
            </w:r>
          </w:p>
        </w:tc>
        <w:tc>
          <w:tcPr>
            <w:tcW w:w="2059" w:type="dxa"/>
            <w:tcBorders>
              <w:top w:val="nil"/>
              <w:left w:val="nil"/>
              <w:bottom w:val="single" w:sz="12" w:space="0" w:color="000000"/>
              <w:right w:val="single" w:sz="12" w:space="0" w:color="000000"/>
            </w:tcBorders>
            <w:shd w:val="clear" w:color="auto" w:fill="FFFFFF"/>
            <w:hideMark/>
          </w:tcPr>
          <w:p w14:paraId="116B0909" w14:textId="77777777" w:rsidR="00C66AA3" w:rsidRPr="00C66AA3" w:rsidRDefault="00C66AA3" w:rsidP="00C66AA3">
            <w:pPr>
              <w:spacing w:before="100" w:beforeAutospacing="1" w:after="100" w:afterAutospacing="1" w:line="240" w:lineRule="auto"/>
              <w:jc w:val="center"/>
              <w:rPr>
                <w:rFonts w:asciiTheme="minorHAnsi" w:hAnsiTheme="minorHAnsi" w:cstheme="minorHAnsi"/>
                <w:color w:val="000000"/>
                <w:lang w:val="en-IN" w:eastAsia="en-IN"/>
              </w:rPr>
            </w:pPr>
            <w:r w:rsidRPr="00C66AA3">
              <w:rPr>
                <w:rFonts w:asciiTheme="minorHAnsi" w:hAnsiTheme="minorHAnsi" w:cstheme="minorHAnsi"/>
                <w:b/>
                <w:bCs/>
                <w:color w:val="000000"/>
                <w:lang w:val="en-IN" w:eastAsia="en-IN"/>
              </w:rPr>
              <w:t>6.1</w:t>
            </w:r>
          </w:p>
        </w:tc>
      </w:tr>
    </w:tbl>
    <w:p w14:paraId="134E729F" w14:textId="2018AAA5" w:rsidR="00721FE0" w:rsidRPr="005E6733" w:rsidRDefault="00721FE0" w:rsidP="00A553B4">
      <w:pPr>
        <w:pStyle w:val="NormalWeb"/>
        <w:shd w:val="clear" w:color="auto" w:fill="FFFFFF"/>
        <w:spacing w:after="150" w:line="276" w:lineRule="auto"/>
        <w:jc w:val="both"/>
        <w:rPr>
          <w:rFonts w:asciiTheme="minorHAnsi" w:hAnsiTheme="minorHAnsi" w:cstheme="minorHAnsi"/>
          <w:b/>
          <w:bCs/>
          <w:sz w:val="22"/>
          <w:szCs w:val="22"/>
        </w:rPr>
      </w:pPr>
      <w:r w:rsidRPr="005E6733">
        <w:rPr>
          <w:rFonts w:asciiTheme="minorHAnsi" w:hAnsiTheme="minorHAnsi" w:cstheme="minorHAnsi"/>
          <w:b/>
          <w:bCs/>
          <w:sz w:val="22"/>
          <w:szCs w:val="22"/>
        </w:rPr>
        <w:t xml:space="preserve">[For further details please refer the </w:t>
      </w:r>
      <w:r w:rsidR="00ED052E">
        <w:rPr>
          <w:rFonts w:asciiTheme="minorHAnsi" w:hAnsiTheme="minorHAnsi" w:cstheme="minorHAnsi"/>
          <w:b/>
          <w:bCs/>
          <w:sz w:val="22"/>
          <w:szCs w:val="22"/>
        </w:rPr>
        <w:t>Notification</w:t>
      </w:r>
      <w:r w:rsidRPr="005E6733">
        <w:rPr>
          <w:rFonts w:asciiTheme="minorHAnsi" w:hAnsiTheme="minorHAnsi" w:cstheme="minorHAnsi"/>
          <w:b/>
          <w:bCs/>
          <w:sz w:val="22"/>
          <w:szCs w:val="22"/>
        </w:rPr>
        <w:t>]</w:t>
      </w:r>
    </w:p>
    <w:p w14:paraId="52AE37D0" w14:textId="77777777" w:rsidR="008A60AA" w:rsidRDefault="008A60AA" w:rsidP="00F4518D">
      <w:pPr>
        <w:spacing w:after="0" w:line="360" w:lineRule="auto"/>
        <w:jc w:val="both"/>
        <w:rPr>
          <w:rFonts w:asciiTheme="minorHAnsi" w:hAnsiTheme="minorHAnsi" w:cstheme="minorHAnsi"/>
          <w:color w:val="333333"/>
          <w:lang w:val="en-IN" w:eastAsia="en-IN"/>
        </w:rPr>
        <w:sectPr w:rsidR="008A60AA" w:rsidSect="00ED052E">
          <w:headerReference w:type="default" r:id="rId39"/>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0EDC0374" w14:textId="77777777" w:rsidR="00CE4178" w:rsidRPr="008A2360" w:rsidRDefault="00CE4178" w:rsidP="00CE4178">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297D237A" w14:textId="77777777" w:rsidR="00CE4178" w:rsidRPr="00AF6801" w:rsidRDefault="00CE4178" w:rsidP="00CE4178">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F83748">
        <w:rPr>
          <w:rFonts w:asciiTheme="minorHAnsi" w:hAnsiTheme="minorHAnsi" w:cstheme="minorHAnsi"/>
          <w:b/>
          <w:bCs/>
          <w:caps/>
          <w:color w:val="000000" w:themeColor="text1"/>
          <w:lang w:val="en-IN"/>
        </w:rPr>
        <w:t>Amendment in Export Policy of Remdesivir Injection and API, Amphotericin-B Injections, Enoxaparin (Formulation and API) and Intra-Venous Immunoglobulin (IVIG) (Formulation and API) </w:t>
      </w:r>
    </w:p>
    <w:p w14:paraId="40C6CAD9" w14:textId="757D3C74" w:rsidR="00CE4178" w:rsidRPr="00F83748" w:rsidRDefault="00CE4178" w:rsidP="00CE4178">
      <w:pPr>
        <w:pStyle w:val="NormalWeb"/>
        <w:spacing w:after="150" w:line="276" w:lineRule="auto"/>
        <w:jc w:val="both"/>
        <w:rPr>
          <w:rFonts w:asciiTheme="minorHAnsi" w:hAnsiTheme="minorHAnsi" w:cstheme="minorHAnsi"/>
          <w:bCs/>
          <w:sz w:val="22"/>
          <w:szCs w:val="22"/>
        </w:rPr>
      </w:pPr>
      <w:r w:rsidRPr="00BD77E9">
        <w:rPr>
          <w:rFonts w:asciiTheme="minorHAnsi" w:hAnsiTheme="minorHAnsi" w:cstheme="minorHAnsi"/>
          <w:b/>
          <w:sz w:val="22"/>
          <w:szCs w:val="22"/>
        </w:rPr>
        <w:t>OUR COMMENTS</w:t>
      </w:r>
      <w:r>
        <w:rPr>
          <w:rFonts w:asciiTheme="minorHAnsi" w:hAnsiTheme="minorHAnsi" w:cstheme="minorHAnsi"/>
          <w:b/>
          <w:sz w:val="22"/>
          <w:szCs w:val="22"/>
        </w:rPr>
        <w:t xml:space="preserve">: </w:t>
      </w:r>
      <w:r w:rsidRPr="00F83748">
        <w:rPr>
          <w:rFonts w:asciiTheme="minorHAnsi" w:hAnsiTheme="minorHAnsi" w:cstheme="minorHAnsi"/>
          <w:bCs/>
          <w:sz w:val="22"/>
          <w:szCs w:val="22"/>
        </w:rPr>
        <w:t>The Central Government vide notification 56/2015-2022 dated 24</w:t>
      </w:r>
      <w:r w:rsidRPr="00F83748">
        <w:rPr>
          <w:rFonts w:asciiTheme="minorHAnsi" w:hAnsiTheme="minorHAnsi" w:cstheme="minorHAnsi"/>
          <w:bCs/>
          <w:sz w:val="22"/>
          <w:szCs w:val="22"/>
          <w:vertAlign w:val="superscript"/>
        </w:rPr>
        <w:t>th</w:t>
      </w:r>
      <w:r w:rsidRPr="00F83748">
        <w:rPr>
          <w:rFonts w:asciiTheme="minorHAnsi" w:hAnsiTheme="minorHAnsi" w:cstheme="minorHAnsi"/>
          <w:bCs/>
          <w:sz w:val="22"/>
          <w:szCs w:val="22"/>
        </w:rPr>
        <w:t xml:space="preserve"> February 2022 hereby ma</w:t>
      </w:r>
      <w:r w:rsidR="00C809CC">
        <w:rPr>
          <w:rFonts w:asciiTheme="minorHAnsi" w:hAnsiTheme="minorHAnsi" w:cstheme="minorHAnsi"/>
          <w:bCs/>
          <w:sz w:val="22"/>
          <w:szCs w:val="22"/>
        </w:rPr>
        <w:t>de</w:t>
      </w:r>
      <w:r w:rsidRPr="00F83748">
        <w:rPr>
          <w:rFonts w:asciiTheme="minorHAnsi" w:hAnsiTheme="minorHAnsi" w:cstheme="minorHAnsi"/>
          <w:bCs/>
          <w:sz w:val="22"/>
          <w:szCs w:val="22"/>
        </w:rPr>
        <w:t xml:space="preserve"> following amendment in Notification No. 08/2015-20 dated 14.06.2021, Notification No. 07/2015-20 dated 01.06.2021 and Notification No. 50/2015-20 dated 10.01.2022 related to export of Remdesivir Injection and API, Amphotericin-B Injections, Enoxaparin (Formulation and API) and Intra-Venous Immunoglobulin (IVIG) (Formulation and API):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26"/>
        <w:gridCol w:w="982"/>
        <w:gridCol w:w="1842"/>
        <w:gridCol w:w="1014"/>
        <w:gridCol w:w="845"/>
      </w:tblGrid>
      <w:tr w:rsidR="00CE4178" w:rsidRPr="00F83748" w14:paraId="39812FC0" w14:textId="77777777" w:rsidTr="002829FB">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hideMark/>
          </w:tcPr>
          <w:p w14:paraId="2560C445"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Sl. No.</w:t>
            </w:r>
          </w:p>
        </w:tc>
        <w:tc>
          <w:tcPr>
            <w:tcW w:w="0" w:type="auto"/>
            <w:tcBorders>
              <w:top w:val="single" w:sz="12" w:space="0" w:color="000000"/>
              <w:left w:val="nil"/>
              <w:bottom w:val="single" w:sz="12" w:space="0" w:color="000000"/>
              <w:right w:val="single" w:sz="12" w:space="0" w:color="000000"/>
            </w:tcBorders>
            <w:shd w:val="clear" w:color="auto" w:fill="FFFFFF"/>
            <w:hideMark/>
          </w:tcPr>
          <w:p w14:paraId="0C5651F4"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ITC HS Codes</w:t>
            </w:r>
          </w:p>
        </w:tc>
        <w:tc>
          <w:tcPr>
            <w:tcW w:w="0" w:type="auto"/>
            <w:tcBorders>
              <w:top w:val="single" w:sz="12" w:space="0" w:color="000000"/>
              <w:left w:val="nil"/>
              <w:bottom w:val="single" w:sz="12" w:space="0" w:color="000000"/>
              <w:right w:val="single" w:sz="12" w:space="0" w:color="000000"/>
            </w:tcBorders>
            <w:shd w:val="clear" w:color="auto" w:fill="FFFFFF"/>
            <w:hideMark/>
          </w:tcPr>
          <w:p w14:paraId="6692AAAC"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Description</w:t>
            </w:r>
          </w:p>
        </w:tc>
        <w:tc>
          <w:tcPr>
            <w:tcW w:w="0" w:type="auto"/>
            <w:tcBorders>
              <w:top w:val="single" w:sz="12" w:space="0" w:color="000000"/>
              <w:left w:val="nil"/>
              <w:bottom w:val="single" w:sz="12" w:space="0" w:color="000000"/>
              <w:right w:val="single" w:sz="12" w:space="0" w:color="000000"/>
            </w:tcBorders>
            <w:shd w:val="clear" w:color="auto" w:fill="FFFFFF"/>
            <w:hideMark/>
          </w:tcPr>
          <w:p w14:paraId="23AA68B2"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Existing Policy</w:t>
            </w:r>
          </w:p>
        </w:tc>
        <w:tc>
          <w:tcPr>
            <w:tcW w:w="0" w:type="auto"/>
            <w:tcBorders>
              <w:top w:val="single" w:sz="12" w:space="0" w:color="000000"/>
              <w:left w:val="nil"/>
              <w:bottom w:val="single" w:sz="12" w:space="0" w:color="000000"/>
              <w:right w:val="single" w:sz="12" w:space="0" w:color="000000"/>
            </w:tcBorders>
            <w:shd w:val="clear" w:color="auto" w:fill="FFFFFF"/>
            <w:hideMark/>
          </w:tcPr>
          <w:p w14:paraId="5B7F30D5"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Revised Policy</w:t>
            </w:r>
          </w:p>
        </w:tc>
      </w:tr>
      <w:tr w:rsidR="00CE4178" w:rsidRPr="00F83748" w14:paraId="78CDD0FF" w14:textId="77777777" w:rsidTr="002829FB">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2C11A075"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207AA</w:t>
            </w:r>
          </w:p>
        </w:tc>
        <w:tc>
          <w:tcPr>
            <w:tcW w:w="0" w:type="auto"/>
            <w:tcBorders>
              <w:top w:val="nil"/>
              <w:left w:val="nil"/>
              <w:bottom w:val="single" w:sz="12" w:space="0" w:color="000000"/>
              <w:right w:val="single" w:sz="12" w:space="0" w:color="000000"/>
            </w:tcBorders>
            <w:shd w:val="clear" w:color="auto" w:fill="FFFFFF"/>
            <w:hideMark/>
          </w:tcPr>
          <w:p w14:paraId="3B457BD3"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Ex 293499</w:t>
            </w:r>
          </w:p>
          <w:p w14:paraId="73AC26E4"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Ex 300490</w:t>
            </w:r>
          </w:p>
        </w:tc>
        <w:tc>
          <w:tcPr>
            <w:tcW w:w="0" w:type="auto"/>
            <w:tcBorders>
              <w:top w:val="nil"/>
              <w:left w:val="nil"/>
              <w:bottom w:val="single" w:sz="12" w:space="0" w:color="000000"/>
              <w:right w:val="single" w:sz="12" w:space="0" w:color="000000"/>
            </w:tcBorders>
            <w:shd w:val="clear" w:color="auto" w:fill="FFFFFF"/>
            <w:hideMark/>
          </w:tcPr>
          <w:p w14:paraId="2E5CDF7B"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Injection Remdesivir and</w:t>
            </w:r>
          </w:p>
          <w:p w14:paraId="3BF645D4"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Remdesivir Active Pharmaceutical</w:t>
            </w:r>
          </w:p>
          <w:p w14:paraId="71E1AF2D"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Ingredients (API)</w:t>
            </w:r>
          </w:p>
        </w:tc>
        <w:tc>
          <w:tcPr>
            <w:tcW w:w="0" w:type="auto"/>
            <w:tcBorders>
              <w:top w:val="nil"/>
              <w:left w:val="nil"/>
              <w:bottom w:val="single" w:sz="12" w:space="0" w:color="000000"/>
              <w:right w:val="single" w:sz="12" w:space="0" w:color="000000"/>
            </w:tcBorders>
            <w:shd w:val="clear" w:color="auto" w:fill="FFFFFF"/>
            <w:hideMark/>
          </w:tcPr>
          <w:p w14:paraId="7A0A5764"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Restricted</w:t>
            </w:r>
          </w:p>
        </w:tc>
        <w:tc>
          <w:tcPr>
            <w:tcW w:w="0" w:type="auto"/>
            <w:tcBorders>
              <w:top w:val="nil"/>
              <w:left w:val="nil"/>
              <w:bottom w:val="single" w:sz="12" w:space="0" w:color="000000"/>
              <w:right w:val="single" w:sz="12" w:space="0" w:color="000000"/>
            </w:tcBorders>
            <w:shd w:val="clear" w:color="auto" w:fill="FFFFFF"/>
            <w:hideMark/>
          </w:tcPr>
          <w:p w14:paraId="79C795E1"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Free</w:t>
            </w:r>
          </w:p>
        </w:tc>
      </w:tr>
      <w:tr w:rsidR="00CE4178" w:rsidRPr="00F83748" w14:paraId="09488122" w14:textId="77777777" w:rsidTr="002829FB">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0AD7B502"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207AB</w:t>
            </w:r>
          </w:p>
        </w:tc>
        <w:tc>
          <w:tcPr>
            <w:tcW w:w="0" w:type="auto"/>
            <w:tcBorders>
              <w:top w:val="nil"/>
              <w:left w:val="nil"/>
              <w:bottom w:val="single" w:sz="12" w:space="0" w:color="000000"/>
              <w:right w:val="single" w:sz="12" w:space="0" w:color="000000"/>
            </w:tcBorders>
            <w:shd w:val="clear" w:color="auto" w:fill="FFFFFF"/>
            <w:hideMark/>
          </w:tcPr>
          <w:p w14:paraId="1047D6A3"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Ex 30049029</w:t>
            </w:r>
          </w:p>
          <w:p w14:paraId="2F01D494"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Ex 30049099</w:t>
            </w:r>
          </w:p>
        </w:tc>
        <w:tc>
          <w:tcPr>
            <w:tcW w:w="0" w:type="auto"/>
            <w:tcBorders>
              <w:top w:val="nil"/>
              <w:left w:val="nil"/>
              <w:bottom w:val="single" w:sz="12" w:space="0" w:color="000000"/>
              <w:right w:val="single" w:sz="12" w:space="0" w:color="000000"/>
            </w:tcBorders>
            <w:shd w:val="clear" w:color="auto" w:fill="FFFFFF"/>
            <w:hideMark/>
          </w:tcPr>
          <w:p w14:paraId="7444EF6E"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Amphotericin – B Injections</w:t>
            </w:r>
          </w:p>
        </w:tc>
        <w:tc>
          <w:tcPr>
            <w:tcW w:w="0" w:type="auto"/>
            <w:tcBorders>
              <w:top w:val="nil"/>
              <w:left w:val="nil"/>
              <w:bottom w:val="single" w:sz="12" w:space="0" w:color="000000"/>
              <w:right w:val="single" w:sz="12" w:space="0" w:color="000000"/>
            </w:tcBorders>
            <w:shd w:val="clear" w:color="auto" w:fill="FFFFFF"/>
            <w:hideMark/>
          </w:tcPr>
          <w:p w14:paraId="13A23B9C"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Restricted</w:t>
            </w:r>
          </w:p>
        </w:tc>
        <w:tc>
          <w:tcPr>
            <w:tcW w:w="0" w:type="auto"/>
            <w:tcBorders>
              <w:top w:val="nil"/>
              <w:left w:val="nil"/>
              <w:bottom w:val="single" w:sz="12" w:space="0" w:color="000000"/>
              <w:right w:val="single" w:sz="12" w:space="0" w:color="000000"/>
            </w:tcBorders>
            <w:shd w:val="clear" w:color="auto" w:fill="FFFFFF"/>
            <w:hideMark/>
          </w:tcPr>
          <w:p w14:paraId="51D591D5"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Free</w:t>
            </w:r>
          </w:p>
        </w:tc>
      </w:tr>
      <w:tr w:rsidR="00CE4178" w:rsidRPr="00F83748" w14:paraId="31D4FB5E" w14:textId="77777777" w:rsidTr="002829FB">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3D8EA648"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207 AE</w:t>
            </w:r>
          </w:p>
        </w:tc>
        <w:tc>
          <w:tcPr>
            <w:tcW w:w="0" w:type="auto"/>
            <w:tcBorders>
              <w:top w:val="nil"/>
              <w:left w:val="nil"/>
              <w:bottom w:val="single" w:sz="12" w:space="0" w:color="000000"/>
              <w:right w:val="single" w:sz="12" w:space="0" w:color="000000"/>
            </w:tcBorders>
            <w:shd w:val="clear" w:color="auto" w:fill="FFFFFF"/>
            <w:hideMark/>
          </w:tcPr>
          <w:p w14:paraId="248DE316"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Ex 2942</w:t>
            </w:r>
          </w:p>
          <w:p w14:paraId="724D8F0B"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Ex 3001</w:t>
            </w:r>
          </w:p>
          <w:p w14:paraId="247580D9"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Ex 3002</w:t>
            </w:r>
          </w:p>
        </w:tc>
        <w:tc>
          <w:tcPr>
            <w:tcW w:w="0" w:type="auto"/>
            <w:tcBorders>
              <w:top w:val="nil"/>
              <w:left w:val="nil"/>
              <w:bottom w:val="single" w:sz="12" w:space="0" w:color="000000"/>
              <w:right w:val="single" w:sz="12" w:space="0" w:color="000000"/>
            </w:tcBorders>
            <w:shd w:val="clear" w:color="auto" w:fill="FFFFFF"/>
            <w:hideMark/>
          </w:tcPr>
          <w:p w14:paraId="4ADCD561"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Enoxaparin</w:t>
            </w:r>
          </w:p>
          <w:p w14:paraId="14F2CE32"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(Formulation and API)</w:t>
            </w:r>
          </w:p>
        </w:tc>
        <w:tc>
          <w:tcPr>
            <w:tcW w:w="0" w:type="auto"/>
            <w:tcBorders>
              <w:top w:val="nil"/>
              <w:left w:val="nil"/>
              <w:bottom w:val="single" w:sz="12" w:space="0" w:color="000000"/>
              <w:right w:val="single" w:sz="12" w:space="0" w:color="000000"/>
            </w:tcBorders>
            <w:shd w:val="clear" w:color="auto" w:fill="FFFFFF"/>
            <w:hideMark/>
          </w:tcPr>
          <w:p w14:paraId="41DD137B"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Restricted</w:t>
            </w:r>
          </w:p>
        </w:tc>
        <w:tc>
          <w:tcPr>
            <w:tcW w:w="0" w:type="auto"/>
            <w:tcBorders>
              <w:top w:val="nil"/>
              <w:left w:val="nil"/>
              <w:bottom w:val="single" w:sz="12" w:space="0" w:color="000000"/>
              <w:right w:val="single" w:sz="12" w:space="0" w:color="000000"/>
            </w:tcBorders>
            <w:shd w:val="clear" w:color="auto" w:fill="FFFFFF"/>
            <w:hideMark/>
          </w:tcPr>
          <w:p w14:paraId="59411BD1"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Free</w:t>
            </w:r>
          </w:p>
        </w:tc>
      </w:tr>
      <w:tr w:rsidR="00CE4178" w:rsidRPr="00F83748" w14:paraId="259D0813" w14:textId="77777777" w:rsidTr="002829FB">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52BC01D7"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207 AF</w:t>
            </w:r>
          </w:p>
        </w:tc>
        <w:tc>
          <w:tcPr>
            <w:tcW w:w="0" w:type="auto"/>
            <w:tcBorders>
              <w:top w:val="nil"/>
              <w:left w:val="nil"/>
              <w:bottom w:val="single" w:sz="12" w:space="0" w:color="000000"/>
              <w:right w:val="single" w:sz="12" w:space="0" w:color="000000"/>
            </w:tcBorders>
            <w:shd w:val="clear" w:color="auto" w:fill="FFFFFF"/>
            <w:hideMark/>
          </w:tcPr>
          <w:p w14:paraId="119F73E5"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Ex 3002</w:t>
            </w:r>
          </w:p>
        </w:tc>
        <w:tc>
          <w:tcPr>
            <w:tcW w:w="0" w:type="auto"/>
            <w:tcBorders>
              <w:top w:val="nil"/>
              <w:left w:val="nil"/>
              <w:bottom w:val="single" w:sz="12" w:space="0" w:color="000000"/>
              <w:right w:val="single" w:sz="12" w:space="0" w:color="000000"/>
            </w:tcBorders>
            <w:shd w:val="clear" w:color="auto" w:fill="FFFFFF"/>
            <w:hideMark/>
          </w:tcPr>
          <w:p w14:paraId="2D2DC30D"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Intra-Venous Immunoglobulin</w:t>
            </w:r>
          </w:p>
          <w:p w14:paraId="4FA09FAA"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(IVIG)</w:t>
            </w:r>
          </w:p>
          <w:p w14:paraId="601A23B5"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(Formulation and API)</w:t>
            </w:r>
          </w:p>
        </w:tc>
        <w:tc>
          <w:tcPr>
            <w:tcW w:w="0" w:type="auto"/>
            <w:tcBorders>
              <w:top w:val="nil"/>
              <w:left w:val="nil"/>
              <w:bottom w:val="single" w:sz="12" w:space="0" w:color="000000"/>
              <w:right w:val="single" w:sz="12" w:space="0" w:color="000000"/>
            </w:tcBorders>
            <w:shd w:val="clear" w:color="auto" w:fill="FFFFFF"/>
            <w:hideMark/>
          </w:tcPr>
          <w:p w14:paraId="65D8C69F"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Restricted</w:t>
            </w:r>
          </w:p>
        </w:tc>
        <w:tc>
          <w:tcPr>
            <w:tcW w:w="0" w:type="auto"/>
            <w:tcBorders>
              <w:top w:val="nil"/>
              <w:left w:val="nil"/>
              <w:bottom w:val="single" w:sz="12" w:space="0" w:color="000000"/>
              <w:right w:val="single" w:sz="12" w:space="0" w:color="000000"/>
            </w:tcBorders>
            <w:shd w:val="clear" w:color="auto" w:fill="FFFFFF"/>
            <w:hideMark/>
          </w:tcPr>
          <w:p w14:paraId="4848A2DE" w14:textId="77777777" w:rsidR="00CE4178" w:rsidRPr="00F83748" w:rsidRDefault="00CE4178" w:rsidP="002829FB">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Free</w:t>
            </w:r>
          </w:p>
        </w:tc>
      </w:tr>
    </w:tbl>
    <w:p w14:paraId="144B8A2F" w14:textId="77777777" w:rsidR="00CE4178" w:rsidRPr="00F83748" w:rsidRDefault="00CE4178" w:rsidP="00CE4178">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2. Effect of this Notification:</w:t>
      </w:r>
    </w:p>
    <w:p w14:paraId="3100F947" w14:textId="77777777" w:rsidR="00CE4178" w:rsidRPr="00F83748" w:rsidRDefault="00CE4178" w:rsidP="00CE4178">
      <w:pPr>
        <w:pStyle w:val="NormalWeb"/>
        <w:spacing w:after="150" w:line="276" w:lineRule="auto"/>
        <w:jc w:val="both"/>
        <w:rPr>
          <w:rFonts w:asciiTheme="minorHAnsi" w:hAnsiTheme="minorHAnsi" w:cstheme="minorHAnsi"/>
          <w:bCs/>
          <w:sz w:val="22"/>
          <w:szCs w:val="22"/>
        </w:rPr>
      </w:pPr>
      <w:r w:rsidRPr="00F83748">
        <w:rPr>
          <w:rFonts w:asciiTheme="minorHAnsi" w:hAnsiTheme="minorHAnsi" w:cstheme="minorHAnsi"/>
          <w:bCs/>
          <w:sz w:val="22"/>
          <w:szCs w:val="22"/>
        </w:rPr>
        <w:t>The export policy of Injection Remdesivir and Remdesivir Active Pharmaceutical Ingredients (API), Amphotericin – B injections, Enoxaparin (Formulation and API) and Intra-Venous Immunoglobulin (IVIG) (Formulation and API) falling under HS code as mentioned above or falling under any other HS code has been made ‘Free’ with immediate effect.</w:t>
      </w:r>
    </w:p>
    <w:p w14:paraId="0D67E838" w14:textId="77777777" w:rsidR="00CE4178" w:rsidRPr="00AF6801" w:rsidRDefault="00CE4178" w:rsidP="00CE4178">
      <w:pPr>
        <w:pStyle w:val="NormalWeb"/>
        <w:spacing w:after="150" w:line="360" w:lineRule="auto"/>
        <w:jc w:val="both"/>
        <w:rPr>
          <w:rFonts w:asciiTheme="minorHAnsi" w:hAnsiTheme="minorHAnsi" w:cstheme="minorHAnsi"/>
        </w:rPr>
      </w:pPr>
      <w:r w:rsidRPr="00BD77E9">
        <w:rPr>
          <w:rFonts w:asciiTheme="minorHAnsi" w:hAnsiTheme="minorHAnsi" w:cstheme="minorHAnsi"/>
          <w:b/>
          <w:bCs/>
          <w:sz w:val="22"/>
          <w:szCs w:val="22"/>
          <w:shd w:val="clear" w:color="auto" w:fill="FFFFFF"/>
        </w:rPr>
        <w:t xml:space="preserve"> [For further details please refer to the </w:t>
      </w:r>
      <w:r>
        <w:rPr>
          <w:rFonts w:asciiTheme="minorHAnsi" w:hAnsiTheme="minorHAnsi" w:cstheme="minorHAnsi"/>
          <w:b/>
          <w:bCs/>
          <w:sz w:val="22"/>
          <w:szCs w:val="22"/>
          <w:shd w:val="clear" w:color="auto" w:fill="FFFFFF"/>
        </w:rPr>
        <w:t>Notification</w:t>
      </w:r>
      <w:r w:rsidRPr="00BD77E9">
        <w:rPr>
          <w:rFonts w:asciiTheme="minorHAnsi" w:hAnsiTheme="minorHAnsi" w:cstheme="minorHAnsi"/>
          <w:b/>
          <w:bCs/>
          <w:sz w:val="22"/>
          <w:szCs w:val="22"/>
          <w:shd w:val="clear" w:color="auto" w:fill="FFFFFF"/>
        </w:rPr>
        <w:t>]</w:t>
      </w:r>
    </w:p>
    <w:p w14:paraId="715478A4" w14:textId="0929422A" w:rsidR="00C864A7" w:rsidRPr="00C864A7" w:rsidRDefault="00C864A7" w:rsidP="00A915BC">
      <w:pPr>
        <w:jc w:val="both"/>
        <w:rPr>
          <w:rFonts w:asciiTheme="minorHAnsi" w:hAnsiTheme="minorHAnsi" w:cstheme="minorHAnsi"/>
          <w:b/>
          <w:bCs/>
        </w:rPr>
      </w:pPr>
    </w:p>
    <w:p w14:paraId="42935819" w14:textId="14D1C7AF" w:rsidR="00C864A7" w:rsidRPr="00C864A7" w:rsidRDefault="00C864A7" w:rsidP="005E6733">
      <w:pPr>
        <w:jc w:val="both"/>
        <w:rPr>
          <w:rFonts w:asciiTheme="minorHAnsi" w:hAnsiTheme="minorHAnsi" w:cstheme="minorHAnsi"/>
          <w:lang w:val="en-IN" w:eastAsia="en-IN"/>
        </w:rPr>
        <w:sectPr w:rsidR="00C864A7" w:rsidRPr="00C864A7" w:rsidSect="00181F0C">
          <w:headerReference w:type="default" r:id="rId40"/>
          <w:pgSz w:w="11909" w:h="16834" w:code="9"/>
          <w:pgMar w:top="1710" w:right="143"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B428263" w14:textId="69752040" w:rsidR="004203B5" w:rsidRPr="00AA76A8" w:rsidRDefault="004203B5" w:rsidP="002C1B00">
      <w:pPr>
        <w:spacing w:after="0" w:line="360" w:lineRule="auto"/>
        <w:jc w:val="both"/>
        <w:rPr>
          <w:rFonts w:asciiTheme="minorHAnsi" w:hAnsiTheme="minorHAnsi" w:cstheme="minorHAnsi"/>
          <w:b/>
        </w:rPr>
        <w:sectPr w:rsidR="004203B5" w:rsidRPr="00AA76A8" w:rsidSect="00421927">
          <w:headerReference w:type="default" r:id="rId4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77777777" w:rsidR="00FE6A2B" w:rsidRPr="00197888" w:rsidRDefault="00FE6A2B" w:rsidP="00FE6A2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0AA062D7"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 8777784162, 9830661254</w:t>
      </w:r>
    </w:p>
    <w:p w14:paraId="3D2EAF07" w14:textId="7F110322"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43"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4"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4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46"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7135AD5E"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DA35D96"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A31023"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4F49EA0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59ADC313"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w:t>
      </w:r>
      <w:r w:rsidR="00D353C6">
        <w:rPr>
          <w:rFonts w:ascii="Bookman Old Style" w:hAnsi="Bookman Old Style" w:cs="Arial"/>
          <w:color w:val="222222"/>
          <w:sz w:val="17"/>
          <w:szCs w:val="17"/>
          <w:bdr w:val="none" w:sz="0" w:space="0" w:color="auto" w:frame="1"/>
        </w:rPr>
        <w:t>8777784162</w:t>
      </w:r>
      <w:r w:rsidR="00937AC4">
        <w:rPr>
          <w:rFonts w:ascii="Bookman Old Style" w:hAnsi="Bookman Old Style" w:cs="Arial"/>
          <w:color w:val="222222"/>
          <w:sz w:val="17"/>
          <w:szCs w:val="17"/>
          <w:bdr w:val="none" w:sz="0" w:space="0" w:color="auto" w:frame="1"/>
        </w:rPr>
        <w:t>,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48"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9"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1"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6508791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11A4B3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54"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55"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58"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59"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61"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62"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63"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66"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67"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70"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71"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proofErr w:type="gramStart"/>
                        <w:r w:rsidRPr="00036377">
                          <w:rPr>
                            <w:rFonts w:ascii="Times New Roman" w:hAnsi="Times New Roman"/>
                            <w:sz w:val="24"/>
                            <w:szCs w:val="24"/>
                          </w:rPr>
                          <w:t>Road;</w:t>
                        </w:r>
                        <w:proofErr w:type="gramEnd"/>
                        <w:r w:rsidRPr="00036377">
                          <w:rPr>
                            <w:rFonts w:ascii="Times New Roman" w:hAnsi="Times New Roman"/>
                            <w:sz w:val="24"/>
                            <w:szCs w:val="24"/>
                          </w:rPr>
                          <w:t xml:space="preserve">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70"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71"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72"/>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9EF19" w14:textId="77777777" w:rsidR="00303C4D" w:rsidRDefault="00303C4D" w:rsidP="008A20D1">
      <w:pPr>
        <w:spacing w:after="0" w:line="240" w:lineRule="auto"/>
      </w:pPr>
      <w:r>
        <w:separator/>
      </w:r>
    </w:p>
  </w:endnote>
  <w:endnote w:type="continuationSeparator" w:id="0">
    <w:p w14:paraId="649956F1" w14:textId="77777777" w:rsidR="00303C4D" w:rsidRDefault="00303C4D"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4ADB6AA5" w14:textId="03690714" w:rsidR="00AC1AD7" w:rsidRPr="0057669E" w:rsidRDefault="00AC1AD7" w:rsidP="00AC1AD7">
                          <w:pPr>
                            <w:spacing w:after="0"/>
                            <w:rPr>
                              <w:rFonts w:ascii="Cambria" w:hAnsi="Cambria"/>
                              <w:b/>
                              <w:color w:val="002060"/>
                              <w:sz w:val="20"/>
                              <w:szCs w:val="20"/>
                            </w:rPr>
                          </w:pPr>
                          <w:r>
                            <w:rPr>
                              <w:rFonts w:ascii="Bookman Old Style" w:hAnsi="Bookman Old Style"/>
                              <w:color w:val="14415C"/>
                              <w:sz w:val="18"/>
                              <w:szCs w:val="18"/>
                            </w:rPr>
                            <w:t>Tax Connect: 340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5E971255" w14:textId="77777777" w:rsidR="00AC1AD7" w:rsidRDefault="00AC1AD7" w:rsidP="00AC1AD7">
                          <w:pPr>
                            <w:spacing w:after="0"/>
                            <w:rPr>
                              <w:rFonts w:ascii="Bookman Old Style" w:hAnsi="Bookman Old Style"/>
                              <w:b/>
                              <w:color w:val="14415C"/>
                              <w:sz w:val="18"/>
                              <w:szCs w:val="18"/>
                            </w:rPr>
                          </w:pPr>
                          <w:r>
                            <w:rPr>
                              <w:rFonts w:ascii="Bookman Old Style" w:hAnsi="Bookman Old Style"/>
                              <w:color w:val="14415C"/>
                              <w:sz w:val="18"/>
                              <w:szCs w:val="18"/>
                            </w:rPr>
                            <w:t>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March 2022- 12</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March 2022</w:t>
                          </w:r>
                        </w:p>
                        <w:p w14:paraId="113C5D3B" w14:textId="64A73146" w:rsidR="00473553" w:rsidRDefault="00473553" w:rsidP="00AC1AD7">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4ADB6AA5" w14:textId="03690714" w:rsidR="00AC1AD7" w:rsidRPr="0057669E" w:rsidRDefault="00AC1AD7" w:rsidP="00AC1AD7">
                    <w:pPr>
                      <w:spacing w:after="0"/>
                      <w:rPr>
                        <w:rFonts w:ascii="Cambria" w:hAnsi="Cambria"/>
                        <w:b/>
                        <w:color w:val="002060"/>
                        <w:sz w:val="20"/>
                        <w:szCs w:val="20"/>
                      </w:rPr>
                    </w:pPr>
                    <w:r>
                      <w:rPr>
                        <w:rFonts w:ascii="Bookman Old Style" w:hAnsi="Bookman Old Style"/>
                        <w:color w:val="14415C"/>
                        <w:sz w:val="18"/>
                        <w:szCs w:val="18"/>
                      </w:rPr>
                      <w:t>Tax Connect: 340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5E971255" w14:textId="77777777" w:rsidR="00AC1AD7" w:rsidRDefault="00AC1AD7" w:rsidP="00AC1AD7">
                    <w:pPr>
                      <w:spacing w:after="0"/>
                      <w:rPr>
                        <w:rFonts w:ascii="Bookman Old Style" w:hAnsi="Bookman Old Style"/>
                        <w:b/>
                        <w:color w:val="14415C"/>
                        <w:sz w:val="18"/>
                        <w:szCs w:val="18"/>
                      </w:rPr>
                    </w:pPr>
                    <w:r>
                      <w:rPr>
                        <w:rFonts w:ascii="Bookman Old Style" w:hAnsi="Bookman Old Style"/>
                        <w:color w:val="14415C"/>
                        <w:sz w:val="18"/>
                        <w:szCs w:val="18"/>
                      </w:rPr>
                      <w:t>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March 2022- 12</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March 2022</w:t>
                    </w:r>
                  </w:p>
                  <w:p w14:paraId="113C5D3B" w14:textId="64A73146" w:rsidR="00473553" w:rsidRDefault="00473553" w:rsidP="00AC1AD7">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1833E414"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AC1AD7">
                            <w:rPr>
                              <w:rFonts w:ascii="Bookman Old Style" w:hAnsi="Bookman Old Style"/>
                              <w:color w:val="14415C"/>
                              <w:sz w:val="18"/>
                              <w:szCs w:val="18"/>
                            </w:rPr>
                            <w:t>40</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64E462EF" w:rsidR="00EE3189" w:rsidRDefault="00AC1AD7" w:rsidP="00EE3189">
                          <w:pPr>
                            <w:spacing w:after="0"/>
                            <w:rPr>
                              <w:rFonts w:ascii="Bookman Old Style" w:hAnsi="Bookman Old Style"/>
                              <w:b/>
                              <w:color w:val="14415C"/>
                              <w:sz w:val="18"/>
                              <w:szCs w:val="18"/>
                            </w:rPr>
                          </w:pPr>
                          <w:r>
                            <w:rPr>
                              <w:rFonts w:ascii="Bookman Old Style" w:hAnsi="Bookman Old Style"/>
                              <w:color w:val="14415C"/>
                              <w:sz w:val="18"/>
                              <w:szCs w:val="18"/>
                            </w:rPr>
                            <w:t>6</w:t>
                          </w:r>
                          <w:r w:rsidR="00A75CC6">
                            <w:rPr>
                              <w:rFonts w:ascii="Bookman Old Style" w:hAnsi="Bookman Old Style"/>
                              <w:color w:val="14415C"/>
                              <w:sz w:val="18"/>
                              <w:szCs w:val="18"/>
                              <w:vertAlign w:val="superscript"/>
                            </w:rPr>
                            <w:t>th</w:t>
                          </w:r>
                          <w:r w:rsidR="00A75CC6">
                            <w:rPr>
                              <w:rFonts w:ascii="Bookman Old Style" w:hAnsi="Bookman Old Style"/>
                              <w:color w:val="14415C"/>
                              <w:sz w:val="18"/>
                              <w:szCs w:val="18"/>
                            </w:rPr>
                            <w:t xml:space="preserve"> </w:t>
                          </w:r>
                          <w:r>
                            <w:rPr>
                              <w:rFonts w:ascii="Bookman Old Style" w:hAnsi="Bookman Old Style"/>
                              <w:color w:val="14415C"/>
                              <w:sz w:val="18"/>
                              <w:szCs w:val="18"/>
                            </w:rPr>
                            <w:t>March</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12</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w:t>
                          </w:r>
                          <w:r w:rsidR="00A553B4">
                            <w:rPr>
                              <w:rFonts w:ascii="Bookman Old Style" w:hAnsi="Bookman Old Style"/>
                              <w:color w:val="14415C"/>
                              <w:sz w:val="18"/>
                              <w:szCs w:val="18"/>
                            </w:rPr>
                            <w:t>March</w:t>
                          </w:r>
                          <w:r w:rsidR="00136D62">
                            <w:rPr>
                              <w:rFonts w:ascii="Bookman Old Style" w:hAnsi="Bookman Old Style"/>
                              <w:color w:val="14415C"/>
                              <w:sz w:val="18"/>
                              <w:szCs w:val="18"/>
                            </w:rPr>
                            <w:t xml:space="preserve">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1833E414"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AC1AD7">
                      <w:rPr>
                        <w:rFonts w:ascii="Bookman Old Style" w:hAnsi="Bookman Old Style"/>
                        <w:color w:val="14415C"/>
                        <w:sz w:val="18"/>
                        <w:szCs w:val="18"/>
                      </w:rPr>
                      <w:t>40</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64E462EF" w:rsidR="00EE3189" w:rsidRDefault="00AC1AD7" w:rsidP="00EE3189">
                    <w:pPr>
                      <w:spacing w:after="0"/>
                      <w:rPr>
                        <w:rFonts w:ascii="Bookman Old Style" w:hAnsi="Bookman Old Style"/>
                        <w:b/>
                        <w:color w:val="14415C"/>
                        <w:sz w:val="18"/>
                        <w:szCs w:val="18"/>
                      </w:rPr>
                    </w:pPr>
                    <w:r>
                      <w:rPr>
                        <w:rFonts w:ascii="Bookman Old Style" w:hAnsi="Bookman Old Style"/>
                        <w:color w:val="14415C"/>
                        <w:sz w:val="18"/>
                        <w:szCs w:val="18"/>
                      </w:rPr>
                      <w:t>6</w:t>
                    </w:r>
                    <w:r w:rsidR="00A75CC6">
                      <w:rPr>
                        <w:rFonts w:ascii="Bookman Old Style" w:hAnsi="Bookman Old Style"/>
                        <w:color w:val="14415C"/>
                        <w:sz w:val="18"/>
                        <w:szCs w:val="18"/>
                        <w:vertAlign w:val="superscript"/>
                      </w:rPr>
                      <w:t>th</w:t>
                    </w:r>
                    <w:r w:rsidR="00A75CC6">
                      <w:rPr>
                        <w:rFonts w:ascii="Bookman Old Style" w:hAnsi="Bookman Old Style"/>
                        <w:color w:val="14415C"/>
                        <w:sz w:val="18"/>
                        <w:szCs w:val="18"/>
                      </w:rPr>
                      <w:t xml:space="preserve"> </w:t>
                    </w:r>
                    <w:r>
                      <w:rPr>
                        <w:rFonts w:ascii="Bookman Old Style" w:hAnsi="Bookman Old Style"/>
                        <w:color w:val="14415C"/>
                        <w:sz w:val="18"/>
                        <w:szCs w:val="18"/>
                      </w:rPr>
                      <w:t>March</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12</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w:t>
                    </w:r>
                    <w:r w:rsidR="00A553B4">
                      <w:rPr>
                        <w:rFonts w:ascii="Bookman Old Style" w:hAnsi="Bookman Old Style"/>
                        <w:color w:val="14415C"/>
                        <w:sz w:val="18"/>
                        <w:szCs w:val="18"/>
                      </w:rPr>
                      <w:t>March</w:t>
                    </w:r>
                    <w:r w:rsidR="00136D62">
                      <w:rPr>
                        <w:rFonts w:ascii="Bookman Old Style" w:hAnsi="Bookman Old Style"/>
                        <w:color w:val="14415C"/>
                        <w:sz w:val="18"/>
                        <w:szCs w:val="18"/>
                      </w:rPr>
                      <w:t xml:space="preserve">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7D1A47EE" w14:textId="77777777" w:rsidR="00AC1AD7" w:rsidRPr="0057669E" w:rsidRDefault="00AC1AD7" w:rsidP="00AC1AD7">
                          <w:pPr>
                            <w:spacing w:after="0"/>
                            <w:rPr>
                              <w:rFonts w:ascii="Cambria" w:hAnsi="Cambria"/>
                              <w:b/>
                              <w:color w:val="002060"/>
                              <w:sz w:val="20"/>
                              <w:szCs w:val="20"/>
                            </w:rPr>
                          </w:pPr>
                          <w:r>
                            <w:rPr>
                              <w:rFonts w:ascii="Bookman Old Style" w:hAnsi="Bookman Old Style"/>
                              <w:color w:val="14415C"/>
                              <w:sz w:val="18"/>
                              <w:szCs w:val="18"/>
                            </w:rPr>
                            <w:t>Tax Connect: 340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74467F2D" w14:textId="77777777" w:rsidR="00AC1AD7" w:rsidRDefault="00AC1AD7" w:rsidP="00AC1AD7">
                          <w:pPr>
                            <w:spacing w:after="0"/>
                            <w:rPr>
                              <w:rFonts w:ascii="Bookman Old Style" w:hAnsi="Bookman Old Style"/>
                              <w:b/>
                              <w:color w:val="14415C"/>
                              <w:sz w:val="18"/>
                              <w:szCs w:val="18"/>
                            </w:rPr>
                          </w:pPr>
                          <w:r>
                            <w:rPr>
                              <w:rFonts w:ascii="Bookman Old Style" w:hAnsi="Bookman Old Style"/>
                              <w:color w:val="14415C"/>
                              <w:sz w:val="18"/>
                              <w:szCs w:val="18"/>
                            </w:rPr>
                            <w:t>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March 2022- 12</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March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7D1A47EE" w14:textId="77777777" w:rsidR="00AC1AD7" w:rsidRPr="0057669E" w:rsidRDefault="00AC1AD7" w:rsidP="00AC1AD7">
                    <w:pPr>
                      <w:spacing w:after="0"/>
                      <w:rPr>
                        <w:rFonts w:ascii="Cambria" w:hAnsi="Cambria"/>
                        <w:b/>
                        <w:color w:val="002060"/>
                        <w:sz w:val="20"/>
                        <w:szCs w:val="20"/>
                      </w:rPr>
                    </w:pPr>
                    <w:r>
                      <w:rPr>
                        <w:rFonts w:ascii="Bookman Old Style" w:hAnsi="Bookman Old Style"/>
                        <w:color w:val="14415C"/>
                        <w:sz w:val="18"/>
                        <w:szCs w:val="18"/>
                      </w:rPr>
                      <w:t>Tax Connect: 340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74467F2D" w14:textId="77777777" w:rsidR="00AC1AD7" w:rsidRDefault="00AC1AD7" w:rsidP="00AC1AD7">
                    <w:pPr>
                      <w:spacing w:after="0"/>
                      <w:rPr>
                        <w:rFonts w:ascii="Bookman Old Style" w:hAnsi="Bookman Old Style"/>
                        <w:b/>
                        <w:color w:val="14415C"/>
                        <w:sz w:val="18"/>
                        <w:szCs w:val="18"/>
                      </w:rPr>
                    </w:pPr>
                    <w:r>
                      <w:rPr>
                        <w:rFonts w:ascii="Bookman Old Style" w:hAnsi="Bookman Old Style"/>
                        <w:color w:val="14415C"/>
                        <w:sz w:val="18"/>
                        <w:szCs w:val="18"/>
                      </w:rPr>
                      <w:t>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March 2022- 12</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March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23EE5" w14:textId="77777777" w:rsidR="00303C4D" w:rsidRDefault="00303C4D" w:rsidP="008A20D1">
      <w:pPr>
        <w:spacing w:after="0" w:line="240" w:lineRule="auto"/>
      </w:pPr>
      <w:r>
        <w:separator/>
      </w:r>
    </w:p>
  </w:footnote>
  <w:footnote w:type="continuationSeparator" w:id="0">
    <w:p w14:paraId="1C7E270C" w14:textId="77777777" w:rsidR="00303C4D" w:rsidRDefault="00303C4D"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509"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510" name="Picture 51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B3CE" w14:textId="76991036" w:rsidR="00721FE0" w:rsidRDefault="00721FE0">
    <w:pPr>
      <w:pStyle w:val="Header"/>
    </w:pPr>
    <w:r>
      <w:rPr>
        <w:noProof/>
        <w:lang w:val="en-IN" w:eastAsia="en-IN"/>
      </w:rPr>
      <w:drawing>
        <wp:anchor distT="0" distB="0" distL="114300" distR="114300" simplePos="0" relativeHeight="251796992" behindDoc="0" locked="0" layoutInCell="1" allowOverlap="1" wp14:anchorId="7C23F7D6" wp14:editId="0AE7D783">
          <wp:simplePos x="0" y="0"/>
          <wp:positionH relativeFrom="column">
            <wp:posOffset>974725</wp:posOffset>
          </wp:positionH>
          <wp:positionV relativeFrom="paragraph">
            <wp:posOffset>40005</wp:posOffset>
          </wp:positionV>
          <wp:extent cx="2298700" cy="266700"/>
          <wp:effectExtent l="0" t="0" r="6350" b="0"/>
          <wp:wrapNone/>
          <wp:docPr id="4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01088" behindDoc="1" locked="0" layoutInCell="1" allowOverlap="1" wp14:anchorId="7B437F59" wp14:editId="6779737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3" name="Picture 4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8016" behindDoc="0" locked="0" layoutInCell="1" allowOverlap="1" wp14:anchorId="394F7911" wp14:editId="38E45D0A">
          <wp:simplePos x="0" y="0"/>
          <wp:positionH relativeFrom="column">
            <wp:posOffset>6537325</wp:posOffset>
          </wp:positionH>
          <wp:positionV relativeFrom="paragraph">
            <wp:posOffset>9525</wp:posOffset>
          </wp:positionV>
          <wp:extent cx="695325" cy="266700"/>
          <wp:effectExtent l="19050" t="0" r="9525" b="0"/>
          <wp:wrapSquare wrapText="bothSides"/>
          <wp:docPr id="5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9040" behindDoc="0" locked="0" layoutInCell="0" allowOverlap="1" wp14:anchorId="0B7956FA" wp14:editId="0762DBDB">
              <wp:simplePos x="0" y="0"/>
              <wp:positionH relativeFrom="page">
                <wp:posOffset>29845</wp:posOffset>
              </wp:positionH>
              <wp:positionV relativeFrom="page">
                <wp:posOffset>322580</wp:posOffset>
              </wp:positionV>
              <wp:extent cx="7825740" cy="553085"/>
              <wp:effectExtent l="19050" t="19050" r="22860" b="374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8FAAB54"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B7956FA" id="Rectangle 54" o:spid="_x0000_s1096" style="position:absolute;margin-left:2.35pt;margin-top:25.4pt;width:616.2pt;height:43.55pt;flip:x;z-index:2517990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18FAAB54" w14:textId="77777777" w:rsidR="00721FE0" w:rsidRPr="005D4A2C" w:rsidRDefault="00721FE0" w:rsidP="006E314A">
                    <w:pPr>
                      <w:rPr>
                        <w:szCs w:val="44"/>
                      </w:rPr>
                    </w:pPr>
                  </w:p>
                </w:txbxContent>
              </v:textbox>
              <w10:wrap anchorx="page" anchory="page"/>
            </v:rect>
          </w:pict>
        </mc:Fallback>
      </mc:AlternateContent>
    </w:r>
  </w:p>
  <w:p w14:paraId="6356D374" w14:textId="6E2B39B6" w:rsidR="00721FE0" w:rsidRDefault="00EC5D17">
    <w:pPr>
      <w:pStyle w:val="Header"/>
    </w:pPr>
    <w:r>
      <w:rPr>
        <w:noProof/>
      </w:rPr>
      <mc:AlternateContent>
        <mc:Choice Requires="wps">
          <w:drawing>
            <wp:anchor distT="0" distB="0" distL="114300" distR="114300" simplePos="0" relativeHeight="251800064" behindDoc="0" locked="0" layoutInCell="1" allowOverlap="1" wp14:anchorId="0F0885C0" wp14:editId="4BF76D5C">
              <wp:simplePos x="0" y="0"/>
              <wp:positionH relativeFrom="column">
                <wp:posOffset>1710055</wp:posOffset>
              </wp:positionH>
              <wp:positionV relativeFrom="paragraph">
                <wp:posOffset>97790</wp:posOffset>
              </wp:positionV>
              <wp:extent cx="3877310" cy="424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885C0" id="_x0000_t202" coordsize="21600,21600" o:spt="202" path="m,l,21600r21600,l21600,xe">
              <v:stroke joinstyle="miter"/>
              <v:path gradientshapeok="t" o:connecttype="rect"/>
            </v:shapetype>
            <v:shape id="Text Box 53" o:spid="_x0000_s1097" type="#_x0000_t202" style="position:absolute;margin-left:134.65pt;margin-top:7.7pt;width:305.3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14FAFF61" w14:textId="77777777" w:rsidR="00721FE0" w:rsidRDefault="00721F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20" name="Picture 2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4" name="Picture 2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2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8"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2E2F1B25" w:rsidR="008A60AA" w:rsidRDefault="008A60A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9"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6D6B0EB8" w14:textId="2E2F1B25" w:rsidR="008A60AA" w:rsidRDefault="008A60A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p w14:paraId="32CAF1C8" w14:textId="77777777" w:rsidR="008A60AA" w:rsidRDefault="008A60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41" name="Picture 41"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4" name="Picture 4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4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8660EA4">
              <wp:simplePos x="0" y="0"/>
              <wp:positionH relativeFrom="column">
                <wp:posOffset>2151380</wp:posOffset>
              </wp:positionH>
              <wp:positionV relativeFrom="paragraph">
                <wp:posOffset>45720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9.4pt;margin-top:3.6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k2acRFgIAABYEAAAOAAAAAAAAAAAAAAAAAC4CAABkcnMvZTJvRG9jLnhtbFBLAQItABQABgAI&#10;AAAAIQCox/Ds3gAAAAgBAAAPAAAAAAAAAAAAAAAAAHAEAABkcnMvZG93bnJldi54bWxQSwUGAAAA&#10;AAQABADzAAAAewUAAAAA&#10;" fillcolor="#4e8542" stroked="f">
              <v:textbo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27" name="Picture 2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8" name="Picture 2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2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732DB1D9">
              <wp:simplePos x="0" y="0"/>
              <wp:positionH relativeFrom="column">
                <wp:posOffset>2151380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69.4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6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63" name="Picture 6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49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833C3D"/>
    <w:multiLevelType w:val="multilevel"/>
    <w:tmpl w:val="48F8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3274C"/>
    <w:multiLevelType w:val="hybridMultilevel"/>
    <w:tmpl w:val="7BB07E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6063A6"/>
    <w:multiLevelType w:val="multilevel"/>
    <w:tmpl w:val="5EBC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F04DF"/>
    <w:multiLevelType w:val="multilevel"/>
    <w:tmpl w:val="01D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32A99"/>
    <w:multiLevelType w:val="hybridMultilevel"/>
    <w:tmpl w:val="A6F480A4"/>
    <w:lvl w:ilvl="0" w:tplc="BFE6554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DA8725F"/>
    <w:multiLevelType w:val="multilevel"/>
    <w:tmpl w:val="E00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AB78F7"/>
    <w:multiLevelType w:val="multilevel"/>
    <w:tmpl w:val="F6FC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A13C4F"/>
    <w:multiLevelType w:val="hybridMultilevel"/>
    <w:tmpl w:val="C4D0FEC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89265F0"/>
    <w:multiLevelType w:val="multilevel"/>
    <w:tmpl w:val="03FAF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6237441"/>
    <w:multiLevelType w:val="hybridMultilevel"/>
    <w:tmpl w:val="BDDC408C"/>
    <w:lvl w:ilvl="0" w:tplc="8CAAD9B6">
      <w:start w:val="1"/>
      <w:numFmt w:val="decimal"/>
      <w:lvlText w:val="%1."/>
      <w:lvlJc w:val="left"/>
      <w:pPr>
        <w:ind w:left="720" w:hanging="360"/>
      </w:pPr>
      <w:rPr>
        <w:rFonts w:asciiTheme="minorHAnsi" w:hAnsiTheme="minorHAnsi" w:cs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FA124CF"/>
    <w:multiLevelType w:val="hybridMultilevel"/>
    <w:tmpl w:val="B15ED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23F0CF2"/>
    <w:multiLevelType w:val="multilevel"/>
    <w:tmpl w:val="98C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84B76"/>
    <w:multiLevelType w:val="multilevel"/>
    <w:tmpl w:val="396422CA"/>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lowerRoman"/>
      <w:lvlText w:val="%2."/>
      <w:lvlJc w:val="right"/>
      <w:pPr>
        <w:tabs>
          <w:tab w:val="num" w:pos="1440"/>
        </w:tabs>
        <w:ind w:left="1440" w:hanging="360"/>
      </w:pPr>
      <w:rPr>
        <w:rFonts w:asciiTheme="minorHAnsi" w:eastAsia="Times New Roman" w:hAnsiTheme="minorHAnsi" w:cstheme="minorHAnsi"/>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B733B9"/>
    <w:multiLevelType w:val="multilevel"/>
    <w:tmpl w:val="019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053727"/>
    <w:multiLevelType w:val="multilevel"/>
    <w:tmpl w:val="2ADE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7F1D1F"/>
    <w:multiLevelType w:val="hybridMultilevel"/>
    <w:tmpl w:val="38FA30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689536C"/>
    <w:multiLevelType w:val="multilevel"/>
    <w:tmpl w:val="1692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272AB"/>
    <w:multiLevelType w:val="multilevel"/>
    <w:tmpl w:val="B88A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735614"/>
    <w:multiLevelType w:val="multilevel"/>
    <w:tmpl w:val="3A8445AE"/>
    <w:lvl w:ilvl="0">
      <w:start w:val="1"/>
      <w:numFmt w:val="upperRoman"/>
      <w:lvlText w:val="%1."/>
      <w:lvlJc w:val="right"/>
      <w:pPr>
        <w:tabs>
          <w:tab w:val="num" w:pos="720"/>
        </w:tabs>
        <w:ind w:left="720" w:hanging="360"/>
      </w:pPr>
    </w:lvl>
    <w:lvl w:ilvl="1">
      <w:start w:val="1"/>
      <w:numFmt w:val="decimal"/>
      <w:lvlText w:val="%2."/>
      <w:lvlJc w:val="left"/>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6D8E3737"/>
    <w:multiLevelType w:val="multilevel"/>
    <w:tmpl w:val="032043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6D9C3B86"/>
    <w:multiLevelType w:val="multilevel"/>
    <w:tmpl w:val="76AE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C458E1"/>
    <w:multiLevelType w:val="multilevel"/>
    <w:tmpl w:val="1330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4B1584"/>
    <w:multiLevelType w:val="multilevel"/>
    <w:tmpl w:val="2DB24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0"/>
  </w:num>
  <w:num w:numId="3">
    <w:abstractNumId w:val="24"/>
  </w:num>
  <w:num w:numId="4">
    <w:abstractNumId w:val="9"/>
  </w:num>
  <w:num w:numId="5">
    <w:abstractNumId w:val="6"/>
  </w:num>
  <w:num w:numId="6">
    <w:abstractNumId w:val="15"/>
  </w:num>
  <w:num w:numId="7">
    <w:abstractNumId w:val="3"/>
  </w:num>
  <w:num w:numId="8">
    <w:abstractNumId w:val="16"/>
  </w:num>
  <w:num w:numId="9">
    <w:abstractNumId w:val="11"/>
  </w:num>
  <w:num w:numId="10">
    <w:abstractNumId w:val="10"/>
  </w:num>
  <w:num w:numId="11">
    <w:abstractNumId w:val="22"/>
  </w:num>
  <w:num w:numId="12">
    <w:abstractNumId w:val="23"/>
  </w:num>
  <w:num w:numId="13">
    <w:abstractNumId w:val="4"/>
  </w:num>
  <w:num w:numId="14">
    <w:abstractNumId w:val="5"/>
  </w:num>
  <w:num w:numId="15">
    <w:abstractNumId w:val="19"/>
  </w:num>
  <w:num w:numId="16">
    <w:abstractNumId w:val="7"/>
  </w:num>
  <w:num w:numId="17">
    <w:abstractNumId w:val="12"/>
  </w:num>
  <w:num w:numId="18">
    <w:abstractNumId w:val="18"/>
  </w:num>
  <w:num w:numId="19">
    <w:abstractNumId w:val="2"/>
  </w:num>
  <w:num w:numId="20">
    <w:abstractNumId w:val="17"/>
  </w:num>
  <w:num w:numId="21">
    <w:abstractNumId w:val="14"/>
  </w:num>
  <w:num w:numId="22">
    <w:abstractNumId w:val="8"/>
  </w:num>
  <w:num w:numId="23">
    <w:abstractNumId w:val="21"/>
  </w:num>
  <w:num w:numId="24">
    <w:abstractNumId w:val="13"/>
  </w:num>
  <w:num w:numId="2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CD7"/>
    <w:rsid w:val="00011FCD"/>
    <w:rsid w:val="000122D7"/>
    <w:rsid w:val="000124A5"/>
    <w:rsid w:val="000126DF"/>
    <w:rsid w:val="000126EC"/>
    <w:rsid w:val="00012896"/>
    <w:rsid w:val="00012B86"/>
    <w:rsid w:val="00012DEB"/>
    <w:rsid w:val="00012FB3"/>
    <w:rsid w:val="000132A2"/>
    <w:rsid w:val="0001396E"/>
    <w:rsid w:val="00013974"/>
    <w:rsid w:val="00013C5C"/>
    <w:rsid w:val="00013C80"/>
    <w:rsid w:val="00013EA2"/>
    <w:rsid w:val="00013FB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6F"/>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1D8"/>
    <w:rsid w:val="0005565C"/>
    <w:rsid w:val="00055E41"/>
    <w:rsid w:val="00056139"/>
    <w:rsid w:val="0005617E"/>
    <w:rsid w:val="00056270"/>
    <w:rsid w:val="00056352"/>
    <w:rsid w:val="00056577"/>
    <w:rsid w:val="00056B80"/>
    <w:rsid w:val="00056C91"/>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2F"/>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2E"/>
    <w:rsid w:val="000D506E"/>
    <w:rsid w:val="000D538B"/>
    <w:rsid w:val="000D53B2"/>
    <w:rsid w:val="000D59C3"/>
    <w:rsid w:val="000D6371"/>
    <w:rsid w:val="000D6395"/>
    <w:rsid w:val="000D6628"/>
    <w:rsid w:val="000D6D17"/>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5AE"/>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1F0C"/>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6EF0"/>
    <w:rsid w:val="00197014"/>
    <w:rsid w:val="00197154"/>
    <w:rsid w:val="001971D7"/>
    <w:rsid w:val="001971EF"/>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946"/>
    <w:rsid w:val="001C2BF1"/>
    <w:rsid w:val="001C2BFE"/>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A7"/>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07F72"/>
    <w:rsid w:val="00210002"/>
    <w:rsid w:val="00210188"/>
    <w:rsid w:val="00210255"/>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5089"/>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B7"/>
    <w:rsid w:val="002A571B"/>
    <w:rsid w:val="002A5735"/>
    <w:rsid w:val="002A5A45"/>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FC"/>
    <w:rsid w:val="002E1629"/>
    <w:rsid w:val="002E168E"/>
    <w:rsid w:val="002E1CCB"/>
    <w:rsid w:val="002E1E49"/>
    <w:rsid w:val="002E206A"/>
    <w:rsid w:val="002E268D"/>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10"/>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83"/>
    <w:rsid w:val="002F5448"/>
    <w:rsid w:val="002F58A1"/>
    <w:rsid w:val="002F5AF9"/>
    <w:rsid w:val="002F6009"/>
    <w:rsid w:val="002F60D1"/>
    <w:rsid w:val="002F6573"/>
    <w:rsid w:val="002F67E8"/>
    <w:rsid w:val="002F6861"/>
    <w:rsid w:val="002F6A09"/>
    <w:rsid w:val="002F6CC0"/>
    <w:rsid w:val="002F6D25"/>
    <w:rsid w:val="002F6D82"/>
    <w:rsid w:val="002F6D8E"/>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2F35"/>
    <w:rsid w:val="0030362A"/>
    <w:rsid w:val="00303997"/>
    <w:rsid w:val="00303C4D"/>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B69"/>
    <w:rsid w:val="00316C6D"/>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77A"/>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D0"/>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09B"/>
    <w:rsid w:val="003835ED"/>
    <w:rsid w:val="00383680"/>
    <w:rsid w:val="00383741"/>
    <w:rsid w:val="0038379E"/>
    <w:rsid w:val="003838F3"/>
    <w:rsid w:val="00384687"/>
    <w:rsid w:val="003846DA"/>
    <w:rsid w:val="003846EC"/>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21"/>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73B"/>
    <w:rsid w:val="003C18B9"/>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0E"/>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62"/>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2E6"/>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1E7"/>
    <w:rsid w:val="004122EB"/>
    <w:rsid w:val="004125DC"/>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6C00"/>
    <w:rsid w:val="004574A2"/>
    <w:rsid w:val="004575E8"/>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AAA"/>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1808"/>
    <w:rsid w:val="004A197B"/>
    <w:rsid w:val="004A1C11"/>
    <w:rsid w:val="004A1D4F"/>
    <w:rsid w:val="004A1E83"/>
    <w:rsid w:val="004A1E86"/>
    <w:rsid w:val="004A2487"/>
    <w:rsid w:val="004A29D4"/>
    <w:rsid w:val="004A30E7"/>
    <w:rsid w:val="004A320F"/>
    <w:rsid w:val="004A33E7"/>
    <w:rsid w:val="004A35D3"/>
    <w:rsid w:val="004A3B4C"/>
    <w:rsid w:val="004A3BDD"/>
    <w:rsid w:val="004A3EE5"/>
    <w:rsid w:val="004A3F6D"/>
    <w:rsid w:val="004A4199"/>
    <w:rsid w:val="004A420B"/>
    <w:rsid w:val="004A4506"/>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17"/>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6E3"/>
    <w:rsid w:val="004F683F"/>
    <w:rsid w:val="004F712B"/>
    <w:rsid w:val="004F724A"/>
    <w:rsid w:val="004F72D6"/>
    <w:rsid w:val="004F7393"/>
    <w:rsid w:val="004F75EE"/>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81B"/>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7E4"/>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15"/>
    <w:rsid w:val="005230EF"/>
    <w:rsid w:val="00523197"/>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433"/>
    <w:rsid w:val="00536775"/>
    <w:rsid w:val="00536824"/>
    <w:rsid w:val="00536C02"/>
    <w:rsid w:val="00536E14"/>
    <w:rsid w:val="00536FAA"/>
    <w:rsid w:val="0053703E"/>
    <w:rsid w:val="00537124"/>
    <w:rsid w:val="005372AC"/>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DD4"/>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66"/>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A3F"/>
    <w:rsid w:val="005A3BBF"/>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8EE"/>
    <w:rsid w:val="005D2A83"/>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251"/>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45"/>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721"/>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B8A"/>
    <w:rsid w:val="00675D22"/>
    <w:rsid w:val="006763DB"/>
    <w:rsid w:val="0067665C"/>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5FA7"/>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737"/>
    <w:rsid w:val="006D7A45"/>
    <w:rsid w:val="006D7A47"/>
    <w:rsid w:val="006D7B4F"/>
    <w:rsid w:val="006D7B90"/>
    <w:rsid w:val="006D7E3F"/>
    <w:rsid w:val="006E037D"/>
    <w:rsid w:val="006E0399"/>
    <w:rsid w:val="006E0A74"/>
    <w:rsid w:val="006E0E2C"/>
    <w:rsid w:val="006E0E38"/>
    <w:rsid w:val="006E10CD"/>
    <w:rsid w:val="006E114C"/>
    <w:rsid w:val="006E121F"/>
    <w:rsid w:val="006E13A2"/>
    <w:rsid w:val="006E1529"/>
    <w:rsid w:val="006E1544"/>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39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1EDE"/>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426"/>
    <w:rsid w:val="0078187E"/>
    <w:rsid w:val="00781886"/>
    <w:rsid w:val="00781F7D"/>
    <w:rsid w:val="007820FD"/>
    <w:rsid w:val="007821BD"/>
    <w:rsid w:val="00782367"/>
    <w:rsid w:val="00782430"/>
    <w:rsid w:val="007826AE"/>
    <w:rsid w:val="00782733"/>
    <w:rsid w:val="00782B38"/>
    <w:rsid w:val="00782CCB"/>
    <w:rsid w:val="00782F73"/>
    <w:rsid w:val="00782FC0"/>
    <w:rsid w:val="00782FFE"/>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AA2"/>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A50"/>
    <w:rsid w:val="007C5BB2"/>
    <w:rsid w:val="007C5EF9"/>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DBB"/>
    <w:rsid w:val="007F4E2D"/>
    <w:rsid w:val="007F4E52"/>
    <w:rsid w:val="007F4E66"/>
    <w:rsid w:val="007F5104"/>
    <w:rsid w:val="007F5F28"/>
    <w:rsid w:val="007F5FB2"/>
    <w:rsid w:val="007F63B8"/>
    <w:rsid w:val="007F63D7"/>
    <w:rsid w:val="007F683F"/>
    <w:rsid w:val="007F6DAC"/>
    <w:rsid w:val="007F6DC8"/>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1C2"/>
    <w:rsid w:val="00801266"/>
    <w:rsid w:val="0080132C"/>
    <w:rsid w:val="0080172D"/>
    <w:rsid w:val="008018A6"/>
    <w:rsid w:val="008024D9"/>
    <w:rsid w:val="00802E7E"/>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1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5D2"/>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2C61"/>
    <w:rsid w:val="00873462"/>
    <w:rsid w:val="008737A7"/>
    <w:rsid w:val="008740AC"/>
    <w:rsid w:val="00874210"/>
    <w:rsid w:val="008749A3"/>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60"/>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B7"/>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5A3"/>
    <w:rsid w:val="008F15FE"/>
    <w:rsid w:val="008F16C2"/>
    <w:rsid w:val="008F18D7"/>
    <w:rsid w:val="008F1CB9"/>
    <w:rsid w:val="008F1D12"/>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5EF"/>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58C"/>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967"/>
    <w:rsid w:val="009A1CCF"/>
    <w:rsid w:val="009A1CD9"/>
    <w:rsid w:val="009A2644"/>
    <w:rsid w:val="009A2922"/>
    <w:rsid w:val="009A2BDE"/>
    <w:rsid w:val="009A2EA6"/>
    <w:rsid w:val="009A2F7A"/>
    <w:rsid w:val="009A2FCD"/>
    <w:rsid w:val="009A3076"/>
    <w:rsid w:val="009A30CB"/>
    <w:rsid w:val="009A322A"/>
    <w:rsid w:val="009A36A3"/>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A7FD0"/>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06"/>
    <w:rsid w:val="009D294A"/>
    <w:rsid w:val="009D29D8"/>
    <w:rsid w:val="009D2BE3"/>
    <w:rsid w:val="009D30E6"/>
    <w:rsid w:val="009D3118"/>
    <w:rsid w:val="009D3302"/>
    <w:rsid w:val="009D36E7"/>
    <w:rsid w:val="009D3702"/>
    <w:rsid w:val="009D3703"/>
    <w:rsid w:val="009D3900"/>
    <w:rsid w:val="009D3C5C"/>
    <w:rsid w:val="009D4040"/>
    <w:rsid w:val="009D45D4"/>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D52"/>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ADA"/>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4E"/>
    <w:rsid w:val="00A045E1"/>
    <w:rsid w:val="00A049D5"/>
    <w:rsid w:val="00A04B8B"/>
    <w:rsid w:val="00A04C19"/>
    <w:rsid w:val="00A04DBD"/>
    <w:rsid w:val="00A059E6"/>
    <w:rsid w:val="00A05A55"/>
    <w:rsid w:val="00A060FE"/>
    <w:rsid w:val="00A066A5"/>
    <w:rsid w:val="00A0688C"/>
    <w:rsid w:val="00A06B92"/>
    <w:rsid w:val="00A06C24"/>
    <w:rsid w:val="00A06CC9"/>
    <w:rsid w:val="00A06DAF"/>
    <w:rsid w:val="00A07173"/>
    <w:rsid w:val="00A0717F"/>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5CA"/>
    <w:rsid w:val="00A165E8"/>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91D"/>
    <w:rsid w:val="00A3553F"/>
    <w:rsid w:val="00A355A7"/>
    <w:rsid w:val="00A35C33"/>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4E"/>
    <w:rsid w:val="00A43B6A"/>
    <w:rsid w:val="00A43B73"/>
    <w:rsid w:val="00A43C63"/>
    <w:rsid w:val="00A43F53"/>
    <w:rsid w:val="00A4445D"/>
    <w:rsid w:val="00A44921"/>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CC6"/>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0EA"/>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AD7"/>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46"/>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A69"/>
    <w:rsid w:val="00AE2CE3"/>
    <w:rsid w:val="00AE2DDF"/>
    <w:rsid w:val="00AE2F08"/>
    <w:rsid w:val="00AE2F9A"/>
    <w:rsid w:val="00AE30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808"/>
    <w:rsid w:val="00B2490F"/>
    <w:rsid w:val="00B249C9"/>
    <w:rsid w:val="00B24A8E"/>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DDC"/>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0F3"/>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9A9"/>
    <w:rsid w:val="00B46B98"/>
    <w:rsid w:val="00B46F84"/>
    <w:rsid w:val="00B46FAF"/>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7A"/>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7E9"/>
    <w:rsid w:val="00BD7956"/>
    <w:rsid w:val="00BD7A52"/>
    <w:rsid w:val="00BD7B08"/>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828"/>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EE6"/>
    <w:rsid w:val="00C775EF"/>
    <w:rsid w:val="00C77768"/>
    <w:rsid w:val="00C77966"/>
    <w:rsid w:val="00C77B90"/>
    <w:rsid w:val="00C77F82"/>
    <w:rsid w:val="00C77FAA"/>
    <w:rsid w:val="00C804EF"/>
    <w:rsid w:val="00C809CC"/>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2EB0"/>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4A7"/>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0B1"/>
    <w:rsid w:val="00CB54F3"/>
    <w:rsid w:val="00CB54FA"/>
    <w:rsid w:val="00CB58EC"/>
    <w:rsid w:val="00CB5B4C"/>
    <w:rsid w:val="00CB5BB1"/>
    <w:rsid w:val="00CB5C54"/>
    <w:rsid w:val="00CB62BB"/>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8"/>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37E"/>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753"/>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2D65"/>
    <w:rsid w:val="00DD301F"/>
    <w:rsid w:val="00DD326F"/>
    <w:rsid w:val="00DD3D22"/>
    <w:rsid w:val="00DD3DDB"/>
    <w:rsid w:val="00DD44A4"/>
    <w:rsid w:val="00DD49B8"/>
    <w:rsid w:val="00DD4C3B"/>
    <w:rsid w:val="00DD4DF2"/>
    <w:rsid w:val="00DD4E47"/>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6"/>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112"/>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2E20"/>
    <w:rsid w:val="00E73704"/>
    <w:rsid w:val="00E73863"/>
    <w:rsid w:val="00E739EE"/>
    <w:rsid w:val="00E73A71"/>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7F8"/>
    <w:rsid w:val="00EC2842"/>
    <w:rsid w:val="00EC2A6B"/>
    <w:rsid w:val="00EC2A71"/>
    <w:rsid w:val="00EC2D1B"/>
    <w:rsid w:val="00EC30EC"/>
    <w:rsid w:val="00EC3216"/>
    <w:rsid w:val="00EC335C"/>
    <w:rsid w:val="00EC33AD"/>
    <w:rsid w:val="00EC3473"/>
    <w:rsid w:val="00EC34F8"/>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148"/>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3C6"/>
    <w:rsid w:val="00ED2763"/>
    <w:rsid w:val="00ED3263"/>
    <w:rsid w:val="00ED33EC"/>
    <w:rsid w:val="00ED35F7"/>
    <w:rsid w:val="00ED3845"/>
    <w:rsid w:val="00ED38C8"/>
    <w:rsid w:val="00ED3C05"/>
    <w:rsid w:val="00ED3EFE"/>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0DFD"/>
    <w:rsid w:val="00EE11CB"/>
    <w:rsid w:val="00EE1268"/>
    <w:rsid w:val="00EE138F"/>
    <w:rsid w:val="00EE152C"/>
    <w:rsid w:val="00EE15A0"/>
    <w:rsid w:val="00EE1670"/>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CF9"/>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787"/>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5CE"/>
    <w:rsid w:val="00F4679A"/>
    <w:rsid w:val="00F467AD"/>
    <w:rsid w:val="00F4691A"/>
    <w:rsid w:val="00F46A71"/>
    <w:rsid w:val="00F46CA6"/>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22"/>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F6"/>
    <w:rsid w:val="00FB3B3D"/>
    <w:rsid w:val="00FB4009"/>
    <w:rsid w:val="00FB40D2"/>
    <w:rsid w:val="00FB425C"/>
    <w:rsid w:val="00FB4541"/>
    <w:rsid w:val="00FB495A"/>
    <w:rsid w:val="00FB4A1C"/>
    <w:rsid w:val="00FB4BAD"/>
    <w:rsid w:val="00FB4E87"/>
    <w:rsid w:val="00FB4EA2"/>
    <w:rsid w:val="00FB4ED1"/>
    <w:rsid w:val="00FB5665"/>
    <w:rsid w:val="00FB56C1"/>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168"/>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3768"/>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664"/>
    <w:rsid w:val="00FE1777"/>
    <w:rsid w:val="00FE1BF3"/>
    <w:rsid w:val="00FE1EF5"/>
    <w:rsid w:val="00FE2275"/>
    <w:rsid w:val="00FE253B"/>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2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taxconnect.co.in" TargetMode="External"/><Relationship Id="rId21" Type="http://schemas.openxmlformats.org/officeDocument/2006/relationships/header" Target="header1.xml"/><Relationship Id="rId42" Type="http://schemas.openxmlformats.org/officeDocument/2006/relationships/image" Target="media/image11.jpeg"/><Relationship Id="rId47" Type="http://schemas.openxmlformats.org/officeDocument/2006/relationships/image" Target="media/image12.jpeg"/><Relationship Id="rId63" Type="http://schemas.openxmlformats.org/officeDocument/2006/relationships/hyperlink" Target="mailto:poonam.khemka@taxconnectdelhi.co.in" TargetMode="External"/><Relationship Id="rId6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30.jpeg"/><Relationship Id="rId29" Type="http://schemas.openxmlformats.org/officeDocument/2006/relationships/header" Target="header3.xml"/><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header" Target="header5.xml"/><Relationship Id="rId37" Type="http://schemas.openxmlformats.org/officeDocument/2006/relationships/footer" Target="footer3.xml"/><Relationship Id="rId40" Type="http://schemas.openxmlformats.org/officeDocument/2006/relationships/header" Target="header12.xml"/><Relationship Id="rId45" Type="http://schemas.openxmlformats.org/officeDocument/2006/relationships/hyperlink" Target="http://www.bookcorporation.com/" TargetMode="External"/><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image" Target="media/image25.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poonam.khemka@taxconnectdelhi.co.in" TargetMode="External"/><Relationship Id="rId19" Type="http://schemas.openxmlformats.org/officeDocument/2006/relationships/image" Target="media/image60.emf"/><Relationship Id="rId14" Type="http://schemas.openxmlformats.org/officeDocument/2006/relationships/image" Target="media/image13.jpeg"/><Relationship Id="rId22" Type="http://schemas.openxmlformats.org/officeDocument/2006/relationships/footer" Target="footer1.xml"/><Relationship Id="rId27" Type="http://schemas.openxmlformats.org/officeDocument/2006/relationships/hyperlink" Target="http://www.taxconnect.co.in" TargetMode="External"/><Relationship Id="rId30" Type="http://schemas.openxmlformats.org/officeDocument/2006/relationships/image" Target="media/image10.jpeg"/><Relationship Id="rId35" Type="http://schemas.openxmlformats.org/officeDocument/2006/relationships/header" Target="header8.xml"/><Relationship Id="rId43" Type="http://schemas.openxmlformats.org/officeDocument/2006/relationships/hyperlink" Target="mailto:bookcorporation@gmail.com" TargetMode="External"/><Relationship Id="rId48" Type="http://schemas.openxmlformats.org/officeDocument/2006/relationships/hyperlink" Target="mailto:bookcorporation@gmail.com" TargetMode="External"/><Relationship Id="rId56" Type="http://schemas.openxmlformats.org/officeDocument/2006/relationships/image" Target="media/image17.png"/><Relationship Id="rId64" Type="http://schemas.openxmlformats.org/officeDocument/2006/relationships/image" Target="media/image23.png"/><Relationship Id="rId69" Type="http://schemas.openxmlformats.org/officeDocument/2006/relationships/image" Target="media/image28.png"/><Relationship Id="rId8" Type="http://schemas.openxmlformats.org/officeDocument/2006/relationships/image" Target="media/image1.jpeg"/><Relationship Id="rId51" Type="http://schemas.openxmlformats.org/officeDocument/2006/relationships/hyperlink" Target="http://www.taxconnect.co.in/" TargetMode="External"/><Relationship Id="rId72" Type="http://schemas.openxmlformats.org/officeDocument/2006/relationships/header" Target="header1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40.jpeg"/><Relationship Id="rId25" Type="http://schemas.openxmlformats.org/officeDocument/2006/relationships/hyperlink" Target="http://www.taxconnect.co.in" TargetMode="External"/><Relationship Id="rId33" Type="http://schemas.openxmlformats.org/officeDocument/2006/relationships/header" Target="header6.xml"/><Relationship Id="rId38" Type="http://schemas.openxmlformats.org/officeDocument/2006/relationships/header" Target="header10.xml"/><Relationship Id="rId46" Type="http://schemas.openxmlformats.org/officeDocument/2006/relationships/hyperlink" Target="http://www.taxconnect.co.in/" TargetMode="External"/><Relationship Id="rId59" Type="http://schemas.openxmlformats.org/officeDocument/2006/relationships/image" Target="media/image20.png"/><Relationship Id="rId67" Type="http://schemas.openxmlformats.org/officeDocument/2006/relationships/image" Target="media/image26.png"/><Relationship Id="rId20" Type="http://schemas.openxmlformats.org/officeDocument/2006/relationships/image" Target="media/image7.png"/><Relationship Id="rId41" Type="http://schemas.openxmlformats.org/officeDocument/2006/relationships/header" Target="header13.xml"/><Relationship Id="rId54" Type="http://schemas.openxmlformats.org/officeDocument/2006/relationships/image" Target="media/image15.png"/><Relationship Id="rId62" Type="http://schemas.openxmlformats.org/officeDocument/2006/relationships/image" Target="media/image22.png"/><Relationship Id="rId70"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0.jpeg"/><Relationship Id="rId23" Type="http://schemas.openxmlformats.org/officeDocument/2006/relationships/header" Target="header2.xml"/><Relationship Id="rId28" Type="http://schemas.openxmlformats.org/officeDocument/2006/relationships/hyperlink" Target="mailto:info@taxconnect.co.in" TargetMode="External"/><Relationship Id="rId36" Type="http://schemas.openxmlformats.org/officeDocument/2006/relationships/header" Target="header9.xml"/><Relationship Id="rId49" Type="http://schemas.openxmlformats.org/officeDocument/2006/relationships/hyperlink" Target="mailto:info@taxconnect.co.in" TargetMode="External"/><Relationship Id="rId57" Type="http://schemas.openxmlformats.org/officeDocument/2006/relationships/image" Target="media/image18.png"/><Relationship Id="rId10" Type="http://schemas.openxmlformats.org/officeDocument/2006/relationships/image" Target="media/image3.jpeg"/><Relationship Id="rId31" Type="http://schemas.openxmlformats.org/officeDocument/2006/relationships/header" Target="header4.xml"/><Relationship Id="rId44" Type="http://schemas.openxmlformats.org/officeDocument/2006/relationships/hyperlink" Target="mailto:info@taxconnect.co.in" TargetMode="External"/><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image" Target="media/image24.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50.png"/><Relationship Id="rId39" Type="http://schemas.openxmlformats.org/officeDocument/2006/relationships/header" Target="header11.xml"/><Relationship Id="rId34" Type="http://schemas.openxmlformats.org/officeDocument/2006/relationships/header" Target="header7.xml"/><Relationship Id="rId50" Type="http://schemas.openxmlformats.org/officeDocument/2006/relationships/hyperlink" Target="http://www.bookcorporation.com/" TargetMode="External"/><Relationship Id="rId55" Type="http://schemas.openxmlformats.org/officeDocument/2006/relationships/image" Target="media/image16.png"/><Relationship Id="rId7" Type="http://schemas.openxmlformats.org/officeDocument/2006/relationships/endnotes" Target="endnotes.xml"/><Relationship Id="rId71"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12</Pages>
  <Words>3745</Words>
  <Characters>21350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46</cp:revision>
  <cp:lastPrinted>2021-10-22T22:05:00Z</cp:lastPrinted>
  <dcterms:created xsi:type="dcterms:W3CDTF">2022-03-04T06:12:00Z</dcterms:created>
  <dcterms:modified xsi:type="dcterms:W3CDTF">2022-03-05T07:59:00Z</dcterms:modified>
</cp:coreProperties>
</file>