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1F569C7C"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w:t>
                            </w:r>
                            <w:r w:rsidR="00B649A3">
                              <w:rPr>
                                <w:rFonts w:ascii="Comic Sans MS" w:hAnsi="Comic Sans MS"/>
                                <w:color w:val="FFFFFF" w:themeColor="background1"/>
                                <w:sz w:val="24"/>
                                <w:szCs w:val="24"/>
                              </w:rPr>
                              <w:t>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B649A3">
                              <w:rPr>
                                <w:rFonts w:ascii="Comic Sans MS" w:hAnsi="Comic Sans MS"/>
                                <w:color w:val="FFFFFF" w:themeColor="background1"/>
                                <w:sz w:val="24"/>
                                <w:szCs w:val="24"/>
                              </w:rPr>
                              <w:t>13</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1</w:t>
                            </w:r>
                            <w:r w:rsidR="00B649A3">
                              <w:rPr>
                                <w:rFonts w:ascii="Comic Sans MS" w:hAnsi="Comic Sans MS"/>
                                <w:color w:val="FFFFFF" w:themeColor="background1"/>
                                <w:sz w:val="24"/>
                                <w:szCs w:val="24"/>
                              </w:rPr>
                              <w:t>9</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1F569C7C"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w:t>
                      </w:r>
                      <w:r w:rsidR="00B649A3">
                        <w:rPr>
                          <w:rFonts w:ascii="Comic Sans MS" w:hAnsi="Comic Sans MS"/>
                          <w:color w:val="FFFFFF" w:themeColor="background1"/>
                          <w:sz w:val="24"/>
                          <w:szCs w:val="24"/>
                        </w:rPr>
                        <w:t>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B649A3">
                        <w:rPr>
                          <w:rFonts w:ascii="Comic Sans MS" w:hAnsi="Comic Sans MS"/>
                          <w:color w:val="FFFFFF" w:themeColor="background1"/>
                          <w:sz w:val="24"/>
                          <w:szCs w:val="24"/>
                        </w:rPr>
                        <w:t>13</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1</w:t>
                      </w:r>
                      <w:r w:rsidR="00B649A3">
                        <w:rPr>
                          <w:rFonts w:ascii="Comic Sans MS" w:hAnsi="Comic Sans MS"/>
                          <w:color w:val="FFFFFF" w:themeColor="background1"/>
                          <w:sz w:val="24"/>
                          <w:szCs w:val="24"/>
                        </w:rPr>
                        <w:t>9</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19"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0"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1"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2"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657C16CA"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6D7AF23" w14:textId="059FDAF0" w:rsidR="007456C2" w:rsidRPr="007456C2" w:rsidRDefault="007456C2" w:rsidP="007456C2">
      <w:pPr>
        <w:tabs>
          <w:tab w:val="left" w:pos="4820"/>
        </w:tabs>
        <w:spacing w:line="312" w:lineRule="auto"/>
        <w:contextualSpacing/>
        <w:jc w:val="both"/>
        <w:rPr>
          <w:rFonts w:asciiTheme="minorHAnsi" w:hAnsiTheme="minorHAnsi" w:cstheme="minorHAnsi"/>
          <w:color w:val="000000"/>
          <w:lang w:val="en-IN"/>
        </w:rPr>
      </w:pPr>
      <w:r>
        <w:rPr>
          <w:rFonts w:asciiTheme="minorHAnsi" w:hAnsiTheme="minorHAnsi" w:cstheme="minorHAnsi"/>
          <w:color w:val="000000"/>
          <w:lang w:val="en-IN"/>
        </w:rPr>
        <w:t xml:space="preserve">The newly proposed </w:t>
      </w:r>
      <w:r w:rsidRPr="007456C2">
        <w:rPr>
          <w:rFonts w:asciiTheme="minorHAnsi" w:hAnsiTheme="minorHAnsi" w:cstheme="minorHAnsi"/>
          <w:color w:val="000000"/>
          <w:lang w:val="en-IN"/>
        </w:rPr>
        <w:t xml:space="preserve">Section 194R </w:t>
      </w:r>
      <w:r>
        <w:rPr>
          <w:rFonts w:asciiTheme="minorHAnsi" w:hAnsiTheme="minorHAnsi" w:cstheme="minorHAnsi"/>
          <w:color w:val="000000"/>
          <w:lang w:val="en-IN"/>
        </w:rPr>
        <w:t xml:space="preserve">of the Income Tax Act </w:t>
      </w:r>
      <w:r w:rsidRPr="007456C2">
        <w:rPr>
          <w:rFonts w:asciiTheme="minorHAnsi" w:hAnsiTheme="minorHAnsi" w:cstheme="minorHAnsi"/>
          <w:color w:val="000000"/>
          <w:lang w:val="en-IN"/>
        </w:rPr>
        <w:t>in its present form would be a big compliance challenge for businesses as there are multiple types of perquisites &amp; benefits which are extended to their dealers/ distributors/agents/</w:t>
      </w:r>
      <w:r>
        <w:rPr>
          <w:rFonts w:asciiTheme="minorHAnsi" w:hAnsiTheme="minorHAnsi" w:cstheme="minorHAnsi"/>
          <w:color w:val="000000"/>
          <w:lang w:val="en-IN"/>
        </w:rPr>
        <w:t xml:space="preserve"> </w:t>
      </w:r>
      <w:r w:rsidRPr="007456C2">
        <w:rPr>
          <w:rFonts w:asciiTheme="minorHAnsi" w:hAnsiTheme="minorHAnsi" w:cstheme="minorHAnsi"/>
          <w:color w:val="000000"/>
          <w:lang w:val="en-IN"/>
        </w:rPr>
        <w:t>channel partners etc with the objective of incentivizing and motivating them for the growth of business</w:t>
      </w:r>
      <w:r>
        <w:rPr>
          <w:rFonts w:asciiTheme="minorHAnsi" w:hAnsiTheme="minorHAnsi" w:cstheme="minorHAnsi"/>
          <w:color w:val="000000"/>
          <w:lang w:val="en-IN"/>
        </w:rPr>
        <w:t xml:space="preserve"> in the form of </w:t>
      </w:r>
      <w:r w:rsidRPr="007456C2">
        <w:rPr>
          <w:rFonts w:asciiTheme="minorHAnsi" w:hAnsiTheme="minorHAnsi" w:cstheme="minorHAnsi"/>
          <w:color w:val="000000"/>
          <w:lang w:val="en-IN"/>
        </w:rPr>
        <w:t>Travel packages</w:t>
      </w:r>
      <w:r>
        <w:rPr>
          <w:rFonts w:asciiTheme="minorHAnsi" w:hAnsiTheme="minorHAnsi" w:cstheme="minorHAnsi"/>
          <w:color w:val="000000"/>
          <w:lang w:val="en-IN"/>
        </w:rPr>
        <w:t>/</w:t>
      </w:r>
      <w:r w:rsidRPr="007456C2">
        <w:rPr>
          <w:rFonts w:asciiTheme="minorHAnsi" w:hAnsiTheme="minorHAnsi" w:cstheme="minorHAnsi"/>
          <w:color w:val="000000"/>
          <w:lang w:val="en-IN"/>
        </w:rPr>
        <w:t xml:space="preserve"> Gift Cards/</w:t>
      </w:r>
      <w:r>
        <w:rPr>
          <w:rFonts w:asciiTheme="minorHAnsi" w:hAnsiTheme="minorHAnsi" w:cstheme="minorHAnsi"/>
          <w:color w:val="000000"/>
          <w:lang w:val="en-IN"/>
        </w:rPr>
        <w:t xml:space="preserve"> Gift </w:t>
      </w:r>
      <w:r w:rsidRPr="007456C2">
        <w:rPr>
          <w:rFonts w:asciiTheme="minorHAnsi" w:hAnsiTheme="minorHAnsi" w:cstheme="minorHAnsi"/>
          <w:color w:val="000000"/>
          <w:lang w:val="en-IN"/>
        </w:rPr>
        <w:t>vouchers</w:t>
      </w:r>
      <w:r>
        <w:rPr>
          <w:rFonts w:asciiTheme="minorHAnsi" w:hAnsiTheme="minorHAnsi" w:cstheme="minorHAnsi"/>
          <w:color w:val="000000"/>
          <w:lang w:val="en-IN"/>
        </w:rPr>
        <w:t xml:space="preserve">/ </w:t>
      </w:r>
      <w:r w:rsidRPr="007456C2">
        <w:rPr>
          <w:rFonts w:asciiTheme="minorHAnsi" w:hAnsiTheme="minorHAnsi" w:cstheme="minorHAnsi"/>
          <w:color w:val="000000"/>
          <w:lang w:val="en-IN"/>
        </w:rPr>
        <w:t>Gold Coins/ etc</w:t>
      </w:r>
      <w:r>
        <w:rPr>
          <w:rFonts w:asciiTheme="minorHAnsi" w:hAnsiTheme="minorHAnsi" w:cstheme="minorHAnsi"/>
          <w:color w:val="000000"/>
          <w:lang w:val="en-IN"/>
        </w:rPr>
        <w:t>.</w:t>
      </w:r>
    </w:p>
    <w:p w14:paraId="2FFFD5E3" w14:textId="77777777" w:rsidR="007456C2" w:rsidRPr="00A0454E" w:rsidRDefault="007456C2" w:rsidP="007456C2">
      <w:pPr>
        <w:spacing w:after="0" w:line="360" w:lineRule="auto"/>
        <w:jc w:val="both"/>
        <w:rPr>
          <w:rFonts w:asciiTheme="minorHAnsi" w:hAnsiTheme="minorHAnsi" w:cstheme="minorHAnsi"/>
          <w:color w:val="000000"/>
          <w:lang w:val="en-IN"/>
        </w:rPr>
      </w:pPr>
    </w:p>
    <w:p w14:paraId="0E718019" w14:textId="66C5FD88" w:rsidR="00A0454E" w:rsidRDefault="007456C2" w:rsidP="00A0454E">
      <w:pPr>
        <w:tabs>
          <w:tab w:val="left" w:pos="4820"/>
        </w:tabs>
        <w:spacing w:line="312" w:lineRule="auto"/>
        <w:contextualSpacing/>
        <w:jc w:val="both"/>
        <w:rPr>
          <w:rFonts w:asciiTheme="minorHAnsi" w:hAnsiTheme="minorHAnsi" w:cstheme="minorHAnsi"/>
          <w:i/>
          <w:iCs/>
        </w:rPr>
      </w:pPr>
      <w:r>
        <w:rPr>
          <w:rFonts w:asciiTheme="minorHAnsi" w:hAnsiTheme="minorHAnsi" w:cstheme="minorHAnsi"/>
        </w:rPr>
        <w:t>F</w:t>
      </w:r>
      <w:r w:rsidR="00A0454E" w:rsidRPr="00BB74B5">
        <w:rPr>
          <w:rFonts w:asciiTheme="minorHAnsi" w:hAnsiTheme="minorHAnsi" w:cstheme="minorHAnsi"/>
        </w:rPr>
        <w:t>inance Bill 2022 has proposed to insert Section 194R in the Income Tax Act, 1961</w:t>
      </w:r>
      <w:r w:rsidR="00A0454E">
        <w:rPr>
          <w:rFonts w:asciiTheme="minorHAnsi" w:hAnsiTheme="minorHAnsi" w:cstheme="minorHAnsi"/>
        </w:rPr>
        <w:t xml:space="preserve"> with </w:t>
      </w:r>
      <w:r w:rsidR="00A0454E" w:rsidRPr="00A0454E">
        <w:rPr>
          <w:rFonts w:asciiTheme="minorHAnsi" w:hAnsiTheme="minorHAnsi" w:cstheme="minorHAnsi"/>
        </w:rPr>
        <w:t>effect from 1st July 2022</w:t>
      </w:r>
      <w:r w:rsidR="00A0454E">
        <w:rPr>
          <w:rFonts w:asciiTheme="minorHAnsi" w:hAnsiTheme="minorHAnsi" w:cstheme="minorHAnsi"/>
        </w:rPr>
        <w:t>.</w:t>
      </w:r>
      <w:r w:rsidR="009C64B0">
        <w:rPr>
          <w:rFonts w:asciiTheme="minorHAnsi" w:hAnsiTheme="minorHAnsi" w:cstheme="minorHAnsi"/>
        </w:rPr>
        <w:t xml:space="preserve"> </w:t>
      </w:r>
      <w:r w:rsidR="00A0454E" w:rsidRPr="00A0454E">
        <w:rPr>
          <w:rFonts w:asciiTheme="minorHAnsi" w:hAnsiTheme="minorHAnsi" w:cstheme="minorHAnsi"/>
        </w:rPr>
        <w:t xml:space="preserve">Hon’ble Finance Minister in her budget speech has stated while introducing this provision that </w:t>
      </w:r>
      <w:r w:rsidR="00A0454E" w:rsidRPr="00BB74B5">
        <w:rPr>
          <w:rFonts w:asciiTheme="minorHAnsi" w:hAnsiTheme="minorHAnsi" w:cstheme="minorHAnsi"/>
          <w:i/>
          <w:iCs/>
        </w:rPr>
        <w:t xml:space="preserve">“It has been noticed that as a business promotion strategy, there is a tendency on businesses to pass on benefits to their agents. Such benefits are taxable in the hands of the agents. </w:t>
      </w:r>
      <w:proofErr w:type="gramStart"/>
      <w:r w:rsidR="00A0454E" w:rsidRPr="00BB74B5">
        <w:rPr>
          <w:rFonts w:asciiTheme="minorHAnsi" w:hAnsiTheme="minorHAnsi" w:cstheme="minorHAnsi"/>
          <w:i/>
          <w:iCs/>
        </w:rPr>
        <w:t>In order to</w:t>
      </w:r>
      <w:proofErr w:type="gramEnd"/>
      <w:r w:rsidR="00A0454E" w:rsidRPr="00BB74B5">
        <w:rPr>
          <w:rFonts w:asciiTheme="minorHAnsi" w:hAnsiTheme="minorHAnsi" w:cstheme="minorHAnsi"/>
          <w:i/>
          <w:iCs/>
        </w:rPr>
        <w:t xml:space="preserve"> track such transactions, I propose to provide for tax deduction by the person giving benefits, if the aggregate value of such benefits exceeds Rs.20,000 during the financial year.”</w:t>
      </w:r>
    </w:p>
    <w:p w14:paraId="549C2C09" w14:textId="34863746" w:rsidR="009C64B0" w:rsidRDefault="009C64B0" w:rsidP="00A0454E">
      <w:pPr>
        <w:tabs>
          <w:tab w:val="left" w:pos="4820"/>
        </w:tabs>
        <w:spacing w:line="312" w:lineRule="auto"/>
        <w:contextualSpacing/>
        <w:jc w:val="both"/>
        <w:rPr>
          <w:rFonts w:asciiTheme="minorHAnsi" w:hAnsiTheme="minorHAnsi" w:cstheme="minorHAnsi"/>
          <w:i/>
          <w:iCs/>
        </w:rPr>
      </w:pPr>
    </w:p>
    <w:p w14:paraId="39FD485E" w14:textId="77777777" w:rsidR="009C64B0" w:rsidRDefault="009C64B0" w:rsidP="00A0454E">
      <w:pPr>
        <w:tabs>
          <w:tab w:val="left" w:pos="4820"/>
        </w:tabs>
        <w:spacing w:line="312" w:lineRule="auto"/>
        <w:contextualSpacing/>
        <w:jc w:val="both"/>
        <w:rPr>
          <w:rFonts w:asciiTheme="minorHAnsi" w:hAnsiTheme="minorHAnsi" w:cstheme="minorHAnsi"/>
        </w:rPr>
      </w:pPr>
      <w:r w:rsidRPr="00BB74B5">
        <w:rPr>
          <w:rFonts w:asciiTheme="minorHAnsi" w:hAnsiTheme="minorHAnsi" w:cstheme="minorHAnsi"/>
        </w:rPr>
        <w:t xml:space="preserve">As per memorandum explaining the Finance Bill, following has been stated regarding the proposed section: </w:t>
      </w:r>
    </w:p>
    <w:p w14:paraId="334BF52E" w14:textId="642D5406" w:rsidR="00A0454E" w:rsidRPr="009C64B0" w:rsidRDefault="009C64B0" w:rsidP="00A0454E">
      <w:pPr>
        <w:tabs>
          <w:tab w:val="left" w:pos="4820"/>
        </w:tabs>
        <w:spacing w:line="312" w:lineRule="auto"/>
        <w:contextualSpacing/>
        <w:jc w:val="both"/>
        <w:rPr>
          <w:rFonts w:asciiTheme="minorHAnsi" w:hAnsiTheme="minorHAnsi" w:cstheme="minorHAnsi"/>
          <w:i/>
          <w:iCs/>
        </w:rPr>
      </w:pPr>
      <w:r w:rsidRPr="009C64B0">
        <w:rPr>
          <w:rFonts w:asciiTheme="minorHAnsi" w:hAnsiTheme="minorHAnsi" w:cstheme="minorHAnsi"/>
          <w:i/>
          <w:iCs/>
        </w:rPr>
        <w:t xml:space="preserve">As per clause (iv) of section 28 of the Act, the value of any benefit or perquisite, whether convertible into money or not, arising from business or exercise of profession is to be charged as business income in the hands of the recipient of such benefit or perquisite. In many cases, such recipient does not report the receipt of benefits in their return of income, leading to furnishing of incorrect particulars of </w:t>
      </w:r>
      <w:r w:rsidRPr="009C64B0">
        <w:rPr>
          <w:rFonts w:asciiTheme="minorHAnsi" w:hAnsiTheme="minorHAnsi" w:cstheme="minorHAnsi"/>
          <w:i/>
          <w:iCs/>
        </w:rPr>
        <w:t xml:space="preserve">income. This amendment will take effect from 1st </w:t>
      </w:r>
      <w:proofErr w:type="gramStart"/>
      <w:r w:rsidRPr="009C64B0">
        <w:rPr>
          <w:rFonts w:asciiTheme="minorHAnsi" w:hAnsiTheme="minorHAnsi" w:cstheme="minorHAnsi"/>
          <w:i/>
          <w:iCs/>
        </w:rPr>
        <w:t>July,</w:t>
      </w:r>
      <w:proofErr w:type="gramEnd"/>
      <w:r w:rsidRPr="009C64B0">
        <w:rPr>
          <w:rFonts w:asciiTheme="minorHAnsi" w:hAnsiTheme="minorHAnsi" w:cstheme="minorHAnsi"/>
          <w:i/>
          <w:iCs/>
        </w:rPr>
        <w:t xml:space="preserve"> 2022.</w:t>
      </w:r>
    </w:p>
    <w:p w14:paraId="1F9970A0" w14:textId="77777777" w:rsidR="009C64B0" w:rsidRPr="00BB74B5" w:rsidRDefault="009C64B0" w:rsidP="00A0454E">
      <w:pPr>
        <w:tabs>
          <w:tab w:val="left" w:pos="4820"/>
        </w:tabs>
        <w:spacing w:line="312" w:lineRule="auto"/>
        <w:contextualSpacing/>
        <w:jc w:val="both"/>
        <w:rPr>
          <w:rFonts w:asciiTheme="minorHAnsi" w:hAnsiTheme="minorHAnsi" w:cstheme="minorHAnsi"/>
          <w:i/>
          <w:iCs/>
        </w:rPr>
      </w:pPr>
    </w:p>
    <w:p w14:paraId="3C3D96C3" w14:textId="3EAD2E89" w:rsidR="007456C2" w:rsidRDefault="007456C2" w:rsidP="007456C2">
      <w:pPr>
        <w:tabs>
          <w:tab w:val="left" w:pos="4820"/>
        </w:tabs>
        <w:spacing w:line="312" w:lineRule="auto"/>
        <w:contextualSpacing/>
        <w:jc w:val="both"/>
        <w:rPr>
          <w:rFonts w:asciiTheme="minorHAnsi" w:hAnsiTheme="minorHAnsi" w:cstheme="minorHAnsi"/>
        </w:rPr>
      </w:pPr>
      <w:r>
        <w:rPr>
          <w:rFonts w:asciiTheme="minorHAnsi" w:hAnsiTheme="minorHAnsi" w:cstheme="minorHAnsi"/>
        </w:rPr>
        <w:t xml:space="preserve">We understand </w:t>
      </w:r>
      <w:r w:rsidR="009C64B0">
        <w:rPr>
          <w:rFonts w:asciiTheme="minorHAnsi" w:hAnsiTheme="minorHAnsi" w:cstheme="minorHAnsi"/>
        </w:rPr>
        <w:t xml:space="preserve">from the above </w:t>
      </w:r>
      <w:r>
        <w:rPr>
          <w:rFonts w:asciiTheme="minorHAnsi" w:hAnsiTheme="minorHAnsi" w:cstheme="minorHAnsi"/>
        </w:rPr>
        <w:t xml:space="preserve">that the </w:t>
      </w:r>
      <w:r w:rsidRPr="007456C2">
        <w:rPr>
          <w:rFonts w:asciiTheme="minorHAnsi" w:hAnsiTheme="minorHAnsi" w:cstheme="minorHAnsi"/>
        </w:rPr>
        <w:t>provision for deduction of tax at source is being inserted to put in place a mechanism to capture and detect such perquisites/ benefits which have largely remained unaccounted and thus untaxed despite there being a specific taxing provision due to their sheer nature.</w:t>
      </w:r>
    </w:p>
    <w:p w14:paraId="14DF16A3" w14:textId="77777777" w:rsidR="00483281" w:rsidRDefault="00483281" w:rsidP="007456C2">
      <w:pPr>
        <w:tabs>
          <w:tab w:val="left" w:pos="4820"/>
        </w:tabs>
        <w:spacing w:line="312" w:lineRule="auto"/>
        <w:contextualSpacing/>
        <w:jc w:val="both"/>
        <w:rPr>
          <w:rFonts w:asciiTheme="minorHAnsi" w:hAnsiTheme="minorHAnsi" w:cstheme="minorHAnsi"/>
        </w:rPr>
      </w:pPr>
    </w:p>
    <w:p w14:paraId="0A776D0A" w14:textId="2051BE2A" w:rsidR="009C64B0" w:rsidRDefault="009C64B0" w:rsidP="007456C2">
      <w:pPr>
        <w:tabs>
          <w:tab w:val="left" w:pos="4820"/>
        </w:tabs>
        <w:spacing w:line="312" w:lineRule="auto"/>
        <w:contextualSpacing/>
        <w:jc w:val="both"/>
        <w:rPr>
          <w:rFonts w:asciiTheme="minorHAnsi" w:hAnsiTheme="minorHAnsi" w:cstheme="minorHAnsi"/>
        </w:rPr>
      </w:pPr>
      <w:r w:rsidRPr="009C64B0">
        <w:rPr>
          <w:rFonts w:asciiTheme="minorHAnsi" w:hAnsiTheme="minorHAnsi" w:cstheme="minorHAnsi"/>
        </w:rPr>
        <w:t xml:space="preserve">For complying with the provisions of this section, the taxpayers </w:t>
      </w:r>
      <w:proofErr w:type="gramStart"/>
      <w:r w:rsidRPr="009C64B0">
        <w:rPr>
          <w:rFonts w:asciiTheme="minorHAnsi" w:hAnsiTheme="minorHAnsi" w:cstheme="minorHAnsi"/>
        </w:rPr>
        <w:t>have to</w:t>
      </w:r>
      <w:proofErr w:type="gramEnd"/>
      <w:r w:rsidRPr="009C64B0">
        <w:rPr>
          <w:rFonts w:asciiTheme="minorHAnsi" w:hAnsiTheme="minorHAnsi" w:cstheme="minorHAnsi"/>
        </w:rPr>
        <w:t xml:space="preserve"> ensure the following</w:t>
      </w:r>
      <w:r w:rsidR="00483281">
        <w:rPr>
          <w:rFonts w:asciiTheme="minorHAnsi" w:hAnsiTheme="minorHAnsi" w:cstheme="minorHAnsi"/>
        </w:rPr>
        <w:t>s</w:t>
      </w:r>
      <w:r w:rsidRPr="009C64B0">
        <w:rPr>
          <w:rFonts w:asciiTheme="minorHAnsi" w:hAnsiTheme="minorHAnsi" w:cstheme="minorHAnsi"/>
        </w:rPr>
        <w:t xml:space="preserve">: </w:t>
      </w:r>
    </w:p>
    <w:p w14:paraId="561B1108" w14:textId="5ED7DD5D" w:rsidR="00483281" w:rsidRPr="00BB74B5" w:rsidRDefault="00483281" w:rsidP="00BB74B5">
      <w:pPr>
        <w:pStyle w:val="ListParagraph"/>
        <w:numPr>
          <w:ilvl w:val="0"/>
          <w:numId w:val="14"/>
        </w:numPr>
        <w:tabs>
          <w:tab w:val="left" w:pos="4820"/>
        </w:tabs>
        <w:spacing w:after="0" w:line="360" w:lineRule="auto"/>
        <w:ind w:left="142" w:hanging="229"/>
        <w:jc w:val="both"/>
        <w:rPr>
          <w:rFonts w:asciiTheme="minorHAnsi" w:hAnsiTheme="minorHAnsi" w:cstheme="minorHAnsi"/>
        </w:rPr>
      </w:pPr>
      <w:r w:rsidRPr="00BB74B5">
        <w:rPr>
          <w:rFonts w:asciiTheme="minorHAnsi" w:hAnsiTheme="minorHAnsi" w:cstheme="minorHAnsi"/>
        </w:rPr>
        <w:t xml:space="preserve">Value of ‘benefits’ and ‘perquisites’ </w:t>
      </w:r>
      <w:proofErr w:type="gramStart"/>
      <w:r w:rsidRPr="00BB74B5">
        <w:rPr>
          <w:rFonts w:asciiTheme="minorHAnsi" w:hAnsiTheme="minorHAnsi" w:cstheme="minorHAnsi"/>
        </w:rPr>
        <w:t>has to</w:t>
      </w:r>
      <w:proofErr w:type="gramEnd"/>
      <w:r w:rsidRPr="00BB74B5">
        <w:rPr>
          <w:rFonts w:asciiTheme="minorHAnsi" w:hAnsiTheme="minorHAnsi" w:cstheme="minorHAnsi"/>
        </w:rPr>
        <w:t xml:space="preserve"> be determined which is liable to be TDS.</w:t>
      </w:r>
    </w:p>
    <w:p w14:paraId="4C0358BE" w14:textId="6D834E05" w:rsidR="009C64B0" w:rsidRDefault="009C64B0" w:rsidP="00BB74B5">
      <w:pPr>
        <w:pStyle w:val="ListParagraph"/>
        <w:numPr>
          <w:ilvl w:val="0"/>
          <w:numId w:val="14"/>
        </w:numPr>
        <w:tabs>
          <w:tab w:val="left" w:pos="4820"/>
        </w:tabs>
        <w:spacing w:after="0" w:line="360" w:lineRule="auto"/>
        <w:ind w:left="142" w:hanging="229"/>
        <w:jc w:val="both"/>
        <w:rPr>
          <w:rFonts w:asciiTheme="minorHAnsi" w:hAnsiTheme="minorHAnsi" w:cstheme="minorHAnsi"/>
        </w:rPr>
      </w:pPr>
      <w:r w:rsidRPr="009C64B0">
        <w:rPr>
          <w:rFonts w:asciiTheme="minorHAnsi" w:hAnsiTheme="minorHAnsi" w:cstheme="minorHAnsi"/>
        </w:rPr>
        <w:t xml:space="preserve">The </w:t>
      </w:r>
      <w:r>
        <w:rPr>
          <w:rFonts w:asciiTheme="minorHAnsi" w:hAnsiTheme="minorHAnsi" w:cstheme="minorHAnsi"/>
        </w:rPr>
        <w:t xml:space="preserve">deductor </w:t>
      </w:r>
      <w:r w:rsidRPr="009C64B0">
        <w:rPr>
          <w:rFonts w:asciiTheme="minorHAnsi" w:hAnsiTheme="minorHAnsi" w:cstheme="minorHAnsi"/>
        </w:rPr>
        <w:t xml:space="preserve">shall ensure that TDS @ 10% is deducted </w:t>
      </w:r>
      <w:r w:rsidR="00483281">
        <w:rPr>
          <w:rFonts w:asciiTheme="minorHAnsi" w:hAnsiTheme="minorHAnsi" w:cstheme="minorHAnsi"/>
        </w:rPr>
        <w:t xml:space="preserve">on </w:t>
      </w:r>
      <w:r w:rsidRPr="009C64B0">
        <w:rPr>
          <w:rFonts w:asciiTheme="minorHAnsi" w:hAnsiTheme="minorHAnsi" w:cstheme="minorHAnsi"/>
        </w:rPr>
        <w:t xml:space="preserve">the perquisite or benefit. </w:t>
      </w:r>
    </w:p>
    <w:p w14:paraId="6DD26784" w14:textId="77777777" w:rsidR="009C64B0" w:rsidRDefault="009C64B0" w:rsidP="00BB74B5">
      <w:pPr>
        <w:pStyle w:val="ListParagraph"/>
        <w:numPr>
          <w:ilvl w:val="0"/>
          <w:numId w:val="14"/>
        </w:numPr>
        <w:tabs>
          <w:tab w:val="left" w:pos="4820"/>
        </w:tabs>
        <w:spacing w:after="0" w:line="360" w:lineRule="auto"/>
        <w:ind w:left="142" w:hanging="229"/>
        <w:jc w:val="both"/>
        <w:rPr>
          <w:rFonts w:asciiTheme="minorHAnsi" w:hAnsiTheme="minorHAnsi" w:cstheme="minorHAnsi"/>
        </w:rPr>
      </w:pPr>
      <w:r w:rsidRPr="009C64B0">
        <w:rPr>
          <w:rFonts w:asciiTheme="minorHAnsi" w:hAnsiTheme="minorHAnsi" w:cstheme="minorHAnsi"/>
        </w:rPr>
        <w:t xml:space="preserve">The Deductor shall deposit the tax deducted to the credit of central government on or before </w:t>
      </w:r>
      <w:r>
        <w:rPr>
          <w:rFonts w:asciiTheme="minorHAnsi" w:hAnsiTheme="minorHAnsi" w:cstheme="minorHAnsi"/>
        </w:rPr>
        <w:t>the due date</w:t>
      </w:r>
      <w:r w:rsidRPr="009C64B0">
        <w:rPr>
          <w:rFonts w:asciiTheme="minorHAnsi" w:hAnsiTheme="minorHAnsi" w:cstheme="minorHAnsi"/>
        </w:rPr>
        <w:t xml:space="preserve">, using its ‘TAN’ Number. </w:t>
      </w:r>
    </w:p>
    <w:p w14:paraId="5201F094" w14:textId="77777777" w:rsidR="009C64B0" w:rsidRDefault="009C64B0" w:rsidP="00BB74B5">
      <w:pPr>
        <w:pStyle w:val="ListParagraph"/>
        <w:numPr>
          <w:ilvl w:val="0"/>
          <w:numId w:val="14"/>
        </w:numPr>
        <w:tabs>
          <w:tab w:val="left" w:pos="4820"/>
        </w:tabs>
        <w:spacing w:after="0" w:line="360" w:lineRule="auto"/>
        <w:ind w:left="142" w:hanging="229"/>
        <w:jc w:val="both"/>
        <w:rPr>
          <w:rFonts w:asciiTheme="minorHAnsi" w:hAnsiTheme="minorHAnsi" w:cstheme="minorHAnsi"/>
        </w:rPr>
      </w:pPr>
      <w:r w:rsidRPr="009C64B0">
        <w:rPr>
          <w:rFonts w:asciiTheme="minorHAnsi" w:hAnsiTheme="minorHAnsi" w:cstheme="minorHAnsi"/>
        </w:rPr>
        <w:t xml:space="preserve">The ‘Deductor’ shall file quarterly TDS Returns in Form 26Q on or before the due dates specified in the act. </w:t>
      </w:r>
    </w:p>
    <w:p w14:paraId="2EF29745" w14:textId="078B16EE" w:rsidR="00A0454E" w:rsidRDefault="009C64B0" w:rsidP="00483281">
      <w:pPr>
        <w:pStyle w:val="ListParagraph"/>
        <w:numPr>
          <w:ilvl w:val="0"/>
          <w:numId w:val="14"/>
        </w:numPr>
        <w:tabs>
          <w:tab w:val="left" w:pos="4820"/>
        </w:tabs>
        <w:spacing w:after="0" w:line="360" w:lineRule="auto"/>
        <w:ind w:left="142" w:hanging="229"/>
        <w:jc w:val="both"/>
        <w:rPr>
          <w:rFonts w:asciiTheme="minorHAnsi" w:hAnsiTheme="minorHAnsi" w:cstheme="minorHAnsi"/>
        </w:rPr>
      </w:pPr>
      <w:r w:rsidRPr="009C64B0">
        <w:rPr>
          <w:rFonts w:asciiTheme="minorHAnsi" w:hAnsiTheme="minorHAnsi" w:cstheme="minorHAnsi"/>
        </w:rPr>
        <w:t xml:space="preserve">The ‘Deductor’ shall issue certificate of tax deducted in Form 16A at quarterly intervals to the </w:t>
      </w:r>
      <w:proofErr w:type="spellStart"/>
      <w:r w:rsidRPr="009C64B0">
        <w:rPr>
          <w:rFonts w:asciiTheme="minorHAnsi" w:hAnsiTheme="minorHAnsi" w:cstheme="minorHAnsi"/>
        </w:rPr>
        <w:t>deductees</w:t>
      </w:r>
      <w:proofErr w:type="spellEnd"/>
      <w:r w:rsidRPr="009C64B0">
        <w:rPr>
          <w:rFonts w:asciiTheme="minorHAnsi" w:hAnsiTheme="minorHAnsi" w:cstheme="minorHAnsi"/>
        </w:rPr>
        <w:t>.</w:t>
      </w:r>
    </w:p>
    <w:p w14:paraId="7DFB55F0" w14:textId="77777777" w:rsidR="00483281" w:rsidRPr="00BB74B5" w:rsidRDefault="00483281" w:rsidP="00BB74B5">
      <w:pPr>
        <w:pStyle w:val="ListParagraph"/>
        <w:tabs>
          <w:tab w:val="left" w:pos="4820"/>
        </w:tabs>
        <w:spacing w:after="0" w:line="360" w:lineRule="auto"/>
        <w:ind w:left="142"/>
        <w:jc w:val="both"/>
        <w:rPr>
          <w:rFonts w:asciiTheme="minorHAnsi" w:hAnsiTheme="minorHAnsi" w:cstheme="minorHAnsi"/>
        </w:rPr>
      </w:pPr>
    </w:p>
    <w:p w14:paraId="45CE819C" w14:textId="031A9C80" w:rsidR="00984223" w:rsidRPr="00984223" w:rsidRDefault="002473DB" w:rsidP="00A0454E">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192E7E26"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w:t>
      </w:r>
      <w:r w:rsidR="00DE6EC6">
        <w:rPr>
          <w:rFonts w:asciiTheme="minorHAnsi" w:hAnsiTheme="minorHAnsi" w:cstheme="minorHAnsi"/>
          <w:b/>
        </w:rPr>
        <w:t xml:space="preserve"> </w:t>
      </w:r>
      <w:r w:rsidR="0004428B">
        <w:rPr>
          <w:rFonts w:asciiTheme="minorHAnsi" w:hAnsiTheme="minorHAnsi" w:cstheme="minorHAnsi"/>
          <w:b/>
        </w:rPr>
        <w:t>K</w:t>
      </w:r>
      <w:r w:rsidRPr="00907660">
        <w:rPr>
          <w:rFonts w:asciiTheme="minorHAnsi" w:hAnsiTheme="minorHAnsi" w:cstheme="minorHAnsi"/>
          <w:b/>
        </w:rPr>
        <w:t>ant Choudh</w:t>
      </w:r>
      <w:r w:rsidR="00C114BC">
        <w:rPr>
          <w:rFonts w:asciiTheme="minorHAnsi" w:hAnsiTheme="minorHAnsi" w:cstheme="minorHAnsi"/>
          <w:b/>
        </w:rPr>
        <w:t>a</w:t>
      </w:r>
      <w:r w:rsidRPr="00907660">
        <w:rPr>
          <w:rFonts w:asciiTheme="minorHAnsi" w:hAnsiTheme="minorHAnsi" w:cstheme="minorHAnsi"/>
          <w:b/>
        </w:rPr>
        <w:t>ry</w:t>
      </w:r>
    </w:p>
    <w:p w14:paraId="07AF3601" w14:textId="77777777" w:rsidR="004049C9" w:rsidRDefault="004D6149" w:rsidP="00D02587">
      <w:pPr>
        <w:tabs>
          <w:tab w:val="left" w:pos="4820"/>
        </w:tabs>
        <w:contextualSpacing/>
        <w:rPr>
          <w:rFonts w:asciiTheme="minorHAnsi" w:hAnsiTheme="minorHAnsi" w:cstheme="minorHAnsi"/>
          <w:bCs/>
        </w:r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CD4564">
        <w:trPr>
          <w:trHeight w:hRule="exact" w:val="576"/>
        </w:trPr>
        <w:tc>
          <w:tcPr>
            <w:tcW w:w="1591" w:type="dxa"/>
            <w:shd w:val="clear" w:color="auto" w:fill="EAF1DD"/>
            <w:vAlign w:val="center"/>
          </w:tcPr>
          <w:p w14:paraId="3D1A791B" w14:textId="0B08A3D3" w:rsidR="000841D9" w:rsidRPr="00AF2DC7" w:rsidRDefault="002745A0"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0F8BB3A0" w14:textId="44B347B8" w:rsidR="00FE7E5A" w:rsidRPr="00FE7E5A" w:rsidRDefault="002745A0" w:rsidP="00FE7E5A">
            <w:pPr>
              <w:tabs>
                <w:tab w:val="left" w:pos="4820"/>
              </w:tabs>
              <w:spacing w:after="0" w:line="240" w:lineRule="auto"/>
              <w:jc w:val="both"/>
              <w:rPr>
                <w:rFonts w:asciiTheme="minorHAnsi" w:hAnsiTheme="minorHAnsi" w:cstheme="minorHAnsi"/>
                <w:b/>
                <w:bCs/>
                <w:caps/>
                <w:lang w:val="en-IN"/>
              </w:rPr>
            </w:pPr>
            <w:r w:rsidRPr="002745A0">
              <w:rPr>
                <w:rFonts w:asciiTheme="minorHAnsi" w:hAnsiTheme="minorHAnsi" w:cstheme="minorHAnsi"/>
                <w:b/>
                <w:bCs/>
                <w:caps/>
                <w:lang w:val="en-IN"/>
              </w:rPr>
              <w:t xml:space="preserve">Indian Government releases restrictive interpretation of </w:t>
            </w:r>
            <w:r w:rsidR="000D6D17">
              <w:rPr>
                <w:rFonts w:asciiTheme="minorHAnsi" w:hAnsiTheme="minorHAnsi" w:cstheme="minorHAnsi"/>
                <w:b/>
                <w:bCs/>
                <w:caps/>
                <w:lang w:val="en-IN"/>
              </w:rPr>
              <w:t>Most-Favoured-Nation (MFN)</w:t>
            </w:r>
            <w:r w:rsidRPr="002745A0">
              <w:rPr>
                <w:rFonts w:asciiTheme="minorHAnsi" w:hAnsiTheme="minorHAnsi" w:cstheme="minorHAnsi"/>
                <w:b/>
                <w:bCs/>
                <w:caps/>
                <w:lang w:val="en-IN"/>
              </w:rPr>
              <w:t xml:space="preserve"> clause</w:t>
            </w:r>
          </w:p>
          <w:p w14:paraId="3D6DAF19" w14:textId="3CEDF2E3" w:rsidR="000841D9" w:rsidRPr="00840656" w:rsidRDefault="000841D9"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themeFill="accent3" w:themeFillTint="33"/>
            <w:vAlign w:val="center"/>
          </w:tcPr>
          <w:p w14:paraId="33E3349D" w14:textId="77777777" w:rsidR="000841D9" w:rsidRPr="00AF2DC7" w:rsidRDefault="000841D9" w:rsidP="00344D09">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A06DAF">
        <w:trPr>
          <w:trHeight w:val="194"/>
        </w:trPr>
        <w:tc>
          <w:tcPr>
            <w:tcW w:w="1591" w:type="dxa"/>
            <w:shd w:val="clear" w:color="auto" w:fill="B3D5AB"/>
            <w:noWrap/>
            <w:vAlign w:val="center"/>
            <w:hideMark/>
          </w:tcPr>
          <w:p w14:paraId="239B407D"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BB74B5">
        <w:trPr>
          <w:trHeight w:hRule="exact" w:val="573"/>
        </w:trPr>
        <w:tc>
          <w:tcPr>
            <w:tcW w:w="1591" w:type="dxa"/>
            <w:shd w:val="clear" w:color="auto" w:fill="EAF1DD"/>
            <w:vAlign w:val="center"/>
          </w:tcPr>
          <w:p w14:paraId="77B5245B" w14:textId="5F27BA1C" w:rsidR="000841D9" w:rsidRPr="00AF2DC7" w:rsidRDefault="00324DD2"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648" w:type="dxa"/>
            <w:shd w:val="clear" w:color="auto" w:fill="EAF1DD"/>
            <w:vAlign w:val="center"/>
          </w:tcPr>
          <w:p w14:paraId="7B40B695" w14:textId="3BE13F35" w:rsidR="00316B69" w:rsidRPr="00316B69" w:rsidRDefault="00EB467F" w:rsidP="0064641F">
            <w:pPr>
              <w:tabs>
                <w:tab w:val="left" w:pos="4820"/>
              </w:tabs>
              <w:spacing w:after="0" w:line="240" w:lineRule="auto"/>
              <w:jc w:val="both"/>
              <w:rPr>
                <w:rFonts w:asciiTheme="minorHAnsi" w:hAnsiTheme="minorHAnsi" w:cstheme="minorHAnsi"/>
                <w:b/>
                <w:bCs/>
              </w:rPr>
            </w:pPr>
            <w:r w:rsidRPr="00EB467F">
              <w:rPr>
                <w:rFonts w:asciiTheme="minorHAnsi" w:hAnsiTheme="minorHAnsi" w:cstheme="minorHAnsi"/>
                <w:b/>
                <w:bCs/>
              </w:rPr>
              <w:t>REFUND OF IGST FOR GOODS EXPORTED FOR ZERO RATED SUPPLIES</w:t>
            </w:r>
            <w:r w:rsidR="0064641F">
              <w:rPr>
                <w:rFonts w:asciiTheme="minorHAnsi" w:hAnsiTheme="minorHAnsi" w:cstheme="minorHAnsi"/>
                <w:b/>
                <w:bCs/>
              </w:rPr>
              <w:t>: GUJARAT HIGH COURT</w:t>
            </w:r>
          </w:p>
        </w:tc>
        <w:tc>
          <w:tcPr>
            <w:tcW w:w="1246" w:type="dxa"/>
            <w:shd w:val="clear" w:color="auto" w:fill="EAF1DD" w:themeFill="accent3" w:themeFillTint="33"/>
            <w:vAlign w:val="center"/>
          </w:tcPr>
          <w:p w14:paraId="7CA97852"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A06DAF">
        <w:trPr>
          <w:trHeight w:hRule="exact" w:val="266"/>
        </w:trPr>
        <w:tc>
          <w:tcPr>
            <w:tcW w:w="1591" w:type="dxa"/>
            <w:shd w:val="clear" w:color="auto" w:fill="B3D5AB"/>
            <w:vAlign w:val="center"/>
            <w:hideMark/>
          </w:tcPr>
          <w:p w14:paraId="3CB709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5E2F50C" w:rsidR="000841D9"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A06DAF">
        <w:trPr>
          <w:trHeight w:hRule="exact" w:val="584"/>
        </w:trPr>
        <w:tc>
          <w:tcPr>
            <w:tcW w:w="1591" w:type="dxa"/>
            <w:shd w:val="clear" w:color="auto" w:fill="EAF1DD"/>
            <w:vAlign w:val="center"/>
          </w:tcPr>
          <w:p w14:paraId="6CF0692D" w14:textId="71E5ADBC" w:rsidR="000841D9" w:rsidRPr="00AF2DC7" w:rsidRDefault="00D9501A"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14A186E7" w14:textId="329EC0FF" w:rsidR="00D9501A" w:rsidRPr="00D9501A" w:rsidRDefault="00D9501A" w:rsidP="00BB74B5">
            <w:pPr>
              <w:tabs>
                <w:tab w:val="left" w:pos="4820"/>
              </w:tabs>
              <w:spacing w:after="0" w:line="240" w:lineRule="auto"/>
              <w:jc w:val="both"/>
              <w:rPr>
                <w:b/>
                <w:bCs/>
              </w:rPr>
            </w:pPr>
            <w:r w:rsidRPr="00D9501A">
              <w:rPr>
                <w:b/>
                <w:bCs/>
              </w:rPr>
              <w:t>TRANSACTIONS IN CREDIT DEFAULT SWAP (CDS) BY FOREIGN PORTFOLIO INVESTORS – OPERATIONAL INSTRUCTIONS</w:t>
            </w:r>
          </w:p>
          <w:p w14:paraId="5DFFD649" w14:textId="4927BD9A" w:rsidR="000841D9" w:rsidRPr="00A47F83" w:rsidRDefault="000841D9" w:rsidP="00344D09">
            <w:pPr>
              <w:tabs>
                <w:tab w:val="left" w:pos="4820"/>
              </w:tabs>
              <w:spacing w:after="0" w:line="240" w:lineRule="auto"/>
              <w:rPr>
                <w:b/>
                <w:bCs/>
                <w:lang w:val="en-IN"/>
              </w:rPr>
            </w:pPr>
          </w:p>
        </w:tc>
        <w:tc>
          <w:tcPr>
            <w:tcW w:w="1246" w:type="dxa"/>
            <w:shd w:val="clear" w:color="auto" w:fill="EAF1DD"/>
            <w:vAlign w:val="center"/>
          </w:tcPr>
          <w:p w14:paraId="3ACCA0F0"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A06DAF">
        <w:trPr>
          <w:trHeight w:hRule="exact" w:val="289"/>
        </w:trPr>
        <w:tc>
          <w:tcPr>
            <w:tcW w:w="1591" w:type="dxa"/>
            <w:shd w:val="clear" w:color="auto" w:fill="B3D5AB"/>
            <w:vAlign w:val="center"/>
            <w:hideMark/>
          </w:tcPr>
          <w:p w14:paraId="53F3353F"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EDFAFD0"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BB74B5">
        <w:trPr>
          <w:trHeight w:hRule="exact" w:val="701"/>
        </w:trPr>
        <w:tc>
          <w:tcPr>
            <w:tcW w:w="1591" w:type="dxa"/>
            <w:shd w:val="clear" w:color="auto" w:fill="EAF1DD"/>
            <w:vAlign w:val="center"/>
          </w:tcPr>
          <w:p w14:paraId="72F94BE4" w14:textId="2698DD16" w:rsidR="001528C5" w:rsidRPr="00AF2DC7" w:rsidRDefault="00D809F0" w:rsidP="00344D09">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2AA3DC98" w14:textId="568292E2" w:rsidR="00D809F0" w:rsidRPr="00D809F0" w:rsidRDefault="00BB7FA7" w:rsidP="00D809F0">
            <w:pPr>
              <w:tabs>
                <w:tab w:val="left" w:pos="4820"/>
              </w:tabs>
              <w:spacing w:after="0" w:line="240" w:lineRule="auto"/>
              <w:jc w:val="both"/>
              <w:rPr>
                <w:rFonts w:asciiTheme="minorHAnsi" w:hAnsiTheme="minorHAnsi" w:cstheme="minorHAnsi"/>
                <w:b/>
                <w:bCs/>
                <w:caps/>
                <w:color w:val="000000" w:themeColor="text1"/>
                <w:lang w:val="en-IN"/>
              </w:rPr>
            </w:pPr>
            <w:r w:rsidRPr="00BB7FA7">
              <w:rPr>
                <w:rFonts w:asciiTheme="minorHAnsi" w:hAnsiTheme="minorHAnsi" w:cstheme="minorHAnsi"/>
                <w:b/>
                <w:bCs/>
                <w:caps/>
                <w:color w:val="000000" w:themeColor="text1"/>
                <w:lang w:val="en-IN"/>
              </w:rPr>
              <w:t>Rate of exchange of one unit of foreign currency equivalent to Indian rupees</w:t>
            </w:r>
            <w:r w:rsidR="0064641F">
              <w:rPr>
                <w:rFonts w:asciiTheme="minorHAnsi" w:hAnsiTheme="minorHAnsi" w:cstheme="minorHAnsi"/>
                <w:b/>
                <w:bCs/>
                <w:caps/>
                <w:color w:val="000000" w:themeColor="text1"/>
                <w:lang w:val="en-IN"/>
              </w:rPr>
              <w:t>.</w:t>
            </w:r>
          </w:p>
          <w:p w14:paraId="60E14FBB" w14:textId="15F3459C" w:rsidR="001528C5" w:rsidRPr="00AF2DC7" w:rsidRDefault="001528C5"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A06DAF">
        <w:trPr>
          <w:trHeight w:hRule="exact" w:val="243"/>
        </w:trPr>
        <w:tc>
          <w:tcPr>
            <w:tcW w:w="1591" w:type="dxa"/>
            <w:shd w:val="clear" w:color="auto" w:fill="B3D5AB"/>
            <w:vAlign w:val="center"/>
          </w:tcPr>
          <w:p w14:paraId="14609697"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344D09">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35213C5"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5D2A83">
        <w:trPr>
          <w:trHeight w:hRule="exact" w:val="1030"/>
        </w:trPr>
        <w:tc>
          <w:tcPr>
            <w:tcW w:w="1591" w:type="dxa"/>
            <w:shd w:val="clear" w:color="auto" w:fill="EAF1DD"/>
            <w:vAlign w:val="center"/>
            <w:hideMark/>
          </w:tcPr>
          <w:p w14:paraId="3DA84034" w14:textId="58ED7533" w:rsidR="001528C5" w:rsidRPr="00AF2DC7" w:rsidRDefault="005D2A83"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648" w:type="dxa"/>
            <w:shd w:val="clear" w:color="auto" w:fill="EAF1DD"/>
            <w:vAlign w:val="center"/>
            <w:hideMark/>
          </w:tcPr>
          <w:p w14:paraId="7EFCF46E" w14:textId="2CA49513" w:rsidR="005D2A83" w:rsidRPr="005D2A83" w:rsidRDefault="005D2A83" w:rsidP="00BB74B5">
            <w:pPr>
              <w:tabs>
                <w:tab w:val="left" w:pos="4820"/>
              </w:tabs>
              <w:spacing w:after="0" w:line="240" w:lineRule="auto"/>
              <w:jc w:val="both"/>
              <w:rPr>
                <w:rFonts w:asciiTheme="minorHAnsi" w:hAnsiTheme="minorHAnsi" w:cstheme="minorHAnsi"/>
                <w:b/>
                <w:bCs/>
                <w:lang w:val="en-IN" w:eastAsia="en-IN"/>
              </w:rPr>
            </w:pPr>
            <w:r w:rsidRPr="005D2A83">
              <w:rPr>
                <w:rFonts w:asciiTheme="minorHAnsi" w:hAnsiTheme="minorHAnsi" w:cstheme="minorHAnsi"/>
                <w:b/>
                <w:bCs/>
                <w:lang w:eastAsia="en-IN"/>
              </w:rPr>
              <w:t>PROCEDURE FOR ALLOCATION OF QUOTA, FOR YEAR 2022-2023, FOR IMPORT OF CALCINED PET COKE FOR ALUMINUM INDUSTRY AND RAW PET COKE FOR CPC MANUFACTURING INDUSTRY</w:t>
            </w:r>
          </w:p>
          <w:p w14:paraId="61AE335D" w14:textId="117382C0" w:rsidR="001528C5" w:rsidRPr="00AF2DC7" w:rsidRDefault="001528C5" w:rsidP="00BB74B5">
            <w:pPr>
              <w:tabs>
                <w:tab w:val="left" w:pos="4820"/>
              </w:tabs>
              <w:spacing w:after="0" w:line="240" w:lineRule="auto"/>
              <w:jc w:val="both"/>
              <w:rPr>
                <w:rFonts w:asciiTheme="minorHAnsi" w:hAnsiTheme="minorHAnsi" w:cstheme="minorHAnsi"/>
                <w:b/>
                <w:bCs/>
                <w:lang w:val="en-IN" w:eastAsia="en-IN"/>
              </w:rPr>
            </w:pPr>
          </w:p>
        </w:tc>
        <w:tc>
          <w:tcPr>
            <w:tcW w:w="1246" w:type="dxa"/>
            <w:shd w:val="clear" w:color="auto" w:fill="EAF1DD"/>
            <w:vAlign w:val="center"/>
            <w:hideMark/>
          </w:tcPr>
          <w:p w14:paraId="72F56168"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324DD2" w:rsidRPr="00B117D4" w14:paraId="73F75D07" w14:textId="77777777" w:rsidTr="00A06DAF">
        <w:trPr>
          <w:trHeight w:hRule="exact" w:val="598"/>
        </w:trPr>
        <w:tc>
          <w:tcPr>
            <w:tcW w:w="1591" w:type="dxa"/>
            <w:shd w:val="clear" w:color="auto" w:fill="B3D5AB"/>
            <w:vAlign w:val="center"/>
          </w:tcPr>
          <w:p w14:paraId="18736E4A" w14:textId="00F951D1"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1F5AC1C9" w14:textId="0B15C8A0" w:rsidR="00324DD2" w:rsidRPr="00AF2DC7" w:rsidRDefault="00324DD2" w:rsidP="00324DD2">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44FE5B42"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0</w:t>
            </w:r>
          </w:p>
        </w:tc>
      </w:tr>
      <w:tr w:rsidR="00324DD2" w:rsidRPr="00B117D4" w14:paraId="3CE519D2" w14:textId="77777777" w:rsidTr="00A06DAF">
        <w:trPr>
          <w:trHeight w:hRule="exact" w:val="598"/>
        </w:trPr>
        <w:tc>
          <w:tcPr>
            <w:tcW w:w="1591" w:type="dxa"/>
            <w:shd w:val="clear" w:color="auto" w:fill="B3D5AB"/>
            <w:vAlign w:val="center"/>
          </w:tcPr>
          <w:p w14:paraId="58AC86C0" w14:textId="460EC2AB"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6D7E4024" w14:textId="77777777" w:rsidR="00324DD2" w:rsidRPr="00AF2DC7" w:rsidRDefault="00324DD2" w:rsidP="00324DD2">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324DD2" w:rsidRPr="000F74CD" w:rsidRDefault="00324DD2" w:rsidP="00324DD2">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F4EF1DD"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1</w:t>
            </w:r>
          </w:p>
        </w:tc>
      </w:tr>
      <w:tr w:rsidR="00324DD2" w:rsidRPr="00B117D4" w14:paraId="36608CFD" w14:textId="77777777" w:rsidTr="00A06DAF">
        <w:trPr>
          <w:trHeight w:hRule="exact" w:val="389"/>
        </w:trPr>
        <w:tc>
          <w:tcPr>
            <w:tcW w:w="1591" w:type="dxa"/>
            <w:shd w:val="clear" w:color="auto" w:fill="B3D5AB"/>
            <w:vAlign w:val="center"/>
          </w:tcPr>
          <w:p w14:paraId="79F3A227" w14:textId="52A179A9"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324DD2" w:rsidRPr="00AF2DC7" w:rsidRDefault="00324DD2" w:rsidP="00324DD2">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17C52216"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302F35">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302F35" w:rsidRPr="00D27A53" w14:paraId="05B2F8F7" w14:textId="77777777" w:rsidTr="00302F35">
        <w:trPr>
          <w:trHeight w:val="791"/>
        </w:trPr>
        <w:tc>
          <w:tcPr>
            <w:tcW w:w="1628" w:type="dxa"/>
            <w:shd w:val="clear" w:color="auto" w:fill="4E8542"/>
            <w:noWrap/>
            <w:vAlign w:val="center"/>
          </w:tcPr>
          <w:p w14:paraId="0017A7AF" w14:textId="77777777" w:rsidR="00302F35" w:rsidRDefault="00302F35"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14</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268893DB" w14:textId="77777777" w:rsidR="00302F35" w:rsidRPr="007B6FAF" w:rsidRDefault="00302F35" w:rsidP="00302F35">
            <w:pPr>
              <w:pStyle w:val="ListParagraph"/>
              <w:ind w:left="43"/>
              <w:jc w:val="center"/>
              <w:rPr>
                <w:rFonts w:asciiTheme="minorHAnsi" w:hAnsiTheme="minorHAnsi" w:cstheme="minorHAnsi"/>
                <w:b/>
                <w:bCs/>
              </w:rPr>
            </w:pPr>
            <w:r>
              <w:rPr>
                <w:rFonts w:asciiTheme="minorHAnsi" w:hAnsiTheme="minorHAnsi" w:cstheme="minorHAnsi"/>
                <w:b/>
                <w:bCs/>
              </w:rPr>
              <w:t>Form- 16B</w:t>
            </w:r>
          </w:p>
        </w:tc>
        <w:tc>
          <w:tcPr>
            <w:tcW w:w="1559" w:type="dxa"/>
            <w:shd w:val="clear" w:color="auto" w:fill="D6E3BC" w:themeFill="accent3" w:themeFillTint="66"/>
          </w:tcPr>
          <w:p w14:paraId="609D03A3" w14:textId="77777777" w:rsidR="00302F35" w:rsidRPr="009444E6" w:rsidRDefault="00302F35" w:rsidP="00302F35">
            <w:pPr>
              <w:tabs>
                <w:tab w:val="left" w:pos="4820"/>
              </w:tabs>
              <w:spacing w:after="0" w:line="240" w:lineRule="auto"/>
              <w:jc w:val="center"/>
              <w:rPr>
                <w:rFonts w:asciiTheme="minorHAnsi" w:hAnsiTheme="minorHAnsi" w:cstheme="minorHAnsi"/>
                <w:bCs/>
              </w:rPr>
            </w:pPr>
            <w:r w:rsidRPr="009444E6">
              <w:rPr>
                <w:rFonts w:asciiTheme="minorHAnsi" w:hAnsiTheme="minorHAnsi" w:cstheme="minorHAnsi"/>
                <w:bCs/>
              </w:rPr>
              <w:t>December, 2021</w:t>
            </w:r>
          </w:p>
        </w:tc>
        <w:tc>
          <w:tcPr>
            <w:tcW w:w="4796" w:type="dxa"/>
            <w:shd w:val="clear" w:color="auto" w:fill="D6E3BC" w:themeFill="accent3" w:themeFillTint="66"/>
            <w:noWrap/>
            <w:vAlign w:val="center"/>
          </w:tcPr>
          <w:p w14:paraId="02A16BD8" w14:textId="77777777" w:rsidR="00302F35" w:rsidRPr="001E1CA7" w:rsidRDefault="00302F35" w:rsidP="00302F35">
            <w:pPr>
              <w:tabs>
                <w:tab w:val="left" w:pos="4820"/>
              </w:tabs>
              <w:spacing w:after="0" w:line="240" w:lineRule="auto"/>
              <w:jc w:val="both"/>
              <w:rPr>
                <w:rFonts w:asciiTheme="minorHAnsi" w:hAnsiTheme="minorHAnsi" w:cstheme="minorHAnsi"/>
                <w:bCs/>
              </w:rPr>
            </w:pPr>
            <w:r w:rsidRPr="001E1CA7">
              <w:rPr>
                <w:rFonts w:asciiTheme="minorHAnsi" w:hAnsiTheme="minorHAnsi" w:cstheme="minorHAnsi"/>
                <w:bCs/>
              </w:rPr>
              <w:t>TDS Certificate for tax deducted under section 194-IA in the month of December, 2021</w:t>
            </w:r>
          </w:p>
        </w:tc>
      </w:tr>
      <w:tr w:rsidR="00302F35" w:rsidRPr="00D27A53" w14:paraId="00F0FC0E" w14:textId="77777777" w:rsidTr="00302F35">
        <w:trPr>
          <w:trHeight w:val="791"/>
        </w:trPr>
        <w:tc>
          <w:tcPr>
            <w:tcW w:w="1628" w:type="dxa"/>
            <w:shd w:val="clear" w:color="auto" w:fill="4E8542"/>
            <w:noWrap/>
            <w:vAlign w:val="center"/>
          </w:tcPr>
          <w:p w14:paraId="3E05D7C0" w14:textId="77777777" w:rsidR="00302F35" w:rsidRDefault="00302F35"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14</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0132BE2E" w14:textId="77777777" w:rsidR="00302F35" w:rsidRPr="007B6FAF" w:rsidRDefault="00302F35" w:rsidP="00302F35">
            <w:pPr>
              <w:pStyle w:val="ListParagraph"/>
              <w:ind w:left="43"/>
              <w:jc w:val="center"/>
              <w:rPr>
                <w:rFonts w:asciiTheme="minorHAnsi" w:hAnsiTheme="minorHAnsi" w:cstheme="minorHAnsi"/>
                <w:b/>
                <w:bCs/>
              </w:rPr>
            </w:pPr>
            <w:r>
              <w:rPr>
                <w:rFonts w:asciiTheme="minorHAnsi" w:hAnsiTheme="minorHAnsi" w:cstheme="minorHAnsi"/>
                <w:b/>
                <w:bCs/>
              </w:rPr>
              <w:t>Form- 16C</w:t>
            </w:r>
          </w:p>
        </w:tc>
        <w:tc>
          <w:tcPr>
            <w:tcW w:w="1559" w:type="dxa"/>
            <w:shd w:val="clear" w:color="auto" w:fill="D6E3BC" w:themeFill="accent3" w:themeFillTint="66"/>
          </w:tcPr>
          <w:p w14:paraId="12B6A250" w14:textId="77777777" w:rsidR="00302F35" w:rsidRPr="009444E6" w:rsidRDefault="00302F35" w:rsidP="00302F35">
            <w:pPr>
              <w:tabs>
                <w:tab w:val="left" w:pos="4820"/>
              </w:tabs>
              <w:spacing w:after="0" w:line="240" w:lineRule="auto"/>
              <w:jc w:val="center"/>
              <w:rPr>
                <w:rFonts w:asciiTheme="minorHAnsi" w:hAnsiTheme="minorHAnsi" w:cstheme="minorHAnsi"/>
                <w:bCs/>
              </w:rPr>
            </w:pPr>
            <w:r w:rsidRPr="009444E6">
              <w:rPr>
                <w:rFonts w:asciiTheme="minorHAnsi" w:hAnsiTheme="minorHAnsi" w:cstheme="minorHAnsi"/>
                <w:bCs/>
              </w:rPr>
              <w:t>December, 2021</w:t>
            </w:r>
          </w:p>
        </w:tc>
        <w:tc>
          <w:tcPr>
            <w:tcW w:w="4796" w:type="dxa"/>
            <w:shd w:val="clear" w:color="auto" w:fill="D6E3BC" w:themeFill="accent3" w:themeFillTint="66"/>
            <w:noWrap/>
            <w:vAlign w:val="center"/>
          </w:tcPr>
          <w:p w14:paraId="037D8200" w14:textId="77777777" w:rsidR="00302F35" w:rsidRPr="001E1CA7" w:rsidRDefault="00302F35" w:rsidP="00302F35">
            <w:pPr>
              <w:tabs>
                <w:tab w:val="left" w:pos="4820"/>
              </w:tabs>
              <w:spacing w:after="0" w:line="240" w:lineRule="auto"/>
              <w:jc w:val="both"/>
              <w:rPr>
                <w:rFonts w:asciiTheme="minorHAnsi" w:hAnsiTheme="minorHAnsi" w:cstheme="minorHAnsi"/>
                <w:bCs/>
              </w:rPr>
            </w:pPr>
            <w:r w:rsidRPr="001E1CA7">
              <w:rPr>
                <w:rFonts w:asciiTheme="minorHAnsi" w:hAnsiTheme="minorHAnsi" w:cstheme="minorHAnsi"/>
                <w:bCs/>
              </w:rPr>
              <w:t>TDS Certificate for tax deducted under section 194-IB in the month of December, 2021</w:t>
            </w:r>
          </w:p>
        </w:tc>
      </w:tr>
      <w:tr w:rsidR="00302F35" w:rsidRPr="00D27A53" w14:paraId="2EA3BA79" w14:textId="77777777" w:rsidTr="00302F35">
        <w:trPr>
          <w:trHeight w:val="791"/>
        </w:trPr>
        <w:tc>
          <w:tcPr>
            <w:tcW w:w="1628" w:type="dxa"/>
            <w:shd w:val="clear" w:color="auto" w:fill="4E8542"/>
            <w:noWrap/>
            <w:vAlign w:val="center"/>
          </w:tcPr>
          <w:p w14:paraId="380249D7" w14:textId="77777777" w:rsidR="00302F35" w:rsidRDefault="00302F35"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14</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4AD78766" w14:textId="77777777" w:rsidR="00302F35" w:rsidRPr="007B6FAF" w:rsidRDefault="00302F35" w:rsidP="00302F35">
            <w:pPr>
              <w:pStyle w:val="ListParagraph"/>
              <w:ind w:left="43"/>
              <w:jc w:val="center"/>
              <w:rPr>
                <w:rFonts w:asciiTheme="minorHAnsi" w:hAnsiTheme="minorHAnsi" w:cstheme="minorHAnsi"/>
                <w:b/>
                <w:bCs/>
              </w:rPr>
            </w:pPr>
            <w:r>
              <w:rPr>
                <w:rFonts w:asciiTheme="minorHAnsi" w:hAnsiTheme="minorHAnsi" w:cstheme="minorHAnsi"/>
                <w:b/>
                <w:bCs/>
              </w:rPr>
              <w:t>Form- 16D</w:t>
            </w:r>
          </w:p>
        </w:tc>
        <w:tc>
          <w:tcPr>
            <w:tcW w:w="1559" w:type="dxa"/>
            <w:shd w:val="clear" w:color="auto" w:fill="D6E3BC" w:themeFill="accent3" w:themeFillTint="66"/>
          </w:tcPr>
          <w:p w14:paraId="497229EC" w14:textId="77777777" w:rsidR="00302F35" w:rsidRPr="009444E6" w:rsidRDefault="00302F35" w:rsidP="00302F35">
            <w:pPr>
              <w:tabs>
                <w:tab w:val="left" w:pos="4820"/>
              </w:tabs>
              <w:spacing w:after="0" w:line="240" w:lineRule="auto"/>
              <w:jc w:val="center"/>
              <w:rPr>
                <w:rFonts w:asciiTheme="minorHAnsi" w:hAnsiTheme="minorHAnsi" w:cstheme="minorHAnsi"/>
                <w:bCs/>
              </w:rPr>
            </w:pPr>
            <w:r w:rsidRPr="009444E6">
              <w:rPr>
                <w:rFonts w:asciiTheme="minorHAnsi" w:hAnsiTheme="minorHAnsi" w:cstheme="minorHAnsi"/>
                <w:bCs/>
              </w:rPr>
              <w:t>December, 2021</w:t>
            </w:r>
          </w:p>
        </w:tc>
        <w:tc>
          <w:tcPr>
            <w:tcW w:w="4796" w:type="dxa"/>
            <w:shd w:val="clear" w:color="auto" w:fill="D6E3BC" w:themeFill="accent3" w:themeFillTint="66"/>
            <w:noWrap/>
            <w:vAlign w:val="center"/>
          </w:tcPr>
          <w:p w14:paraId="3BBF22B8" w14:textId="77777777" w:rsidR="00302F35" w:rsidRPr="001E1CA7" w:rsidRDefault="00302F35" w:rsidP="00302F35">
            <w:pPr>
              <w:tabs>
                <w:tab w:val="left" w:pos="4820"/>
              </w:tabs>
              <w:spacing w:after="0" w:line="240" w:lineRule="auto"/>
              <w:jc w:val="both"/>
              <w:rPr>
                <w:rFonts w:asciiTheme="minorHAnsi" w:hAnsiTheme="minorHAnsi" w:cstheme="minorHAnsi"/>
                <w:bCs/>
              </w:rPr>
            </w:pPr>
            <w:r w:rsidRPr="001E1CA7">
              <w:rPr>
                <w:rFonts w:asciiTheme="minorHAnsi" w:hAnsiTheme="minorHAnsi" w:cstheme="minorHAnsi"/>
                <w:bCs/>
              </w:rPr>
              <w:t>TDS Certificate for tax deducted under section 194-M in the month of December, 2021</w:t>
            </w:r>
          </w:p>
        </w:tc>
      </w:tr>
      <w:tr w:rsidR="00302F35" w:rsidRPr="00D27A53" w14:paraId="19F4463D" w14:textId="77777777" w:rsidTr="00302F35">
        <w:trPr>
          <w:trHeight w:val="791"/>
        </w:trPr>
        <w:tc>
          <w:tcPr>
            <w:tcW w:w="1628" w:type="dxa"/>
            <w:shd w:val="clear" w:color="auto" w:fill="4E8542"/>
            <w:noWrap/>
            <w:vAlign w:val="center"/>
          </w:tcPr>
          <w:p w14:paraId="5A356E53" w14:textId="77777777" w:rsidR="00302F35" w:rsidRDefault="00302F35"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15</w:t>
            </w:r>
            <w:r>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Pr>
                <w:rFonts w:asciiTheme="minorHAnsi" w:hAnsiTheme="minorHAnsi" w:cstheme="minorHAnsi"/>
                <w:b/>
                <w:color w:val="FFFFFF" w:themeColor="background1"/>
                <w:lang w:val="en-IN"/>
              </w:rPr>
              <w:t>February</w:t>
            </w:r>
          </w:p>
        </w:tc>
        <w:tc>
          <w:tcPr>
            <w:tcW w:w="1623" w:type="dxa"/>
            <w:shd w:val="clear" w:color="auto" w:fill="D6E3BC" w:themeFill="accent3" w:themeFillTint="66"/>
            <w:vAlign w:val="center"/>
          </w:tcPr>
          <w:p w14:paraId="4ED65319" w14:textId="77777777" w:rsidR="00302F35" w:rsidRPr="00DC40CE" w:rsidRDefault="00302F35" w:rsidP="00302F35">
            <w:pPr>
              <w:pStyle w:val="ListParagraph"/>
              <w:ind w:left="43"/>
              <w:jc w:val="center"/>
              <w:rPr>
                <w:rFonts w:asciiTheme="minorHAnsi" w:hAnsiTheme="minorHAnsi" w:cstheme="minorHAnsi"/>
                <w:b/>
                <w:bCs/>
              </w:rPr>
            </w:pPr>
            <w:r w:rsidRPr="007B6FAF">
              <w:rPr>
                <w:rFonts w:asciiTheme="minorHAnsi" w:hAnsiTheme="minorHAnsi" w:cstheme="minorHAnsi"/>
                <w:b/>
                <w:bCs/>
              </w:rPr>
              <w:t>Form 3CD</w:t>
            </w:r>
          </w:p>
        </w:tc>
        <w:tc>
          <w:tcPr>
            <w:tcW w:w="1559" w:type="dxa"/>
            <w:shd w:val="clear" w:color="auto" w:fill="D6E3BC" w:themeFill="accent3" w:themeFillTint="66"/>
          </w:tcPr>
          <w:p w14:paraId="0F3EC3F8" w14:textId="77777777" w:rsidR="00302F35" w:rsidRDefault="00302F35" w:rsidP="00302F35">
            <w:pPr>
              <w:tabs>
                <w:tab w:val="left" w:pos="4820"/>
              </w:tabs>
              <w:spacing w:after="0" w:line="240" w:lineRule="auto"/>
              <w:jc w:val="center"/>
              <w:rPr>
                <w:rFonts w:asciiTheme="minorHAnsi" w:hAnsiTheme="minorHAnsi" w:cstheme="minorHAnsi"/>
                <w:bCs/>
              </w:rPr>
            </w:pPr>
          </w:p>
          <w:p w14:paraId="75F0CB6B" w14:textId="77777777" w:rsidR="00302F35" w:rsidRDefault="00302F35" w:rsidP="00302F35">
            <w:pPr>
              <w:tabs>
                <w:tab w:val="left" w:pos="4820"/>
              </w:tabs>
              <w:spacing w:after="0" w:line="240" w:lineRule="auto"/>
              <w:jc w:val="center"/>
              <w:rPr>
                <w:rFonts w:asciiTheme="minorHAnsi" w:hAnsiTheme="minorHAnsi" w:cstheme="minorHAnsi"/>
                <w:bCs/>
              </w:rPr>
            </w:pPr>
            <w:r w:rsidRPr="009444E6">
              <w:rPr>
                <w:rFonts w:asciiTheme="minorHAnsi" w:hAnsiTheme="minorHAnsi" w:cstheme="minorHAnsi"/>
                <w:bCs/>
              </w:rPr>
              <w:t>(AY 2021-22)</w:t>
            </w:r>
          </w:p>
        </w:tc>
        <w:tc>
          <w:tcPr>
            <w:tcW w:w="4796" w:type="dxa"/>
            <w:shd w:val="clear" w:color="auto" w:fill="D6E3BC" w:themeFill="accent3" w:themeFillTint="66"/>
            <w:noWrap/>
            <w:vAlign w:val="center"/>
          </w:tcPr>
          <w:p w14:paraId="31B8CF45" w14:textId="77777777" w:rsidR="00302F35" w:rsidRPr="001E1CA7" w:rsidRDefault="00302F35" w:rsidP="00302F35">
            <w:pPr>
              <w:tabs>
                <w:tab w:val="left" w:pos="4820"/>
              </w:tabs>
              <w:spacing w:after="0" w:line="240" w:lineRule="auto"/>
              <w:jc w:val="both"/>
              <w:rPr>
                <w:rFonts w:asciiTheme="minorHAnsi" w:hAnsiTheme="minorHAnsi" w:cstheme="minorHAnsi"/>
                <w:bCs/>
              </w:rPr>
            </w:pPr>
            <w:r>
              <w:rPr>
                <w:rFonts w:asciiTheme="minorHAnsi" w:hAnsiTheme="minorHAnsi" w:cstheme="minorHAnsi"/>
                <w:bCs/>
              </w:rPr>
              <w:t>Extended due date for f</w:t>
            </w:r>
            <w:r w:rsidRPr="001E1CA7">
              <w:rPr>
                <w:rFonts w:asciiTheme="minorHAnsi" w:hAnsiTheme="minorHAnsi" w:cstheme="minorHAnsi"/>
                <w:bCs/>
              </w:rPr>
              <w:t>iling T</w:t>
            </w:r>
            <w:r>
              <w:rPr>
                <w:rFonts w:asciiTheme="minorHAnsi" w:hAnsiTheme="minorHAnsi" w:cstheme="minorHAnsi"/>
                <w:bCs/>
              </w:rPr>
              <w:t>ax</w:t>
            </w:r>
            <w:r w:rsidRPr="001E1CA7">
              <w:rPr>
                <w:rFonts w:asciiTheme="minorHAnsi" w:hAnsiTheme="minorHAnsi" w:cstheme="minorHAnsi"/>
                <w:bCs/>
              </w:rPr>
              <w:t xml:space="preserve"> Audit Report for FY 2020-21</w:t>
            </w:r>
            <w:r>
              <w:rPr>
                <w:rFonts w:asciiTheme="minorHAnsi" w:hAnsiTheme="minorHAnsi" w:cstheme="minorHAnsi"/>
                <w:bCs/>
              </w:rPr>
              <w:t>.</w:t>
            </w:r>
          </w:p>
        </w:tc>
      </w:tr>
      <w:tr w:rsidR="00302F35" w:rsidRPr="00D27A53" w14:paraId="659179E3" w14:textId="77777777" w:rsidTr="00302F35">
        <w:trPr>
          <w:trHeight w:val="624"/>
        </w:trPr>
        <w:tc>
          <w:tcPr>
            <w:tcW w:w="1628" w:type="dxa"/>
            <w:shd w:val="clear" w:color="auto" w:fill="4E8542"/>
            <w:noWrap/>
            <w:vAlign w:val="center"/>
          </w:tcPr>
          <w:p w14:paraId="4B37402A" w14:textId="77777777" w:rsidR="00302F35" w:rsidRDefault="00302F35"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15</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lang w:val="en-IN"/>
              </w:rPr>
              <w:t xml:space="preserve"> February</w:t>
            </w:r>
          </w:p>
        </w:tc>
        <w:tc>
          <w:tcPr>
            <w:tcW w:w="1623" w:type="dxa"/>
            <w:shd w:val="clear" w:color="auto" w:fill="D6E3BC" w:themeFill="accent3" w:themeFillTint="66"/>
            <w:vAlign w:val="center"/>
          </w:tcPr>
          <w:p w14:paraId="21A57954" w14:textId="77777777" w:rsidR="00302F35" w:rsidRPr="007B6FAF" w:rsidRDefault="00302F35" w:rsidP="00302F35">
            <w:pPr>
              <w:pStyle w:val="ListParagraph"/>
              <w:ind w:left="43"/>
              <w:jc w:val="center"/>
              <w:rPr>
                <w:rFonts w:asciiTheme="minorHAnsi" w:hAnsiTheme="minorHAnsi" w:cstheme="minorHAnsi"/>
                <w:b/>
                <w:bCs/>
              </w:rPr>
            </w:pPr>
            <w:r w:rsidRPr="0046009E">
              <w:rPr>
                <w:rFonts w:asciiTheme="minorHAnsi" w:hAnsiTheme="minorHAnsi" w:cstheme="minorHAnsi"/>
                <w:b/>
                <w:bCs/>
              </w:rPr>
              <w:t>Form 3CEB</w:t>
            </w:r>
          </w:p>
        </w:tc>
        <w:tc>
          <w:tcPr>
            <w:tcW w:w="1559" w:type="dxa"/>
            <w:shd w:val="clear" w:color="auto" w:fill="D6E3BC" w:themeFill="accent3" w:themeFillTint="66"/>
          </w:tcPr>
          <w:p w14:paraId="642C5ED6" w14:textId="77777777" w:rsidR="00302F35" w:rsidRPr="009444E6" w:rsidRDefault="00302F35" w:rsidP="00302F35">
            <w:pPr>
              <w:tabs>
                <w:tab w:val="left" w:pos="4820"/>
              </w:tabs>
              <w:spacing w:after="0" w:line="240" w:lineRule="auto"/>
              <w:jc w:val="center"/>
              <w:rPr>
                <w:rFonts w:asciiTheme="minorHAnsi" w:hAnsiTheme="minorHAnsi" w:cstheme="minorHAnsi"/>
                <w:bCs/>
              </w:rPr>
            </w:pPr>
          </w:p>
          <w:p w14:paraId="153F10FC" w14:textId="77777777" w:rsidR="00302F35" w:rsidRDefault="00302F35" w:rsidP="00302F35">
            <w:pPr>
              <w:tabs>
                <w:tab w:val="left" w:pos="4820"/>
              </w:tabs>
              <w:spacing w:after="0" w:line="240" w:lineRule="auto"/>
              <w:jc w:val="center"/>
              <w:rPr>
                <w:rFonts w:asciiTheme="minorHAnsi" w:hAnsiTheme="minorHAnsi" w:cstheme="minorHAnsi"/>
                <w:bCs/>
              </w:rPr>
            </w:pPr>
            <w:r w:rsidRPr="009444E6">
              <w:rPr>
                <w:rFonts w:asciiTheme="minorHAnsi" w:hAnsiTheme="minorHAnsi" w:cstheme="minorHAnsi"/>
                <w:bCs/>
              </w:rPr>
              <w:t>FY 2020-21</w:t>
            </w:r>
          </w:p>
        </w:tc>
        <w:tc>
          <w:tcPr>
            <w:tcW w:w="4796" w:type="dxa"/>
            <w:shd w:val="clear" w:color="auto" w:fill="D6E3BC" w:themeFill="accent3" w:themeFillTint="66"/>
            <w:noWrap/>
            <w:vAlign w:val="center"/>
          </w:tcPr>
          <w:p w14:paraId="2F7B53D6" w14:textId="77777777" w:rsidR="00302F35" w:rsidRDefault="00302F35" w:rsidP="00302F35">
            <w:pPr>
              <w:tabs>
                <w:tab w:val="left" w:pos="4820"/>
              </w:tabs>
              <w:spacing w:after="0" w:line="240" w:lineRule="auto"/>
              <w:jc w:val="both"/>
              <w:rPr>
                <w:rFonts w:asciiTheme="minorHAnsi" w:hAnsiTheme="minorHAnsi" w:cstheme="minorHAnsi"/>
                <w:bCs/>
              </w:rPr>
            </w:pPr>
            <w:r>
              <w:rPr>
                <w:rFonts w:asciiTheme="minorHAnsi" w:hAnsiTheme="minorHAnsi" w:cstheme="minorHAnsi"/>
                <w:bCs/>
              </w:rPr>
              <w:t>Extended due date for f</w:t>
            </w:r>
            <w:r w:rsidRPr="001E1CA7">
              <w:rPr>
                <w:rFonts w:asciiTheme="minorHAnsi" w:hAnsiTheme="minorHAnsi" w:cstheme="minorHAnsi"/>
                <w:bCs/>
              </w:rPr>
              <w:t>iling T</w:t>
            </w:r>
            <w:r>
              <w:rPr>
                <w:rFonts w:asciiTheme="minorHAnsi" w:hAnsiTheme="minorHAnsi" w:cstheme="minorHAnsi"/>
                <w:bCs/>
              </w:rPr>
              <w:t>ax</w:t>
            </w:r>
            <w:r w:rsidRPr="001E1CA7">
              <w:rPr>
                <w:rFonts w:asciiTheme="minorHAnsi" w:hAnsiTheme="minorHAnsi" w:cstheme="minorHAnsi"/>
                <w:bCs/>
              </w:rPr>
              <w:t xml:space="preserve"> Audit Report for (international or specified domestic transactions)</w:t>
            </w:r>
          </w:p>
          <w:p w14:paraId="294C0CBD" w14:textId="77777777" w:rsidR="00302F35" w:rsidRPr="001E1CA7" w:rsidRDefault="00302F35" w:rsidP="00302F35">
            <w:pPr>
              <w:tabs>
                <w:tab w:val="left" w:pos="4820"/>
              </w:tabs>
              <w:spacing w:after="0" w:line="240" w:lineRule="auto"/>
              <w:jc w:val="both"/>
              <w:rPr>
                <w:rFonts w:asciiTheme="minorHAnsi" w:hAnsiTheme="minorHAnsi" w:cstheme="minorHAnsi"/>
                <w:bCs/>
              </w:rPr>
            </w:pPr>
          </w:p>
        </w:tc>
      </w:tr>
      <w:tr w:rsidR="0064641F" w:rsidRPr="00D27A53" w14:paraId="5996D91E" w14:textId="77777777" w:rsidTr="00302F35">
        <w:trPr>
          <w:trHeight w:val="624"/>
        </w:trPr>
        <w:tc>
          <w:tcPr>
            <w:tcW w:w="1628" w:type="dxa"/>
            <w:shd w:val="clear" w:color="auto" w:fill="4E8542"/>
            <w:noWrap/>
            <w:vAlign w:val="center"/>
          </w:tcPr>
          <w:p w14:paraId="3B3FDD96" w14:textId="0BCF69D8" w:rsidR="0064641F" w:rsidRDefault="0064641F" w:rsidP="00302F3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BB74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1C24A44D" w14:textId="79C2906F" w:rsidR="0064641F" w:rsidRPr="0046009E" w:rsidRDefault="0064641F" w:rsidP="00302F35">
            <w:pPr>
              <w:pStyle w:val="ListParagraph"/>
              <w:ind w:left="43"/>
              <w:jc w:val="center"/>
              <w:rPr>
                <w:rFonts w:asciiTheme="minorHAnsi" w:hAnsiTheme="minorHAnsi" w:cstheme="minorHAnsi"/>
                <w:b/>
                <w:bCs/>
              </w:rPr>
            </w:pPr>
            <w:r>
              <w:rPr>
                <w:rFonts w:asciiTheme="minorHAnsi" w:hAnsiTheme="minorHAnsi" w:cstheme="minorHAnsi"/>
                <w:b/>
                <w:bCs/>
              </w:rPr>
              <w:t>GSTR-6</w:t>
            </w:r>
          </w:p>
        </w:tc>
        <w:tc>
          <w:tcPr>
            <w:tcW w:w="1559" w:type="dxa"/>
            <w:shd w:val="clear" w:color="auto" w:fill="D6E3BC" w:themeFill="accent3" w:themeFillTint="66"/>
          </w:tcPr>
          <w:p w14:paraId="44BFEB86" w14:textId="0C0454C9" w:rsidR="0064641F" w:rsidRPr="009444E6" w:rsidRDefault="0064641F" w:rsidP="00302F35">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 2022</w:t>
            </w:r>
          </w:p>
        </w:tc>
        <w:tc>
          <w:tcPr>
            <w:tcW w:w="4796" w:type="dxa"/>
            <w:shd w:val="clear" w:color="auto" w:fill="D6E3BC" w:themeFill="accent3" w:themeFillTint="66"/>
            <w:noWrap/>
            <w:vAlign w:val="center"/>
          </w:tcPr>
          <w:p w14:paraId="11BB4D72" w14:textId="76366038" w:rsidR="0064641F" w:rsidRDefault="0064641F" w:rsidP="00302F35">
            <w:pPr>
              <w:tabs>
                <w:tab w:val="left" w:pos="4820"/>
              </w:tabs>
              <w:spacing w:after="0" w:line="240" w:lineRule="auto"/>
              <w:jc w:val="both"/>
              <w:rPr>
                <w:rFonts w:asciiTheme="minorHAnsi" w:hAnsiTheme="minorHAnsi" w:cstheme="minorHAnsi"/>
                <w:bCs/>
              </w:rPr>
            </w:pPr>
            <w:r w:rsidRPr="0064641F">
              <w:rPr>
                <w:rFonts w:asciiTheme="minorHAnsi" w:hAnsiTheme="minorHAnsi" w:cstheme="minorHAnsi"/>
                <w:bCs/>
              </w:rPr>
              <w:t xml:space="preserve">Return that </w:t>
            </w:r>
            <w:proofErr w:type="gramStart"/>
            <w:r w:rsidRPr="0064641F">
              <w:rPr>
                <w:rFonts w:asciiTheme="minorHAnsi" w:hAnsiTheme="minorHAnsi" w:cstheme="minorHAnsi"/>
                <w:bCs/>
              </w:rPr>
              <w:t>has to</w:t>
            </w:r>
            <w:proofErr w:type="gramEnd"/>
            <w:r w:rsidRPr="0064641F">
              <w:rPr>
                <w:rFonts w:asciiTheme="minorHAnsi" w:hAnsiTheme="minorHAnsi" w:cstheme="minorHAnsi"/>
                <w:bCs/>
              </w:rPr>
              <w:t xml:space="preserve"> be filed by an Input Service Distributor</w:t>
            </w:r>
            <w:r>
              <w:rPr>
                <w:rFonts w:asciiTheme="minorHAnsi" w:hAnsiTheme="minorHAnsi" w:cstheme="minorHAnsi"/>
                <w:bCs/>
              </w:rPr>
              <w:t xml:space="preserve"> (ISD) under GST</w:t>
            </w:r>
            <w:r w:rsidRPr="0064641F">
              <w:rPr>
                <w:rFonts w:asciiTheme="minorHAnsi" w:hAnsiTheme="minorHAnsi" w:cstheme="minorHAnsi"/>
                <w:bCs/>
              </w:rPr>
              <w:t>.</w:t>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3A918894" w:rsidR="001D6F9D" w:rsidRDefault="001D6F9D" w:rsidP="00F474C8">
      <w:pPr>
        <w:tabs>
          <w:tab w:val="left" w:pos="3039"/>
          <w:tab w:val="left" w:pos="4820"/>
        </w:tabs>
        <w:rPr>
          <w:rFonts w:cstheme="minorHAnsi"/>
          <w:b/>
          <w:sz w:val="32"/>
          <w:lang w:val="en-GB"/>
        </w:rPr>
      </w:pPr>
    </w:p>
    <w:p w14:paraId="7C315E85" w14:textId="77777777" w:rsidR="001E1CA7" w:rsidRDefault="001E1CA7"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53149FFC" w:rsidR="001D39A9" w:rsidRPr="0072359D" w:rsidRDefault="00360A95"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2674B1AE" w14:textId="3ED93231" w:rsidR="00182149" w:rsidRPr="00580D66" w:rsidRDefault="00A35C33" w:rsidP="00CD4564">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I</w:t>
      </w:r>
      <w:r w:rsidRPr="00A35C33">
        <w:rPr>
          <w:rFonts w:asciiTheme="minorHAnsi" w:hAnsiTheme="minorHAnsi" w:cstheme="minorHAnsi"/>
          <w:b/>
          <w:bCs/>
          <w:caps/>
          <w:lang w:val="en-IN"/>
        </w:rPr>
        <w:t xml:space="preserve">ndian Government releases </w:t>
      </w:r>
      <w:r w:rsidR="003F72E6">
        <w:rPr>
          <w:rFonts w:asciiTheme="minorHAnsi" w:hAnsiTheme="minorHAnsi" w:cstheme="minorHAnsi"/>
          <w:b/>
          <w:bCs/>
          <w:caps/>
          <w:lang w:val="en-IN"/>
        </w:rPr>
        <w:t xml:space="preserve">CLARIFICATION IN RESPECT OF </w:t>
      </w:r>
      <w:r w:rsidRPr="00A35C33">
        <w:rPr>
          <w:rFonts w:asciiTheme="minorHAnsi" w:hAnsiTheme="minorHAnsi" w:cstheme="minorHAnsi"/>
          <w:b/>
          <w:bCs/>
          <w:caps/>
          <w:lang w:val="en-IN"/>
        </w:rPr>
        <w:t xml:space="preserve">restrictive interpretation of </w:t>
      </w:r>
      <w:r w:rsidR="000D6D17">
        <w:rPr>
          <w:rFonts w:asciiTheme="minorHAnsi" w:hAnsiTheme="minorHAnsi" w:cstheme="minorHAnsi"/>
          <w:b/>
          <w:bCs/>
          <w:caps/>
          <w:lang w:val="en-IN"/>
        </w:rPr>
        <w:t>Most-Favoured-Nation (MFN)</w:t>
      </w:r>
      <w:r w:rsidRPr="00A35C33">
        <w:rPr>
          <w:rFonts w:asciiTheme="minorHAnsi" w:hAnsiTheme="minorHAnsi" w:cstheme="minorHAnsi"/>
          <w:b/>
          <w:bCs/>
          <w:caps/>
          <w:lang w:val="en-IN"/>
        </w:rPr>
        <w:t xml:space="preserve"> clause</w:t>
      </w:r>
    </w:p>
    <w:p w14:paraId="3A9BF5C4" w14:textId="25DB863D" w:rsidR="00A35C33" w:rsidRPr="00A35C33" w:rsidRDefault="00CA5A4F" w:rsidP="00A35C33">
      <w:pPr>
        <w:pStyle w:val="NormalWeb"/>
        <w:shd w:val="clear" w:color="auto" w:fill="FFFFFF"/>
        <w:jc w:val="both"/>
        <w:rPr>
          <w:rFonts w:asciiTheme="minorHAnsi" w:hAnsiTheme="minorHAnsi" w:cstheme="minorHAnsi"/>
          <w:sz w:val="22"/>
          <w:szCs w:val="22"/>
          <w:shd w:val="clear" w:color="auto" w:fill="FFFFFF"/>
        </w:rPr>
      </w:pPr>
      <w:r w:rsidRPr="00226580">
        <w:rPr>
          <w:rFonts w:asciiTheme="minorHAnsi" w:hAnsiTheme="minorHAnsi" w:cstheme="minorHAnsi"/>
          <w:b/>
          <w:bCs/>
          <w:color w:val="000000" w:themeColor="text1"/>
          <w:sz w:val="22"/>
          <w:szCs w:val="22"/>
          <w:shd w:val="clear" w:color="auto" w:fill="FFFFFF"/>
        </w:rPr>
        <w:t>OUR COMMENTS:</w:t>
      </w:r>
      <w:r w:rsidR="00360A95">
        <w:rPr>
          <w:rFonts w:asciiTheme="minorHAnsi" w:hAnsiTheme="minorHAnsi" w:cstheme="minorHAnsi"/>
          <w:b/>
          <w:bCs/>
          <w:color w:val="000000" w:themeColor="text1"/>
          <w:shd w:val="clear" w:color="auto" w:fill="FFFFFF"/>
        </w:rPr>
        <w:t xml:space="preserve"> </w:t>
      </w:r>
      <w:r w:rsidR="00A35C33" w:rsidRPr="00A35C33">
        <w:rPr>
          <w:rFonts w:asciiTheme="minorHAnsi" w:hAnsiTheme="minorHAnsi" w:cstheme="minorHAnsi"/>
          <w:sz w:val="22"/>
          <w:szCs w:val="22"/>
          <w:shd w:val="clear" w:color="auto" w:fill="FFFFFF"/>
        </w:rPr>
        <w:t xml:space="preserve">India's DTAAs with certain countries have an MFN clause which provides that if, after the signature/entry into force of those DTAAs, India </w:t>
      </w:r>
      <w:proofErr w:type="gramStart"/>
      <w:r w:rsidR="00A35C33" w:rsidRPr="00A35C33">
        <w:rPr>
          <w:rFonts w:asciiTheme="minorHAnsi" w:hAnsiTheme="minorHAnsi" w:cstheme="minorHAnsi"/>
          <w:sz w:val="22"/>
          <w:szCs w:val="22"/>
          <w:shd w:val="clear" w:color="auto" w:fill="FFFFFF"/>
        </w:rPr>
        <w:t>enters into</w:t>
      </w:r>
      <w:proofErr w:type="gramEnd"/>
      <w:r w:rsidR="00A35C33" w:rsidRPr="00A35C33">
        <w:rPr>
          <w:rFonts w:asciiTheme="minorHAnsi" w:hAnsiTheme="minorHAnsi" w:cstheme="minorHAnsi"/>
          <w:sz w:val="22"/>
          <w:szCs w:val="22"/>
          <w:shd w:val="clear" w:color="auto" w:fill="FFFFFF"/>
        </w:rPr>
        <w:t xml:space="preserve"> a DTAA on a later date with another OECD member country, providing a beneficial rate or restrictive scope of taxation of dividends, interest, royalties, etc., then a similar benefit should be accorded under the former DTAAs.</w:t>
      </w:r>
    </w:p>
    <w:p w14:paraId="0C592A13" w14:textId="2D676336" w:rsidR="009E09F1" w:rsidRDefault="00A35C33" w:rsidP="00A35C33">
      <w:pPr>
        <w:pStyle w:val="NormalWeb"/>
        <w:shd w:val="clear" w:color="auto" w:fill="FFFFFF"/>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Illustratively, DTAAs signed subsequently by India with countries like Slovenia, Colombia and Lithuania provide for a lower withholding tax (WHT) rate of 5% for dividends, subject to certain conditions. However, these countries were not OECD members when their respective DTAAs with India were entered into but became OECD members only </w:t>
      </w:r>
      <w:proofErr w:type="gramStart"/>
      <w:r w:rsidRPr="00A35C33">
        <w:rPr>
          <w:rFonts w:asciiTheme="minorHAnsi" w:hAnsiTheme="minorHAnsi" w:cstheme="minorHAnsi"/>
          <w:sz w:val="22"/>
          <w:szCs w:val="22"/>
          <w:shd w:val="clear" w:color="auto" w:fill="FFFFFF"/>
        </w:rPr>
        <w:t>at a later date</w:t>
      </w:r>
      <w:proofErr w:type="gramEnd"/>
      <w:r w:rsidRPr="00A35C33">
        <w:rPr>
          <w:rFonts w:asciiTheme="minorHAnsi" w:hAnsiTheme="minorHAnsi" w:cstheme="minorHAnsi"/>
          <w:sz w:val="22"/>
          <w:szCs w:val="22"/>
          <w:shd w:val="clear" w:color="auto" w:fill="FFFFFF"/>
        </w:rPr>
        <w:t>.</w:t>
      </w:r>
      <w:r w:rsidRPr="00A35C33">
        <w:rPr>
          <w:rFonts w:asciiTheme="minorHAnsi" w:hAnsiTheme="minorHAnsi" w:cstheme="minorHAnsi"/>
          <w:sz w:val="22"/>
          <w:szCs w:val="22"/>
          <w:shd w:val="clear" w:color="auto" w:fill="FFFFFF"/>
          <w:vertAlign w:val="superscript"/>
        </w:rPr>
        <w:t> </w:t>
      </w:r>
      <w:r w:rsidRPr="00A35C33">
        <w:rPr>
          <w:rFonts w:asciiTheme="minorHAnsi" w:hAnsiTheme="minorHAnsi" w:cstheme="minorHAnsi"/>
          <w:sz w:val="22"/>
          <w:szCs w:val="22"/>
          <w:shd w:val="clear" w:color="auto" w:fill="FFFFFF"/>
        </w:rPr>
        <w:t>There was a lack of judicial guidance on whether the beneficial WHT rate on dividends under the DTAAs with Slovenia, Lithuania and Colombia could be applied to other DTAAs which have an MFN clause. A Court ruling</w:t>
      </w:r>
      <w:r w:rsidRPr="00A35C33">
        <w:rPr>
          <w:rFonts w:asciiTheme="minorHAnsi" w:hAnsiTheme="minorHAnsi" w:cstheme="minorHAnsi"/>
          <w:sz w:val="22"/>
          <w:szCs w:val="22"/>
          <w:shd w:val="clear" w:color="auto" w:fill="FFFFFF"/>
          <w:vertAlign w:val="superscript"/>
        </w:rPr>
        <w:t>5 </w:t>
      </w:r>
      <w:r w:rsidRPr="00A35C33">
        <w:rPr>
          <w:rFonts w:asciiTheme="minorHAnsi" w:hAnsiTheme="minorHAnsi" w:cstheme="minorHAnsi"/>
          <w:sz w:val="22"/>
          <w:szCs w:val="22"/>
          <w:shd w:val="clear" w:color="auto" w:fill="FFFFFF"/>
        </w:rPr>
        <w:t xml:space="preserve">interpreted the MFN provisions in </w:t>
      </w:r>
      <w:r w:rsidR="003F72E6" w:rsidRPr="00A35C33">
        <w:rPr>
          <w:rFonts w:asciiTheme="minorHAnsi" w:hAnsiTheme="minorHAnsi" w:cstheme="minorHAnsi"/>
          <w:sz w:val="22"/>
          <w:szCs w:val="22"/>
          <w:shd w:val="clear" w:color="auto" w:fill="FFFFFF"/>
        </w:rPr>
        <w:t>favour</w:t>
      </w:r>
      <w:r w:rsidRPr="00A35C33">
        <w:rPr>
          <w:rFonts w:asciiTheme="minorHAnsi" w:hAnsiTheme="minorHAnsi" w:cstheme="minorHAnsi"/>
          <w:sz w:val="22"/>
          <w:szCs w:val="22"/>
          <w:shd w:val="clear" w:color="auto" w:fill="FFFFFF"/>
        </w:rPr>
        <w:t xml:space="preserve"> of the taxpayer, granting the benefit of the lower WHT rate and this ruling was subsequently followed by various other Indian Courts.</w:t>
      </w:r>
    </w:p>
    <w:p w14:paraId="31074B7B" w14:textId="2524B5A4" w:rsidR="00A35C33" w:rsidRPr="00A35C33" w:rsidRDefault="00A35C33" w:rsidP="00A35C33">
      <w:pPr>
        <w:pStyle w:val="NormalWeb"/>
        <w:shd w:val="clear" w:color="auto" w:fill="FFFFFF"/>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In addition, countries like the Netherlands and France published a unilateral decree/ notification</w:t>
      </w:r>
      <w:r w:rsidRPr="00A35C33">
        <w:rPr>
          <w:rFonts w:asciiTheme="minorHAnsi" w:hAnsiTheme="minorHAnsi" w:cstheme="minorHAnsi"/>
          <w:sz w:val="22"/>
          <w:szCs w:val="22"/>
          <w:shd w:val="clear" w:color="auto" w:fill="FFFFFF"/>
          <w:vertAlign w:val="superscript"/>
        </w:rPr>
        <w:t>7</w:t>
      </w:r>
      <w:r w:rsidRPr="00A35C33">
        <w:rPr>
          <w:rFonts w:asciiTheme="minorHAnsi" w:hAnsiTheme="minorHAnsi" w:cstheme="minorHAnsi"/>
          <w:sz w:val="22"/>
          <w:szCs w:val="22"/>
          <w:shd w:val="clear" w:color="auto" w:fill="FFFFFF"/>
        </w:rPr>
        <w:t> which categorically provides that the benefit of 5% dividend WHT rate as available in the DTAA with Slovenia shall be made applicable to the DTAA with the Netherlands and France. The Swiss competent authorities also released a similar statement on 13 August 2021.</w:t>
      </w:r>
    </w:p>
    <w:p w14:paraId="6D5B92F9" w14:textId="5A73C1B8" w:rsidR="00A35C33" w:rsidRPr="00A35C33" w:rsidRDefault="00A35C33" w:rsidP="00BB74B5">
      <w:pPr>
        <w:pStyle w:val="NormalWeb"/>
        <w:shd w:val="clear" w:color="auto" w:fill="FFFFFF"/>
        <w:spacing w:before="0" w:beforeAutospacing="0" w:after="0" w:afterAutospacing="0"/>
        <w:jc w:val="both"/>
        <w:rPr>
          <w:rFonts w:asciiTheme="minorHAnsi" w:hAnsiTheme="minorHAnsi" w:cstheme="minorHAnsi"/>
          <w:b/>
          <w:bCs/>
          <w:sz w:val="22"/>
          <w:szCs w:val="22"/>
          <w:shd w:val="clear" w:color="auto" w:fill="FFFFFF"/>
        </w:rPr>
      </w:pPr>
      <w:r w:rsidRPr="00A35C33">
        <w:rPr>
          <w:rFonts w:asciiTheme="minorHAnsi" w:hAnsiTheme="minorHAnsi" w:cstheme="minorHAnsi"/>
          <w:b/>
          <w:bCs/>
          <w:sz w:val="22"/>
          <w:szCs w:val="22"/>
          <w:shd w:val="clear" w:color="auto" w:fill="FFFFFF"/>
        </w:rPr>
        <w:t xml:space="preserve">Clarification </w:t>
      </w:r>
    </w:p>
    <w:p w14:paraId="6D2257A9" w14:textId="77777777" w:rsidR="00A35C33" w:rsidRPr="00A35C33" w:rsidRDefault="00A35C33" w:rsidP="00BB74B5">
      <w:pPr>
        <w:pStyle w:val="NormalWeb"/>
        <w:shd w:val="clear" w:color="auto" w:fill="FFFFFF"/>
        <w:spacing w:before="0" w:beforeAutospacing="0"/>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The Circular clarifies India's position on the interpretation of the MFN clause present in the Protocol to India's DTAAs, especially with certain European states and OECD member countries, as follows:</w:t>
      </w:r>
    </w:p>
    <w:p w14:paraId="3A555BC6" w14:textId="77777777" w:rsidR="009E09F1" w:rsidRDefault="00A35C33" w:rsidP="009E09F1">
      <w:pPr>
        <w:pStyle w:val="NormalWeb"/>
        <w:numPr>
          <w:ilvl w:val="0"/>
          <w:numId w:val="12"/>
        </w:numPr>
        <w:shd w:val="clear" w:color="auto" w:fill="FFFFFF"/>
        <w:tabs>
          <w:tab w:val="clear" w:pos="720"/>
        </w:tabs>
        <w:ind w:left="142" w:hanging="142"/>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A plain reading of the MFN clause in the DTAA provides that the third State </w:t>
      </w:r>
      <w:proofErr w:type="gramStart"/>
      <w:r w:rsidRPr="00A35C33">
        <w:rPr>
          <w:rFonts w:asciiTheme="minorHAnsi" w:hAnsiTheme="minorHAnsi" w:cstheme="minorHAnsi"/>
          <w:sz w:val="22"/>
          <w:szCs w:val="22"/>
          <w:shd w:val="clear" w:color="auto" w:fill="FFFFFF"/>
        </w:rPr>
        <w:t>has to</w:t>
      </w:r>
      <w:proofErr w:type="gramEnd"/>
      <w:r w:rsidRPr="00A35C33">
        <w:rPr>
          <w:rFonts w:asciiTheme="minorHAnsi" w:hAnsiTheme="minorHAnsi" w:cstheme="minorHAnsi"/>
          <w:sz w:val="22"/>
          <w:szCs w:val="22"/>
          <w:shd w:val="clear" w:color="auto" w:fill="FFFFFF"/>
        </w:rPr>
        <w:t xml:space="preserve"> be a member of the OECD both at the time of conclusion of the respective DTAA with India as well as at the time of applicability of the MFN clause.</w:t>
      </w:r>
    </w:p>
    <w:p w14:paraId="5F297724" w14:textId="628F9BB5" w:rsidR="009E09F1" w:rsidRPr="009E09F1" w:rsidRDefault="00A35C33" w:rsidP="009E09F1">
      <w:pPr>
        <w:pStyle w:val="NormalWeb"/>
        <w:numPr>
          <w:ilvl w:val="0"/>
          <w:numId w:val="12"/>
        </w:numPr>
        <w:shd w:val="clear" w:color="auto" w:fill="FFFFFF"/>
        <w:tabs>
          <w:tab w:val="clear" w:pos="720"/>
        </w:tabs>
        <w:ind w:left="142" w:hanging="142"/>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Unilateral decrees, notifications, and clarifications given by the treaty partner(s) do not represent a shared understanding on the applicability of the MFN clause and </w:t>
      </w:r>
      <w:r w:rsidRPr="00A35C33">
        <w:rPr>
          <w:rFonts w:asciiTheme="minorHAnsi" w:hAnsiTheme="minorHAnsi" w:cstheme="minorHAnsi"/>
          <w:sz w:val="22"/>
          <w:szCs w:val="22"/>
          <w:shd w:val="clear" w:color="auto" w:fill="FFFFFF"/>
        </w:rPr>
        <w:t>have no binding effect on India as the same have been issued without any consultation</w:t>
      </w:r>
      <w:r w:rsidR="009E09F1" w:rsidRPr="009E09F1">
        <w:rPr>
          <w:rFonts w:asciiTheme="minorHAnsi" w:hAnsiTheme="minorHAnsi" w:cstheme="minorHAnsi"/>
          <w:sz w:val="22"/>
          <w:szCs w:val="22"/>
          <w:shd w:val="clear" w:color="auto" w:fill="FFFFFF"/>
        </w:rPr>
        <w:t>.</w:t>
      </w:r>
    </w:p>
    <w:p w14:paraId="76952755" w14:textId="77777777" w:rsidR="009E09F1" w:rsidRDefault="00A35C33" w:rsidP="009E09F1">
      <w:pPr>
        <w:pStyle w:val="NormalWeb"/>
        <w:numPr>
          <w:ilvl w:val="0"/>
          <w:numId w:val="12"/>
        </w:numPr>
        <w:shd w:val="clear" w:color="auto" w:fill="FFFFFF"/>
        <w:tabs>
          <w:tab w:val="clear" w:pos="720"/>
          <w:tab w:val="num" w:pos="426"/>
        </w:tabs>
        <w:ind w:left="284" w:hanging="142"/>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The concessional rate or restricted scope of taxation is to apply from the date of entry into force of the DTAA with the third State and not from the date on which such third State becomes an OECD member.</w:t>
      </w:r>
    </w:p>
    <w:p w14:paraId="44CF34BD" w14:textId="77777777" w:rsidR="009E09F1" w:rsidRDefault="00A35C33" w:rsidP="009E09F1">
      <w:pPr>
        <w:pStyle w:val="NormalWeb"/>
        <w:numPr>
          <w:ilvl w:val="0"/>
          <w:numId w:val="12"/>
        </w:numPr>
        <w:shd w:val="clear" w:color="auto" w:fill="FFFFFF"/>
        <w:tabs>
          <w:tab w:val="clear" w:pos="720"/>
          <w:tab w:val="num" w:pos="426"/>
        </w:tabs>
        <w:ind w:left="284" w:hanging="142"/>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A notification under the provisions of the ITL is required to implement the provisions of a DTAA. India has not issued any notification importing the beneficial provisions from DTAAs with Slovenia, </w:t>
      </w:r>
      <w:proofErr w:type="gramStart"/>
      <w:r w:rsidRPr="00A35C33">
        <w:rPr>
          <w:rFonts w:asciiTheme="minorHAnsi" w:hAnsiTheme="minorHAnsi" w:cstheme="minorHAnsi"/>
          <w:sz w:val="22"/>
          <w:szCs w:val="22"/>
          <w:shd w:val="clear" w:color="auto" w:fill="FFFFFF"/>
        </w:rPr>
        <w:t>Lithuania</w:t>
      </w:r>
      <w:proofErr w:type="gramEnd"/>
      <w:r w:rsidRPr="00A35C33">
        <w:rPr>
          <w:rFonts w:asciiTheme="minorHAnsi" w:hAnsiTheme="minorHAnsi" w:cstheme="minorHAnsi"/>
          <w:sz w:val="22"/>
          <w:szCs w:val="22"/>
          <w:shd w:val="clear" w:color="auto" w:fill="FFFFFF"/>
        </w:rPr>
        <w:t xml:space="preserve"> and Colombia to the DTAAs with France, Netherlands or Switzerland.</w:t>
      </w:r>
    </w:p>
    <w:p w14:paraId="5E0C9C35" w14:textId="77777777" w:rsidR="009E09F1" w:rsidRDefault="00A35C33" w:rsidP="00A35C33">
      <w:pPr>
        <w:pStyle w:val="NormalWeb"/>
        <w:numPr>
          <w:ilvl w:val="0"/>
          <w:numId w:val="12"/>
        </w:numPr>
        <w:shd w:val="clear" w:color="auto" w:fill="FFFFFF"/>
        <w:tabs>
          <w:tab w:val="clear" w:pos="720"/>
          <w:tab w:val="num" w:pos="426"/>
        </w:tabs>
        <w:ind w:left="284" w:hanging="142"/>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Selective invocation and application of the MFN clause as reflected in the unilateral instruments of the Netherlands, France, and Switzerland are not permitted as per the rules of interpretation of international treaties. For example, the India-Lithuania DTAA provides for the beneficial WHT rate of 5% on dividend income only if the company receiving the dividends holds directly at least 10% of the capital of the company paying the dividends. However, in all other cases, the WHT rate prescribed is 15%. Import of only the concessional rate of 5% and not the 15% rate for other cases by invoking the MFN clause is not justified.</w:t>
      </w:r>
    </w:p>
    <w:p w14:paraId="176D46D9" w14:textId="4E6A4602" w:rsidR="00A35C33" w:rsidRPr="00A35C33" w:rsidRDefault="00A35C33" w:rsidP="009E09F1">
      <w:pPr>
        <w:pStyle w:val="NormalWeb"/>
        <w:shd w:val="clear" w:color="auto" w:fill="FFFFFF"/>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The Circular clarifies that the benefit of a lower rate and restricted scope under the MFN clause will be provided only when all the following conditions are satisfied cumulatively:</w:t>
      </w:r>
    </w:p>
    <w:p w14:paraId="2A3BF081" w14:textId="77777777" w:rsidR="009E09F1" w:rsidRDefault="00A35C33" w:rsidP="009E09F1">
      <w:pPr>
        <w:pStyle w:val="NormalWeb"/>
        <w:numPr>
          <w:ilvl w:val="0"/>
          <w:numId w:val="13"/>
        </w:numPr>
        <w:shd w:val="clear" w:color="auto" w:fill="FFFFFF"/>
        <w:tabs>
          <w:tab w:val="clear" w:pos="720"/>
        </w:tabs>
        <w:ind w:left="284" w:hanging="284"/>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India's DTAA with the third State is entered into after the signature/entry into force (depending on the language of the MFN clause) of India's DTAA with the second State.</w:t>
      </w:r>
    </w:p>
    <w:p w14:paraId="5255F65C" w14:textId="77777777" w:rsidR="009E09F1" w:rsidRDefault="00A35C33" w:rsidP="009E09F1">
      <w:pPr>
        <w:pStyle w:val="NormalWeb"/>
        <w:numPr>
          <w:ilvl w:val="0"/>
          <w:numId w:val="13"/>
        </w:numPr>
        <w:shd w:val="clear" w:color="auto" w:fill="FFFFFF"/>
        <w:tabs>
          <w:tab w:val="clear" w:pos="720"/>
        </w:tabs>
        <w:ind w:left="284" w:hanging="284"/>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The third State </w:t>
      </w:r>
      <w:proofErr w:type="gramStart"/>
      <w:r w:rsidRPr="00A35C33">
        <w:rPr>
          <w:rFonts w:asciiTheme="minorHAnsi" w:hAnsiTheme="minorHAnsi" w:cstheme="minorHAnsi"/>
          <w:sz w:val="22"/>
          <w:szCs w:val="22"/>
          <w:shd w:val="clear" w:color="auto" w:fill="FFFFFF"/>
        </w:rPr>
        <w:t>has to</w:t>
      </w:r>
      <w:proofErr w:type="gramEnd"/>
      <w:r w:rsidRPr="00A35C33">
        <w:rPr>
          <w:rFonts w:asciiTheme="minorHAnsi" w:hAnsiTheme="minorHAnsi" w:cstheme="minorHAnsi"/>
          <w:sz w:val="22"/>
          <w:szCs w:val="22"/>
          <w:shd w:val="clear" w:color="auto" w:fill="FFFFFF"/>
        </w:rPr>
        <w:t xml:space="preserve"> be an OECD member at the time of signing its DTAA with India.</w:t>
      </w:r>
    </w:p>
    <w:p w14:paraId="20188E71" w14:textId="77777777" w:rsidR="009E09F1" w:rsidRDefault="00A35C33" w:rsidP="009E09F1">
      <w:pPr>
        <w:pStyle w:val="NormalWeb"/>
        <w:numPr>
          <w:ilvl w:val="0"/>
          <w:numId w:val="13"/>
        </w:numPr>
        <w:shd w:val="clear" w:color="auto" w:fill="FFFFFF"/>
        <w:tabs>
          <w:tab w:val="clear" w:pos="720"/>
        </w:tabs>
        <w:ind w:left="284" w:hanging="284"/>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India limits its taxing rights in relation to the rate or scope of taxation in its DTAA with the third State.</w:t>
      </w:r>
    </w:p>
    <w:p w14:paraId="7B53AF2E" w14:textId="7255C72F" w:rsidR="00A35C33" w:rsidRPr="00A35C33" w:rsidRDefault="00A35C33" w:rsidP="009E09F1">
      <w:pPr>
        <w:pStyle w:val="NormalWeb"/>
        <w:numPr>
          <w:ilvl w:val="0"/>
          <w:numId w:val="13"/>
        </w:numPr>
        <w:shd w:val="clear" w:color="auto" w:fill="FFFFFF"/>
        <w:tabs>
          <w:tab w:val="clear" w:pos="720"/>
        </w:tabs>
        <w:ind w:left="284" w:hanging="284"/>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India issues a separate notification under the ITL for importing the </w:t>
      </w:r>
      <w:r w:rsidR="003F72E6" w:rsidRPr="00A35C33">
        <w:rPr>
          <w:rFonts w:asciiTheme="minorHAnsi" w:hAnsiTheme="minorHAnsi" w:cstheme="minorHAnsi"/>
          <w:sz w:val="22"/>
          <w:szCs w:val="22"/>
          <w:shd w:val="clear" w:color="auto" w:fill="FFFFFF"/>
        </w:rPr>
        <w:t>favourable</w:t>
      </w:r>
      <w:r w:rsidRPr="00A35C33">
        <w:rPr>
          <w:rFonts w:asciiTheme="minorHAnsi" w:hAnsiTheme="minorHAnsi" w:cstheme="minorHAnsi"/>
          <w:sz w:val="22"/>
          <w:szCs w:val="22"/>
          <w:shd w:val="clear" w:color="auto" w:fill="FFFFFF"/>
        </w:rPr>
        <w:t xml:space="preserve"> benefits of the DTAA with the third State into the DTAA with the second state.</w:t>
      </w:r>
    </w:p>
    <w:p w14:paraId="54746511" w14:textId="5FC75B98" w:rsidR="00A35C33" w:rsidRPr="00A35C33" w:rsidRDefault="00A35C33" w:rsidP="00A35C33">
      <w:pPr>
        <w:pStyle w:val="NormalWeb"/>
        <w:shd w:val="clear" w:color="auto" w:fill="FFFFFF"/>
        <w:jc w:val="both"/>
        <w:rPr>
          <w:rFonts w:asciiTheme="minorHAnsi" w:hAnsiTheme="minorHAnsi" w:cstheme="minorHAnsi"/>
          <w:sz w:val="22"/>
          <w:szCs w:val="22"/>
          <w:shd w:val="clear" w:color="auto" w:fill="FFFFFF"/>
        </w:rPr>
      </w:pPr>
      <w:r w:rsidRPr="00A35C33">
        <w:rPr>
          <w:rFonts w:asciiTheme="minorHAnsi" w:hAnsiTheme="minorHAnsi" w:cstheme="minorHAnsi"/>
          <w:sz w:val="22"/>
          <w:szCs w:val="22"/>
          <w:shd w:val="clear" w:color="auto" w:fill="FFFFFF"/>
        </w:rPr>
        <w:t xml:space="preserve">However, it is also clarified that the Circular will not be applicable to taxpayers that have received a </w:t>
      </w:r>
      <w:r w:rsidR="003F72E6" w:rsidRPr="00A35C33">
        <w:rPr>
          <w:rFonts w:asciiTheme="minorHAnsi" w:hAnsiTheme="minorHAnsi" w:cstheme="minorHAnsi"/>
          <w:sz w:val="22"/>
          <w:szCs w:val="22"/>
          <w:shd w:val="clear" w:color="auto" w:fill="FFFFFF"/>
        </w:rPr>
        <w:t>favourable</w:t>
      </w:r>
      <w:r w:rsidRPr="00A35C33">
        <w:rPr>
          <w:rFonts w:asciiTheme="minorHAnsi" w:hAnsiTheme="minorHAnsi" w:cstheme="minorHAnsi"/>
          <w:sz w:val="22"/>
          <w:szCs w:val="22"/>
          <w:shd w:val="clear" w:color="auto" w:fill="FFFFFF"/>
        </w:rPr>
        <w:t xml:space="preserve"> decision by any court on this issue.</w:t>
      </w:r>
    </w:p>
    <w:p w14:paraId="3B046096" w14:textId="4BB03C47" w:rsidR="005E6733" w:rsidRDefault="00CA5A4F" w:rsidP="00A35C33">
      <w:pPr>
        <w:pStyle w:val="NormalWeb"/>
        <w:shd w:val="clear" w:color="auto" w:fill="FFFFFF"/>
        <w:spacing w:line="360" w:lineRule="auto"/>
        <w:jc w:val="both"/>
        <w:rPr>
          <w:rFonts w:asciiTheme="minorHAnsi" w:hAnsiTheme="minorHAnsi" w:cstheme="minorHAnsi"/>
          <w:b/>
          <w:bCs/>
          <w:sz w:val="22"/>
          <w:szCs w:val="22"/>
          <w:shd w:val="clear" w:color="auto" w:fill="FFFFFF"/>
        </w:rPr>
      </w:pPr>
      <w:r w:rsidRPr="00B24A8E">
        <w:rPr>
          <w:rFonts w:asciiTheme="minorHAnsi" w:hAnsiTheme="minorHAnsi" w:cstheme="minorHAnsi"/>
          <w:b/>
          <w:bCs/>
          <w:sz w:val="22"/>
          <w:szCs w:val="22"/>
          <w:shd w:val="clear" w:color="auto" w:fill="FFFFFF"/>
        </w:rPr>
        <w:t xml:space="preserve">[For further details please refer to the </w:t>
      </w:r>
      <w:r w:rsidR="00360A95">
        <w:rPr>
          <w:rFonts w:asciiTheme="minorHAnsi" w:hAnsiTheme="minorHAnsi" w:cstheme="minorHAnsi"/>
          <w:b/>
          <w:bCs/>
          <w:sz w:val="22"/>
          <w:szCs w:val="22"/>
          <w:shd w:val="clear" w:color="auto" w:fill="FFFFFF"/>
        </w:rPr>
        <w:t>Circular</w:t>
      </w:r>
      <w:r w:rsidRPr="00B24A8E">
        <w:rPr>
          <w:rFonts w:asciiTheme="minorHAnsi" w:hAnsiTheme="minorHAnsi" w:cstheme="minorHAnsi"/>
          <w:b/>
          <w:bCs/>
          <w:sz w:val="22"/>
          <w:szCs w:val="22"/>
          <w:shd w:val="clear" w:color="auto" w:fill="FFFFFF"/>
        </w:rPr>
        <w:t>]</w:t>
      </w:r>
    </w:p>
    <w:p w14:paraId="1FB771B7" w14:textId="77777777" w:rsidR="00B24A8E" w:rsidRDefault="00B24A8E" w:rsidP="00CA5A4F">
      <w:pPr>
        <w:pStyle w:val="Default"/>
        <w:spacing w:line="276" w:lineRule="auto"/>
        <w:jc w:val="both"/>
        <w:rPr>
          <w:rFonts w:asciiTheme="minorHAnsi" w:hAnsiTheme="minorHAnsi" w:cstheme="minorHAnsi"/>
          <w:b/>
          <w:bCs/>
          <w:sz w:val="22"/>
          <w:szCs w:val="22"/>
          <w:shd w:val="clear" w:color="auto" w:fill="FFFFFF"/>
        </w:rPr>
        <w:sectPr w:rsidR="00B24A8E" w:rsidSect="009E09F1">
          <w:headerReference w:type="default" r:id="rId28"/>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002D4FEE" w14:textId="349D6F11" w:rsidR="00954B32" w:rsidRPr="0072359D" w:rsidRDefault="00324DD2"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071794B6" w14:textId="77626B01" w:rsidR="00A343B6" w:rsidRPr="005A3A3F" w:rsidRDefault="00270BDF" w:rsidP="00BB74B5">
      <w:pPr>
        <w:shd w:val="clear" w:color="auto" w:fill="8DC182"/>
        <w:tabs>
          <w:tab w:val="left" w:pos="4820"/>
        </w:tabs>
        <w:autoSpaceDE w:val="0"/>
        <w:autoSpaceDN w:val="0"/>
        <w:adjustRightInd w:val="0"/>
        <w:spacing w:line="360" w:lineRule="auto"/>
        <w:ind w:right="11"/>
        <w:jc w:val="both"/>
        <w:rPr>
          <w:rFonts w:asciiTheme="minorHAnsi" w:hAnsiTheme="minorHAnsi" w:cstheme="minorHAnsi"/>
          <w:b/>
          <w:lang w:val="en-IN"/>
        </w:rPr>
      </w:pPr>
      <w:r w:rsidRPr="00270BDF">
        <w:rPr>
          <w:rFonts w:asciiTheme="minorHAnsi" w:hAnsiTheme="minorHAnsi" w:cstheme="minorHAnsi"/>
          <w:b/>
          <w:bCs/>
        </w:rPr>
        <w:t xml:space="preserve">REFUND OF IGST </w:t>
      </w:r>
      <w:r w:rsidR="003F72E6">
        <w:rPr>
          <w:rFonts w:asciiTheme="minorHAnsi" w:hAnsiTheme="minorHAnsi" w:cstheme="minorHAnsi"/>
          <w:b/>
          <w:bCs/>
        </w:rPr>
        <w:t xml:space="preserve">PAID </w:t>
      </w:r>
      <w:r w:rsidRPr="00270BDF">
        <w:rPr>
          <w:rFonts w:asciiTheme="minorHAnsi" w:hAnsiTheme="minorHAnsi" w:cstheme="minorHAnsi"/>
          <w:b/>
          <w:bCs/>
        </w:rPr>
        <w:t xml:space="preserve">FOR GOODS EXPORTED FOR ZERO RATED </w:t>
      </w:r>
      <w:proofErr w:type="gramStart"/>
      <w:r w:rsidRPr="00270BDF">
        <w:rPr>
          <w:rFonts w:asciiTheme="minorHAnsi" w:hAnsiTheme="minorHAnsi" w:cstheme="minorHAnsi"/>
          <w:b/>
          <w:bCs/>
        </w:rPr>
        <w:t>SUPPLIES</w:t>
      </w:r>
      <w:r w:rsidR="004E32FF">
        <w:rPr>
          <w:rFonts w:asciiTheme="minorHAnsi" w:hAnsiTheme="minorHAnsi" w:cstheme="minorHAnsi"/>
          <w:b/>
          <w:bCs/>
        </w:rPr>
        <w:t xml:space="preserve"> :</w:t>
      </w:r>
      <w:proofErr w:type="gramEnd"/>
      <w:r w:rsidR="004E32FF">
        <w:rPr>
          <w:rFonts w:asciiTheme="minorHAnsi" w:hAnsiTheme="minorHAnsi" w:cstheme="minorHAnsi"/>
          <w:b/>
          <w:bCs/>
        </w:rPr>
        <w:t xml:space="preserve"> GUJARAT HIGH COURT</w:t>
      </w:r>
    </w:p>
    <w:p w14:paraId="31B925BA" w14:textId="1B288C90" w:rsidR="00AC51E6" w:rsidRPr="00BB74B5" w:rsidRDefault="0041715C" w:rsidP="009A6766">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Pr>
          <w:rFonts w:asciiTheme="minorHAnsi" w:hAnsiTheme="minorHAnsi" w:cstheme="minorHAnsi"/>
          <w:b/>
          <w:sz w:val="22"/>
          <w:szCs w:val="22"/>
        </w:rPr>
        <w:t xml:space="preserve">BRIEF: </w:t>
      </w:r>
      <w:r w:rsidR="009A6766" w:rsidRPr="00BB74B5">
        <w:rPr>
          <w:rFonts w:asciiTheme="minorHAnsi" w:hAnsiTheme="minorHAnsi" w:cstheme="minorHAnsi"/>
          <w:sz w:val="22"/>
          <w:szCs w:val="22"/>
        </w:rPr>
        <w:t>Refund withheld on the ground that since drawback is claimed at a higher rate of refund of the petitioner, the same cannot be sanctioned under Section 54 of the Central Goods and Service Tax Act, 2017 - inadvertently the Custom House Agent (CHA)</w:t>
      </w:r>
      <w:r w:rsidR="003F72E6">
        <w:rPr>
          <w:rFonts w:asciiTheme="minorHAnsi" w:hAnsiTheme="minorHAnsi" w:cstheme="minorHAnsi"/>
          <w:sz w:val="22"/>
          <w:szCs w:val="22"/>
        </w:rPr>
        <w:t xml:space="preserve"> </w:t>
      </w:r>
      <w:r w:rsidR="009A6766" w:rsidRPr="00BB74B5">
        <w:rPr>
          <w:rFonts w:asciiTheme="minorHAnsi" w:hAnsiTheme="minorHAnsi" w:cstheme="minorHAnsi"/>
          <w:sz w:val="22"/>
          <w:szCs w:val="22"/>
        </w:rPr>
        <w:t>failed to disclose the details of IGST paid of ₹ 17,30,468/</w:t>
      </w:r>
      <w:r w:rsidR="00AC51E6" w:rsidRPr="00BB74B5">
        <w:rPr>
          <w:rFonts w:asciiTheme="minorHAnsi" w:hAnsiTheme="minorHAnsi" w:cstheme="minorHAnsi"/>
          <w:sz w:val="22"/>
          <w:szCs w:val="22"/>
        </w:rPr>
        <w:t>.</w:t>
      </w:r>
    </w:p>
    <w:p w14:paraId="4043119F" w14:textId="431D36F6" w:rsidR="009A6766" w:rsidRPr="009A6766" w:rsidRDefault="00AC51E6" w:rsidP="009A6766">
      <w:pPr>
        <w:pStyle w:val="NormalWeb"/>
        <w:shd w:val="clear" w:color="auto" w:fill="FFFFFF"/>
        <w:spacing w:before="0" w:beforeAutospacing="0" w:after="150" w:afterAutospacing="0" w:line="276" w:lineRule="auto"/>
        <w:jc w:val="both"/>
        <w:rPr>
          <w:rFonts w:asciiTheme="minorHAnsi" w:hAnsiTheme="minorHAnsi" w:cstheme="minorHAnsi"/>
          <w:bCs/>
          <w:sz w:val="22"/>
          <w:szCs w:val="22"/>
        </w:rPr>
      </w:pPr>
      <w:r>
        <w:rPr>
          <w:rFonts w:asciiTheme="minorHAnsi" w:hAnsiTheme="minorHAnsi" w:cstheme="minorHAnsi"/>
          <w:b/>
          <w:bCs/>
          <w:sz w:val="22"/>
          <w:szCs w:val="22"/>
        </w:rPr>
        <w:t>JUDGEMENT:</w:t>
      </w:r>
      <w:r w:rsidR="009A6766" w:rsidRPr="009A6766">
        <w:rPr>
          <w:rFonts w:asciiTheme="minorHAnsi" w:hAnsiTheme="minorHAnsi" w:cstheme="minorHAnsi"/>
          <w:bCs/>
          <w:sz w:val="22"/>
          <w:szCs w:val="22"/>
        </w:rPr>
        <w:t xml:space="preserve"> The provision of Section 54 of the CGST Act read with Section 16 of IGST Act after the goods are exported, the shipping bills are treated as the application of refund of IGST paid </w:t>
      </w:r>
      <w:proofErr w:type="gramStart"/>
      <w:r w:rsidR="009A6766" w:rsidRPr="009A6766">
        <w:rPr>
          <w:rFonts w:asciiTheme="minorHAnsi" w:hAnsiTheme="minorHAnsi" w:cstheme="minorHAnsi"/>
          <w:bCs/>
          <w:sz w:val="22"/>
          <w:szCs w:val="22"/>
        </w:rPr>
        <w:t>in regard to</w:t>
      </w:r>
      <w:proofErr w:type="gramEnd"/>
      <w:r w:rsidR="009A6766" w:rsidRPr="009A6766">
        <w:rPr>
          <w:rFonts w:asciiTheme="minorHAnsi" w:hAnsiTheme="minorHAnsi" w:cstheme="minorHAnsi"/>
          <w:bCs/>
          <w:sz w:val="22"/>
          <w:szCs w:val="22"/>
        </w:rPr>
        <w:t xml:space="preserve"> the export goods and the respondents are required to refund the amount of IGST to the petitioner. In the matter on hand, the exports had been made </w:t>
      </w:r>
      <w:proofErr w:type="gramStart"/>
      <w:r w:rsidR="009A6766" w:rsidRPr="009A6766">
        <w:rPr>
          <w:rFonts w:asciiTheme="minorHAnsi" w:hAnsiTheme="minorHAnsi" w:cstheme="minorHAnsi"/>
          <w:bCs/>
          <w:sz w:val="22"/>
          <w:szCs w:val="22"/>
        </w:rPr>
        <w:t>on</w:t>
      </w:r>
      <w:proofErr w:type="gramEnd"/>
      <w:r w:rsidR="009A6766" w:rsidRPr="009A6766">
        <w:rPr>
          <w:rFonts w:asciiTheme="minorHAnsi" w:hAnsiTheme="minorHAnsi" w:cstheme="minorHAnsi"/>
          <w:bCs/>
          <w:sz w:val="22"/>
          <w:szCs w:val="22"/>
        </w:rPr>
        <w:t xml:space="preserve"> September, 2017, the refund has not been made available. It is though the contention raised by the respondents of the rate of higher and lower duty drawback, though is of 2% in the instant case, the Circular No. 37 of 2018 dated 09.10.2018 is applicable and the exporters, who had availed the option to take drawback at higher rate in case of IGST refund will need to punch accordingly in the EDI system and the mistake, which has been made by the petitioner in relation to the three bills where the refunds have not been given, the EDI system itself has not allowed the IGST refund.</w:t>
      </w:r>
    </w:p>
    <w:p w14:paraId="6807E769" w14:textId="2B1D9342" w:rsidR="009A6766" w:rsidRPr="009A6766" w:rsidRDefault="009C1062" w:rsidP="009A6766">
      <w:pPr>
        <w:pStyle w:val="NormalWeb"/>
        <w:spacing w:before="0" w:beforeAutospacing="0" w:after="150" w:afterAutospacing="0" w:line="276" w:lineRule="auto"/>
        <w:jc w:val="both"/>
        <w:rPr>
          <w:rFonts w:asciiTheme="minorHAnsi" w:hAnsiTheme="minorHAnsi" w:cstheme="minorHAnsi"/>
          <w:bCs/>
          <w:sz w:val="22"/>
          <w:szCs w:val="22"/>
        </w:rPr>
      </w:pPr>
      <w:r>
        <w:rPr>
          <w:rFonts w:asciiTheme="minorHAnsi" w:hAnsiTheme="minorHAnsi" w:cstheme="minorHAnsi"/>
          <w:bCs/>
          <w:sz w:val="22"/>
          <w:szCs w:val="22"/>
        </w:rPr>
        <w:t>The hon’ble Gujrat High Court is</w:t>
      </w:r>
      <w:r w:rsidR="009A6766" w:rsidRPr="009A6766">
        <w:rPr>
          <w:rFonts w:asciiTheme="minorHAnsi" w:hAnsiTheme="minorHAnsi" w:cstheme="minorHAnsi"/>
          <w:bCs/>
          <w:sz w:val="22"/>
          <w:szCs w:val="22"/>
        </w:rPr>
        <w:t xml:space="preserve"> in complete disagreement with the respondents as not only the petitioner in subsequent correspondence with the respondents has made it completely clear that in the case of these exports the higher duty drawback and the lower duty drawback are the same, the case is covered by the decision of this Court rendered in case of M/S AMIT COTTON INDUSTRIES THROUGH PARTNER, VELJIBHAI VIRJIBHAI RANIPA VERSUS PRINCIPAL COMMISSIONER OF CUSTOMS </w:t>
      </w:r>
      <w:r w:rsidR="009A6766" w:rsidRPr="009A6766">
        <w:rPr>
          <w:rFonts w:asciiTheme="minorHAnsi" w:hAnsiTheme="minorHAnsi" w:cstheme="minorHAnsi"/>
          <w:bCs/>
          <w:color w:val="000000" w:themeColor="text1"/>
          <w:sz w:val="22"/>
          <w:szCs w:val="22"/>
        </w:rPr>
        <w:t>[</w:t>
      </w:r>
      <w:hyperlink r:id="rId29" w:tgtFrame="_blank" w:history="1">
        <w:r w:rsidR="009A6766" w:rsidRPr="009A6766">
          <w:rPr>
            <w:rStyle w:val="Hyperlink"/>
            <w:rFonts w:asciiTheme="minorHAnsi" w:hAnsiTheme="minorHAnsi" w:cstheme="minorHAnsi"/>
            <w:bCs/>
            <w:color w:val="000000" w:themeColor="text1"/>
            <w:sz w:val="22"/>
            <w:szCs w:val="22"/>
            <w:u w:val="none"/>
          </w:rPr>
          <w:t>2019 (7) TMI 472 - GUJARAT HIGH COURT]</w:t>
        </w:r>
      </w:hyperlink>
      <w:r w:rsidR="009A6766" w:rsidRPr="009A6766">
        <w:rPr>
          <w:rFonts w:asciiTheme="minorHAnsi" w:hAnsiTheme="minorHAnsi" w:cstheme="minorHAnsi"/>
          <w:bCs/>
          <w:color w:val="000000" w:themeColor="text1"/>
          <w:sz w:val="22"/>
          <w:szCs w:val="22"/>
        </w:rPr>
        <w:t xml:space="preserve"> where the Court in detailed has discussed this very issue and held that respondents are </w:t>
      </w:r>
      <w:r w:rsidR="009A6766" w:rsidRPr="009A6766">
        <w:rPr>
          <w:rFonts w:asciiTheme="minorHAnsi" w:hAnsiTheme="minorHAnsi" w:cstheme="minorHAnsi"/>
          <w:bCs/>
          <w:sz w:val="22"/>
          <w:szCs w:val="22"/>
        </w:rPr>
        <w:t>directed to immediately sanction the refund of the IGST paid in regard to the goods exported, i.e. 'zero rated supplies', with 7% simple interest from the date of the shipping bills till the date of actual refund.</w:t>
      </w:r>
    </w:p>
    <w:p w14:paraId="1245A181" w14:textId="77777777" w:rsidR="009A6766" w:rsidRPr="009A6766" w:rsidRDefault="009A6766" w:rsidP="009A6766">
      <w:pPr>
        <w:pStyle w:val="NormalWeb"/>
        <w:spacing w:before="0" w:beforeAutospacing="0" w:after="150" w:afterAutospacing="0" w:line="276" w:lineRule="auto"/>
        <w:jc w:val="both"/>
        <w:rPr>
          <w:rFonts w:asciiTheme="minorHAnsi" w:hAnsiTheme="minorHAnsi" w:cstheme="minorHAnsi"/>
          <w:bCs/>
          <w:sz w:val="22"/>
          <w:szCs w:val="22"/>
        </w:rPr>
      </w:pPr>
      <w:r w:rsidRPr="009A6766">
        <w:rPr>
          <w:rFonts w:asciiTheme="minorHAnsi" w:hAnsiTheme="minorHAnsi" w:cstheme="minorHAnsi"/>
          <w:bCs/>
          <w:sz w:val="22"/>
          <w:szCs w:val="22"/>
        </w:rPr>
        <w:t xml:space="preserve">As the issue raised before this Court is identical, no separate or independent discussion would be necessary to be made before this Court. Therefore, the request of refund so far as the three shipping bills are concerned will need to be permitted. The respondent authority is required to sanction the refund of IGST paid in regard to the goods exported </w:t>
      </w:r>
      <w:proofErr w:type="gramStart"/>
      <w:r w:rsidRPr="009A6766">
        <w:rPr>
          <w:rFonts w:asciiTheme="minorHAnsi" w:hAnsiTheme="minorHAnsi" w:cstheme="minorHAnsi"/>
          <w:bCs/>
          <w:sz w:val="22"/>
          <w:szCs w:val="22"/>
        </w:rPr>
        <w:t>i.e.</w:t>
      </w:r>
      <w:proofErr w:type="gramEnd"/>
      <w:r w:rsidRPr="009A6766">
        <w:rPr>
          <w:rFonts w:asciiTheme="minorHAnsi" w:hAnsiTheme="minorHAnsi" w:cstheme="minorHAnsi"/>
          <w:bCs/>
          <w:sz w:val="22"/>
          <w:szCs w:val="22"/>
        </w:rPr>
        <w:t xml:space="preserve"> zero rated supplies made vide these three Shipping Bills No.8465051, 8459617 and 8455069 dated 05.09.2017, 05.09.2017 and 14.09.2017 respectively.</w:t>
      </w:r>
    </w:p>
    <w:p w14:paraId="14519D18" w14:textId="77777777" w:rsidR="009A6766" w:rsidRPr="009A6766" w:rsidRDefault="009A6766" w:rsidP="009A6766">
      <w:pPr>
        <w:pStyle w:val="NormalWeb"/>
        <w:spacing w:before="0" w:beforeAutospacing="0" w:after="150" w:afterAutospacing="0" w:line="276" w:lineRule="auto"/>
        <w:jc w:val="both"/>
        <w:rPr>
          <w:rFonts w:asciiTheme="minorHAnsi" w:hAnsiTheme="minorHAnsi" w:cstheme="minorHAnsi"/>
          <w:bCs/>
          <w:sz w:val="22"/>
          <w:szCs w:val="22"/>
        </w:rPr>
      </w:pPr>
      <w:r w:rsidRPr="009A6766">
        <w:rPr>
          <w:rFonts w:asciiTheme="minorHAnsi" w:hAnsiTheme="minorHAnsi" w:cstheme="minorHAnsi"/>
          <w:bCs/>
          <w:sz w:val="22"/>
          <w:szCs w:val="22"/>
        </w:rPr>
        <w:t xml:space="preserve">The decision in case of Amit Cotton Industries has been delivered on 27.06.2019. The representation had been made by the petitioner in </w:t>
      </w:r>
      <w:proofErr w:type="gramStart"/>
      <w:r w:rsidRPr="009A6766">
        <w:rPr>
          <w:rFonts w:asciiTheme="minorHAnsi" w:hAnsiTheme="minorHAnsi" w:cstheme="minorHAnsi"/>
          <w:bCs/>
          <w:sz w:val="22"/>
          <w:szCs w:val="22"/>
        </w:rPr>
        <w:t>May,</w:t>
      </w:r>
      <w:proofErr w:type="gramEnd"/>
      <w:r w:rsidRPr="009A6766">
        <w:rPr>
          <w:rFonts w:asciiTheme="minorHAnsi" w:hAnsiTheme="minorHAnsi" w:cstheme="minorHAnsi"/>
          <w:bCs/>
          <w:sz w:val="22"/>
          <w:szCs w:val="22"/>
        </w:rPr>
        <w:t xml:space="preserve"> 2019 and the last one before this petition has been filed, was on 03.02.2021, when this decision had already become final. Assuming that there was nothing in respect of the interest so far as the IGST refund of the said shipping bills was concerned, it could have granted the same knowing fully well that the issue has been covered, the respondents have chosen not to abide by the decision - Considering the fact that the sanction of the refund towards the IGST paid in respect of the goods exported i.e. “zero rated supplies”, vide the shipping bills ought to have been completed as the two circumstances provided in sub clauses (a) &amp; (b) of Clause (4) of Rule 96 of Rules, 2017 do not exist. The shipping bills, as per Rule 96, exporter once file </w:t>
      </w:r>
      <w:proofErr w:type="gramStart"/>
      <w:r w:rsidRPr="009A6766">
        <w:rPr>
          <w:rFonts w:asciiTheme="minorHAnsi" w:hAnsiTheme="minorHAnsi" w:cstheme="minorHAnsi"/>
          <w:bCs/>
          <w:sz w:val="22"/>
          <w:szCs w:val="22"/>
        </w:rPr>
        <w:t>are</w:t>
      </w:r>
      <w:proofErr w:type="gramEnd"/>
      <w:r w:rsidRPr="009A6766">
        <w:rPr>
          <w:rFonts w:asciiTheme="minorHAnsi" w:hAnsiTheme="minorHAnsi" w:cstheme="minorHAnsi"/>
          <w:bCs/>
          <w:sz w:val="22"/>
          <w:szCs w:val="22"/>
        </w:rPr>
        <w:t xml:space="preserve"> deemed to be an application for refund of Integrated tax paid on the exports of goods and withholding of the same is made permissible under Rule 96 (4) when read with Section 54 as specified in the said decision of Amit Cotton Industries.</w:t>
      </w:r>
    </w:p>
    <w:p w14:paraId="088F3FEB" w14:textId="1806C260" w:rsidR="0032377A" w:rsidRDefault="009A6766" w:rsidP="009A6766">
      <w:pPr>
        <w:pStyle w:val="NormalWeb"/>
        <w:spacing w:before="0" w:beforeAutospacing="0" w:after="150" w:afterAutospacing="0" w:line="276" w:lineRule="auto"/>
        <w:jc w:val="both"/>
        <w:rPr>
          <w:rFonts w:asciiTheme="minorHAnsi" w:hAnsiTheme="minorHAnsi" w:cstheme="minorHAnsi"/>
          <w:bCs/>
          <w:sz w:val="22"/>
          <w:szCs w:val="22"/>
        </w:rPr>
      </w:pPr>
      <w:r w:rsidRPr="009A6766">
        <w:rPr>
          <w:rFonts w:asciiTheme="minorHAnsi" w:hAnsiTheme="minorHAnsi" w:cstheme="minorHAnsi"/>
          <w:bCs/>
          <w:sz w:val="22"/>
          <w:szCs w:val="22"/>
        </w:rPr>
        <w:t xml:space="preserve">The respondents are directed to sanction the refund towards the IGST paid in respect to the goods exported </w:t>
      </w:r>
      <w:proofErr w:type="gramStart"/>
      <w:r w:rsidRPr="009A6766">
        <w:rPr>
          <w:rFonts w:asciiTheme="minorHAnsi" w:hAnsiTheme="minorHAnsi" w:cstheme="minorHAnsi"/>
          <w:bCs/>
          <w:sz w:val="22"/>
          <w:szCs w:val="22"/>
        </w:rPr>
        <w:t>i.e.</w:t>
      </w:r>
      <w:proofErr w:type="gramEnd"/>
      <w:r w:rsidRPr="009A6766">
        <w:rPr>
          <w:rFonts w:asciiTheme="minorHAnsi" w:hAnsiTheme="minorHAnsi" w:cstheme="minorHAnsi"/>
          <w:bCs/>
          <w:sz w:val="22"/>
          <w:szCs w:val="22"/>
        </w:rPr>
        <w:t xml:space="preserve"> ‘Zero Rated Supplies’ made vide the Shipping Bills No. 8465051, 8459617 and 8455069 dated 05.09.2017, 05.09.2017 and 14.09.2017 respectively.</w:t>
      </w:r>
    </w:p>
    <w:p w14:paraId="565BA927" w14:textId="3EEE9702" w:rsidR="003F72E6" w:rsidRPr="00BB74B5" w:rsidRDefault="003F72E6" w:rsidP="009A6766">
      <w:pPr>
        <w:pStyle w:val="NormalWeb"/>
        <w:spacing w:before="0" w:beforeAutospacing="0" w:after="150" w:afterAutospacing="0" w:line="276" w:lineRule="auto"/>
        <w:jc w:val="both"/>
        <w:rPr>
          <w:rFonts w:asciiTheme="minorHAnsi" w:hAnsiTheme="minorHAnsi" w:cstheme="minorHAnsi"/>
          <w:b/>
          <w:sz w:val="22"/>
          <w:szCs w:val="22"/>
        </w:rPr>
      </w:pPr>
      <w:r w:rsidRPr="00BB74B5">
        <w:rPr>
          <w:rFonts w:asciiTheme="minorHAnsi" w:hAnsiTheme="minorHAnsi" w:cstheme="minorHAnsi"/>
          <w:b/>
          <w:sz w:val="22"/>
          <w:szCs w:val="22"/>
        </w:rPr>
        <w:t>[Decided in the favour of the assessee]</w:t>
      </w:r>
    </w:p>
    <w:p w14:paraId="103971D4" w14:textId="77777777" w:rsidR="004E32FF" w:rsidRPr="009A6766" w:rsidRDefault="004E32FF" w:rsidP="009A6766">
      <w:pPr>
        <w:pStyle w:val="NormalWeb"/>
        <w:spacing w:before="0" w:beforeAutospacing="0" w:after="150" w:afterAutospacing="0" w:line="276" w:lineRule="auto"/>
        <w:jc w:val="both"/>
        <w:rPr>
          <w:rFonts w:asciiTheme="minorHAnsi" w:hAnsiTheme="minorHAnsi" w:cstheme="minorHAnsi"/>
          <w:bCs/>
          <w:sz w:val="22"/>
          <w:szCs w:val="22"/>
        </w:rPr>
      </w:pPr>
    </w:p>
    <w:p w14:paraId="3314BC8F" w14:textId="25478F36" w:rsidR="005A3A3F" w:rsidRPr="005A3A3F" w:rsidRDefault="005A3A3F" w:rsidP="00BC3CE1">
      <w:pPr>
        <w:pStyle w:val="NormalWeb"/>
        <w:shd w:val="clear" w:color="auto" w:fill="FFFFFF"/>
        <w:spacing w:before="0" w:beforeAutospacing="0" w:after="150" w:afterAutospacing="0" w:line="360" w:lineRule="auto"/>
        <w:jc w:val="both"/>
        <w:rPr>
          <w:rFonts w:asciiTheme="minorHAnsi" w:hAnsiTheme="minorHAnsi" w:cstheme="minorHAnsi"/>
          <w:sz w:val="22"/>
          <w:szCs w:val="22"/>
        </w:rPr>
      </w:pPr>
    </w:p>
    <w:p w14:paraId="0125B374" w14:textId="7AF5F7F2" w:rsidR="00371BE7" w:rsidRPr="00613F61" w:rsidRDefault="00371BE7" w:rsidP="00D26635">
      <w:pPr>
        <w:pStyle w:val="Default"/>
        <w:spacing w:line="360" w:lineRule="auto"/>
        <w:jc w:val="both"/>
        <w:rPr>
          <w:shd w:val="clear" w:color="auto" w:fill="FFFFFF"/>
          <w:lang w:val="en-IN"/>
        </w:rPr>
        <w:sectPr w:rsidR="00371BE7" w:rsidRPr="00613F61" w:rsidSect="006245F0">
          <w:headerReference w:type="default" r:id="rId30"/>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7DA52EA6" w:rsidR="00D14461" w:rsidRPr="008A2360" w:rsidRDefault="00BD77E9" w:rsidP="00BB74B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CIRCULAR</w:t>
      </w:r>
    </w:p>
    <w:p w14:paraId="3DAD17B4" w14:textId="29028272" w:rsidR="00B71F42" w:rsidRPr="00D9501A" w:rsidRDefault="00D9501A" w:rsidP="00D9501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rPr>
      </w:pPr>
      <w:r w:rsidRPr="00D9501A">
        <w:rPr>
          <w:rFonts w:asciiTheme="minorHAnsi" w:hAnsiTheme="minorHAnsi" w:cstheme="minorHAnsi"/>
          <w:b/>
          <w:bCs/>
          <w:caps/>
          <w:color w:val="000000" w:themeColor="text1"/>
        </w:rPr>
        <w:t>Transactions in Credit Default Swap (CDS) by Foreign Portfolio Investors – Operational Instructions</w:t>
      </w:r>
    </w:p>
    <w:p w14:paraId="215BA635" w14:textId="44FB9B4D" w:rsidR="00BD77E9" w:rsidRPr="00BD77E9" w:rsidRDefault="00C52DE1" w:rsidP="00BD77E9">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b/>
          <w:sz w:val="22"/>
          <w:szCs w:val="22"/>
        </w:rPr>
        <w:t>OUR COMMENTS</w:t>
      </w:r>
      <w:r w:rsidR="00D7723D" w:rsidRPr="00BD77E9">
        <w:rPr>
          <w:rFonts w:asciiTheme="minorHAnsi" w:hAnsiTheme="minorHAnsi" w:cstheme="minorHAnsi"/>
          <w:b/>
          <w:sz w:val="22"/>
          <w:szCs w:val="22"/>
        </w:rPr>
        <w:t>:</w:t>
      </w:r>
      <w:r w:rsidR="003343D0" w:rsidRPr="00BD77E9">
        <w:rPr>
          <w:rFonts w:asciiTheme="minorHAnsi" w:hAnsiTheme="minorHAnsi" w:cstheme="minorHAnsi"/>
          <w:sz w:val="22"/>
          <w:szCs w:val="22"/>
        </w:rPr>
        <w:t xml:space="preserve"> </w:t>
      </w:r>
      <w:r w:rsidR="002E7C10">
        <w:rPr>
          <w:rFonts w:asciiTheme="minorHAnsi" w:hAnsiTheme="minorHAnsi" w:cstheme="minorHAnsi"/>
          <w:sz w:val="22"/>
          <w:szCs w:val="22"/>
        </w:rPr>
        <w:t xml:space="preserve">The Reserve Bank of India (RBI) vide </w:t>
      </w:r>
      <w:r w:rsidR="002E7C10" w:rsidRPr="002E7C10">
        <w:rPr>
          <w:rFonts w:asciiTheme="minorHAnsi" w:hAnsiTheme="minorHAnsi" w:cstheme="minorHAnsi"/>
          <w:sz w:val="22"/>
          <w:szCs w:val="22"/>
        </w:rPr>
        <w:t>A.P. (DIR Series) Circular No. 23</w:t>
      </w:r>
      <w:r w:rsidR="002E7C10">
        <w:rPr>
          <w:rFonts w:asciiTheme="minorHAnsi" w:hAnsiTheme="minorHAnsi" w:cstheme="minorHAnsi"/>
          <w:sz w:val="22"/>
          <w:szCs w:val="22"/>
        </w:rPr>
        <w:t xml:space="preserve">, </w:t>
      </w:r>
      <w:r w:rsidR="002E7C10" w:rsidRPr="002E7C10">
        <w:rPr>
          <w:rFonts w:asciiTheme="minorHAnsi" w:hAnsiTheme="minorHAnsi" w:cstheme="minorHAnsi"/>
          <w:sz w:val="22"/>
          <w:szCs w:val="22"/>
        </w:rPr>
        <w:t>RBI/2021-22/155</w:t>
      </w:r>
      <w:r w:rsidR="002E7C10">
        <w:rPr>
          <w:rFonts w:asciiTheme="minorHAnsi" w:hAnsiTheme="minorHAnsi" w:cstheme="minorHAnsi"/>
          <w:sz w:val="22"/>
          <w:szCs w:val="22"/>
        </w:rPr>
        <w:t xml:space="preserve"> dated February 10 2022 has issued instructions and </w:t>
      </w:r>
      <w:r w:rsidR="00BD77E9" w:rsidRPr="00BD77E9">
        <w:rPr>
          <w:rFonts w:asciiTheme="minorHAnsi" w:hAnsiTheme="minorHAnsi" w:cstheme="minorHAnsi"/>
          <w:color w:val="000000" w:themeColor="text1"/>
          <w:sz w:val="22"/>
          <w:szCs w:val="22"/>
        </w:rPr>
        <w:t>Attention of Authorised Persons is invited to the </w:t>
      </w:r>
      <w:hyperlink r:id="rId31" w:history="1">
        <w:r w:rsidR="00BD77E9" w:rsidRPr="00BD77E9">
          <w:rPr>
            <w:rStyle w:val="Hyperlink"/>
            <w:rFonts w:asciiTheme="minorHAnsi" w:hAnsiTheme="minorHAnsi" w:cstheme="minorHAnsi"/>
            <w:color w:val="000000" w:themeColor="text1"/>
            <w:sz w:val="22"/>
            <w:szCs w:val="22"/>
            <w:u w:val="none"/>
          </w:rPr>
          <w:t>Foreign Exchange Management (Debt Instruments) Regulations, 2019</w:t>
        </w:r>
      </w:hyperlink>
      <w:r w:rsidR="00BD77E9" w:rsidRPr="00BD77E9">
        <w:rPr>
          <w:rFonts w:asciiTheme="minorHAnsi" w:hAnsiTheme="minorHAnsi" w:cstheme="minorHAnsi"/>
          <w:color w:val="000000" w:themeColor="text1"/>
          <w:sz w:val="22"/>
          <w:szCs w:val="22"/>
        </w:rPr>
        <w:t> [</w:t>
      </w:r>
      <w:r w:rsidR="00BD77E9" w:rsidRPr="005B69D2">
        <w:rPr>
          <w:rFonts w:asciiTheme="minorHAnsi" w:hAnsiTheme="minorHAnsi" w:cstheme="minorHAnsi"/>
          <w:sz w:val="22"/>
          <w:szCs w:val="22"/>
        </w:rPr>
        <w:t>Notification No. FEMA. 396/2019-RB dated October 17, 2019</w:t>
      </w:r>
      <w:r w:rsidR="00BD77E9" w:rsidRPr="00BD77E9">
        <w:rPr>
          <w:rFonts w:asciiTheme="minorHAnsi" w:hAnsiTheme="minorHAnsi" w:cstheme="minorHAnsi"/>
          <w:color w:val="000000" w:themeColor="text1"/>
          <w:sz w:val="22"/>
          <w:szCs w:val="22"/>
        </w:rPr>
        <w:t>], as amended from time to time. A reference is also invited to </w:t>
      </w:r>
      <w:hyperlink r:id="rId32" w:history="1">
        <w:r w:rsidR="00BD77E9" w:rsidRPr="00BD77E9">
          <w:rPr>
            <w:rStyle w:val="Hyperlink"/>
            <w:rFonts w:asciiTheme="minorHAnsi" w:hAnsiTheme="minorHAnsi" w:cstheme="minorHAnsi"/>
            <w:color w:val="000000" w:themeColor="text1"/>
            <w:sz w:val="22"/>
            <w:szCs w:val="22"/>
            <w:u w:val="none"/>
          </w:rPr>
          <w:t>A.P. (DIR Series) Circular No.31 dated June 15, 2018</w:t>
        </w:r>
      </w:hyperlink>
      <w:r w:rsidR="00BD77E9" w:rsidRPr="00BD77E9">
        <w:rPr>
          <w:rFonts w:asciiTheme="minorHAnsi" w:hAnsiTheme="minorHAnsi" w:cstheme="minorHAnsi"/>
          <w:color w:val="000000" w:themeColor="text1"/>
          <w:sz w:val="22"/>
          <w:szCs w:val="22"/>
        </w:rPr>
        <w:t>, </w:t>
      </w:r>
      <w:hyperlink r:id="rId33" w:history="1">
        <w:r w:rsidR="00BD77E9" w:rsidRPr="00BD77E9">
          <w:rPr>
            <w:rStyle w:val="Hyperlink"/>
            <w:rFonts w:asciiTheme="minorHAnsi" w:hAnsiTheme="minorHAnsi" w:cstheme="minorHAnsi"/>
            <w:color w:val="000000" w:themeColor="text1"/>
            <w:sz w:val="22"/>
            <w:szCs w:val="22"/>
            <w:u w:val="none"/>
          </w:rPr>
          <w:t>A.P. (DIR Series) Circular No. 05 dated May 31, 2021</w:t>
        </w:r>
      </w:hyperlink>
      <w:r w:rsidR="00BD77E9" w:rsidRPr="00BD77E9">
        <w:rPr>
          <w:rFonts w:asciiTheme="minorHAnsi" w:hAnsiTheme="minorHAnsi" w:cstheme="minorHAnsi"/>
          <w:color w:val="000000" w:themeColor="text1"/>
          <w:sz w:val="22"/>
          <w:szCs w:val="22"/>
        </w:rPr>
        <w:t> and Master Direction – Reserve Bank of India (Credit Derivatives) Directions, 2022 dated February 10, 2022, as amended from time to time (hereinafter, Credit Derivatives Directions).</w:t>
      </w:r>
    </w:p>
    <w:p w14:paraId="02A8BB4A" w14:textId="25654A1F" w:rsidR="002F5448"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Foreign Portfolio Investors (FPIs) are eligible to be categorised as non-retail users and have been allowed to buy and sell CDS protection under the Credit Derivatives Directions. Necessary Directions to Authorised Persons that are eligible to deal with FPIs for transacting in Credit Derivatives in terms of the Credit Derivatives Directions are being issued hereunder.</w:t>
      </w:r>
    </w:p>
    <w:p w14:paraId="1E25C5CD" w14:textId="05833EA6" w:rsidR="002F5448"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Selling of CDS protection by all FPIs shall be subject to a limit specified by the Reserve Bank from time to time (hereinafter, aggregate limit). The aggregate limit of the notional amount of CDS sold by FPIs shall be 5% of the outstanding stock of corporate bonds.</w:t>
      </w:r>
      <w:r w:rsidR="002E7C10">
        <w:rPr>
          <w:rFonts w:asciiTheme="minorHAnsi" w:hAnsiTheme="minorHAnsi" w:cstheme="minorHAnsi"/>
          <w:color w:val="000000" w:themeColor="text1"/>
          <w:sz w:val="22"/>
          <w:szCs w:val="22"/>
        </w:rPr>
        <w:t xml:space="preserve"> </w:t>
      </w:r>
      <w:r w:rsidRPr="00BD77E9">
        <w:rPr>
          <w:rFonts w:asciiTheme="minorHAnsi" w:hAnsiTheme="minorHAnsi" w:cstheme="minorHAnsi"/>
          <w:color w:val="000000" w:themeColor="text1"/>
          <w:sz w:val="22"/>
          <w:szCs w:val="22"/>
        </w:rPr>
        <w:t>Clearing Corporation of India Ltd. (CCIL) shall disseminate the utilisation of aggregate limit based on the reporting by the market makers for transactions in OTC market and reporting by stock exchanges for transactions on exchanges. FPIs shall not sell any CDS protection once aggregate limit is utilised. The limit utilised for CDS protection sold by the FPI shall be released upon the exit of the CDS position by the FPIs.</w:t>
      </w:r>
    </w:p>
    <w:p w14:paraId="2A21FAA1" w14:textId="17070A33" w:rsidR="002F5448"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 xml:space="preserve">Debt instruments received by FPIs as deliverable obligation and debt instruments purchased by FPIs for meeting deliverable obligation in physical settlement of CDS </w:t>
      </w:r>
      <w:r w:rsidRPr="00BD77E9">
        <w:rPr>
          <w:rFonts w:asciiTheme="minorHAnsi" w:hAnsiTheme="minorHAnsi" w:cstheme="minorHAnsi"/>
          <w:color w:val="000000" w:themeColor="text1"/>
          <w:sz w:val="22"/>
          <w:szCs w:val="22"/>
        </w:rPr>
        <w:t>contracts shall be reckoned under the investment limits for corporate bonds as specified in </w:t>
      </w:r>
      <w:hyperlink r:id="rId34" w:history="1">
        <w:r w:rsidRPr="00BD77E9">
          <w:rPr>
            <w:rStyle w:val="Hyperlink"/>
            <w:rFonts w:asciiTheme="minorHAnsi" w:hAnsiTheme="minorHAnsi" w:cstheme="minorHAnsi"/>
            <w:color w:val="000000" w:themeColor="text1"/>
            <w:sz w:val="22"/>
            <w:szCs w:val="22"/>
            <w:u w:val="none"/>
          </w:rPr>
          <w:t>A.P. (DIR Series) Circular No. 05 dated May 31, 2021</w:t>
        </w:r>
      </w:hyperlink>
      <w:r w:rsidRPr="00BD77E9">
        <w:rPr>
          <w:rFonts w:asciiTheme="minorHAnsi" w:hAnsiTheme="minorHAnsi" w:cstheme="minorHAnsi"/>
          <w:color w:val="000000" w:themeColor="text1"/>
          <w:sz w:val="22"/>
          <w:szCs w:val="22"/>
        </w:rPr>
        <w:t>, as amended from time to time. In case of non-availability of investment limit at the time of physical settlement, such debt instruments shall be adjusted against the revised limits in the subsequent review of investment limits.</w:t>
      </w:r>
    </w:p>
    <w:p w14:paraId="59603B6B" w14:textId="337269A6" w:rsidR="002E7C10"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The notional amount of protection sold by FPIs, and the debt instruments received as deliverable obligation as well as debt instruments purchased for meeting deliverable obligation by FPIs in physical settlement of CDS contracts shall not be subject to minimum residual maturity requirement / short-term limit, concentration limit or single/group investor-wise limits applicable to FPI investment in corporate bonds as specified in paragraphs 4(b), (e) and (f) respectively of </w:t>
      </w:r>
      <w:hyperlink r:id="rId35" w:history="1">
        <w:r w:rsidRPr="00BD77E9">
          <w:rPr>
            <w:rStyle w:val="Hyperlink"/>
            <w:rFonts w:asciiTheme="minorHAnsi" w:hAnsiTheme="minorHAnsi" w:cstheme="minorHAnsi"/>
            <w:color w:val="000000" w:themeColor="text1"/>
            <w:sz w:val="22"/>
            <w:szCs w:val="22"/>
            <w:u w:val="none"/>
          </w:rPr>
          <w:t>A.P. (DIR Series) Circular No. 31 dated June 15, 2018.</w:t>
        </w:r>
      </w:hyperlink>
    </w:p>
    <w:p w14:paraId="16250EDD" w14:textId="42D0D63A" w:rsidR="002E7C10"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These Directions shall come into effect from May 09, 2022</w:t>
      </w:r>
      <w:r w:rsidR="00BD77E9">
        <w:rPr>
          <w:rFonts w:asciiTheme="minorHAnsi" w:hAnsiTheme="minorHAnsi" w:cstheme="minorHAnsi"/>
          <w:color w:val="000000" w:themeColor="text1"/>
          <w:sz w:val="22"/>
          <w:szCs w:val="22"/>
        </w:rPr>
        <w:t>.</w:t>
      </w:r>
    </w:p>
    <w:p w14:paraId="3202B2A3" w14:textId="7482ECA6" w:rsidR="002E7C10" w:rsidRPr="00BD77E9" w:rsidRDefault="002F5448" w:rsidP="00BB74B5">
      <w:pPr>
        <w:pStyle w:val="NormalWeb"/>
        <w:spacing w:after="150" w:line="276" w:lineRule="auto"/>
        <w:jc w:val="both"/>
        <w:rPr>
          <w:rFonts w:asciiTheme="minorHAnsi" w:hAnsiTheme="minorHAnsi" w:cstheme="minorHAnsi"/>
          <w:color w:val="000000" w:themeColor="text1"/>
          <w:sz w:val="22"/>
          <w:szCs w:val="22"/>
        </w:rPr>
      </w:pPr>
      <w:r w:rsidRPr="00BD77E9">
        <w:rPr>
          <w:rFonts w:asciiTheme="minorHAnsi" w:hAnsiTheme="minorHAnsi" w:cstheme="minorHAnsi"/>
          <w:color w:val="000000" w:themeColor="text1"/>
          <w:sz w:val="22"/>
          <w:szCs w:val="22"/>
        </w:rPr>
        <w:t>Authorised Persons may bring the contents of this circular to the notice of their constituents and customers concerned.</w:t>
      </w:r>
      <w:r w:rsidR="00BD77E9">
        <w:rPr>
          <w:rFonts w:asciiTheme="minorHAnsi" w:hAnsiTheme="minorHAnsi" w:cstheme="minorHAnsi"/>
          <w:color w:val="000000" w:themeColor="text1"/>
          <w:sz w:val="22"/>
          <w:szCs w:val="22"/>
        </w:rPr>
        <w:t xml:space="preserve"> </w:t>
      </w:r>
    </w:p>
    <w:p w14:paraId="67F2A460" w14:textId="5DBD82CE" w:rsidR="00805F5E" w:rsidRPr="00BB74B5" w:rsidRDefault="002F5448" w:rsidP="00BB74B5">
      <w:pPr>
        <w:pStyle w:val="NormalWeb"/>
        <w:spacing w:after="150" w:line="276" w:lineRule="auto"/>
        <w:jc w:val="both"/>
        <w:rPr>
          <w:rFonts w:asciiTheme="minorHAnsi" w:hAnsiTheme="minorHAnsi" w:cstheme="minorHAnsi"/>
          <w:sz w:val="22"/>
          <w:szCs w:val="22"/>
        </w:rPr>
      </w:pPr>
      <w:r w:rsidRPr="00BD77E9">
        <w:rPr>
          <w:rFonts w:asciiTheme="minorHAnsi" w:hAnsiTheme="minorHAnsi" w:cstheme="minorHAnsi"/>
          <w:color w:val="000000" w:themeColor="text1"/>
          <w:sz w:val="22"/>
          <w:szCs w:val="22"/>
        </w:rPr>
        <w:t>The Directions contained in this circular have been issued under </w:t>
      </w:r>
      <w:hyperlink r:id="rId36" w:history="1">
        <w:r w:rsidRPr="00BD77E9">
          <w:rPr>
            <w:rStyle w:val="Hyperlink"/>
            <w:rFonts w:asciiTheme="minorHAnsi" w:hAnsiTheme="minorHAnsi" w:cstheme="minorHAnsi"/>
            <w:color w:val="000000" w:themeColor="text1"/>
            <w:sz w:val="22"/>
            <w:szCs w:val="22"/>
            <w:u w:val="none"/>
          </w:rPr>
          <w:t>sections 10(4)</w:t>
        </w:r>
      </w:hyperlink>
      <w:r w:rsidRPr="00BD77E9">
        <w:rPr>
          <w:rFonts w:asciiTheme="minorHAnsi" w:hAnsiTheme="minorHAnsi" w:cstheme="minorHAnsi"/>
          <w:color w:val="000000" w:themeColor="text1"/>
          <w:sz w:val="22"/>
          <w:szCs w:val="22"/>
        </w:rPr>
        <w:t> and </w:t>
      </w:r>
      <w:hyperlink r:id="rId37" w:history="1">
        <w:r w:rsidRPr="00BD77E9">
          <w:rPr>
            <w:rStyle w:val="Hyperlink"/>
            <w:rFonts w:asciiTheme="minorHAnsi" w:hAnsiTheme="minorHAnsi" w:cstheme="minorHAnsi"/>
            <w:color w:val="000000" w:themeColor="text1"/>
            <w:sz w:val="22"/>
            <w:szCs w:val="22"/>
            <w:u w:val="none"/>
          </w:rPr>
          <w:t>11(1)</w:t>
        </w:r>
      </w:hyperlink>
      <w:r w:rsidRPr="00BD77E9">
        <w:rPr>
          <w:rFonts w:asciiTheme="minorHAnsi" w:hAnsiTheme="minorHAnsi" w:cstheme="minorHAnsi"/>
          <w:color w:val="000000" w:themeColor="text1"/>
          <w:sz w:val="22"/>
          <w:szCs w:val="22"/>
        </w:rPr>
        <w:t> of the </w:t>
      </w:r>
      <w:hyperlink r:id="rId38" w:history="1">
        <w:r w:rsidRPr="00BD77E9">
          <w:rPr>
            <w:rStyle w:val="Hyperlink"/>
            <w:rFonts w:asciiTheme="minorHAnsi" w:hAnsiTheme="minorHAnsi" w:cstheme="minorHAnsi"/>
            <w:color w:val="000000" w:themeColor="text1"/>
            <w:sz w:val="22"/>
            <w:szCs w:val="22"/>
            <w:u w:val="none"/>
          </w:rPr>
          <w:t>Foreign Exchange Management Act, 1999 (42 of 1999)</w:t>
        </w:r>
      </w:hyperlink>
      <w:r w:rsidRPr="00BD77E9">
        <w:rPr>
          <w:rFonts w:asciiTheme="minorHAnsi" w:hAnsiTheme="minorHAnsi" w:cstheme="minorHAnsi"/>
          <w:color w:val="000000" w:themeColor="text1"/>
          <w:sz w:val="22"/>
          <w:szCs w:val="22"/>
        </w:rPr>
        <w:t> and are without prejudice to permissions/approval, if any, required under any other law.</w:t>
      </w:r>
    </w:p>
    <w:p w14:paraId="6298F56D" w14:textId="77777777" w:rsidR="00D9501A" w:rsidRPr="00BD77E9" w:rsidRDefault="00D9501A" w:rsidP="00D9501A">
      <w:pPr>
        <w:pStyle w:val="NormalWeb"/>
        <w:shd w:val="clear" w:color="auto" w:fill="FFFFFF"/>
        <w:spacing w:line="360" w:lineRule="auto"/>
        <w:jc w:val="both"/>
        <w:rPr>
          <w:rFonts w:asciiTheme="minorHAnsi" w:hAnsiTheme="minorHAnsi" w:cstheme="minorHAnsi"/>
          <w:b/>
          <w:bCs/>
          <w:sz w:val="22"/>
          <w:szCs w:val="22"/>
          <w:shd w:val="clear" w:color="auto" w:fill="FFFFFF"/>
        </w:rPr>
      </w:pPr>
      <w:r w:rsidRPr="00BD77E9">
        <w:rPr>
          <w:rFonts w:asciiTheme="minorHAnsi" w:hAnsiTheme="minorHAnsi" w:cstheme="minorHAnsi"/>
          <w:b/>
          <w:bCs/>
          <w:sz w:val="22"/>
          <w:szCs w:val="22"/>
          <w:shd w:val="clear" w:color="auto" w:fill="FFFFFF"/>
        </w:rPr>
        <w:t>[For further details please refer to the Circular]</w:t>
      </w:r>
    </w:p>
    <w:p w14:paraId="0F4AAC3C" w14:textId="2C4ED94A" w:rsidR="00D9501A" w:rsidRDefault="00D9501A" w:rsidP="002F5448">
      <w:pPr>
        <w:pStyle w:val="NormalWeb"/>
        <w:spacing w:after="150"/>
        <w:jc w:val="both"/>
        <w:rPr>
          <w:rFonts w:asciiTheme="minorHAnsi" w:hAnsiTheme="minorHAnsi" w:cstheme="minorHAnsi"/>
          <w:b/>
          <w:bCs/>
        </w:rPr>
        <w:sectPr w:rsidR="00D9501A" w:rsidSect="00421927">
          <w:headerReference w:type="default" r:id="rId39"/>
          <w:footerReference w:type="default" r:id="rId40"/>
          <w:headerReference w:type="first" r:id="rId4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B99C70A" w:rsidR="007A6471" w:rsidRPr="008B67BF" w:rsidRDefault="00ED052E"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4A500542" w:rsidR="00EB5F8A" w:rsidRPr="009C317D" w:rsidRDefault="00BB7FA7" w:rsidP="00BC3CE1">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BB7FA7">
        <w:rPr>
          <w:rFonts w:asciiTheme="minorHAnsi" w:hAnsiTheme="minorHAnsi" w:cstheme="minorHAnsi"/>
          <w:b/>
          <w:bCs/>
          <w:caps/>
          <w:color w:val="000000" w:themeColor="text1"/>
          <w:lang w:val="en-IN"/>
        </w:rPr>
        <w:t>Rate of exchange of one unit of foreign currency equivalent to Indian rupees</w:t>
      </w:r>
    </w:p>
    <w:p w14:paraId="37A3A4BA" w14:textId="3327CE15" w:rsidR="003C03C9" w:rsidRPr="009B457E" w:rsidRDefault="00B96B14" w:rsidP="003C03C9">
      <w:pPr>
        <w:pStyle w:val="NormalWeb"/>
        <w:shd w:val="clear" w:color="auto" w:fill="FFFFFF"/>
        <w:spacing w:after="150"/>
        <w:jc w:val="both"/>
        <w:rPr>
          <w:rFonts w:ascii="Arial" w:hAnsi="Arial" w:cs="Arial"/>
          <w:color w:val="333333"/>
          <w:sz w:val="22"/>
          <w:szCs w:val="22"/>
        </w:rPr>
      </w:pPr>
      <w:r w:rsidRPr="00640B5D">
        <w:rPr>
          <w:rFonts w:asciiTheme="minorHAnsi" w:hAnsiTheme="minorHAnsi" w:cstheme="minorHAnsi"/>
          <w:b/>
          <w:bCs/>
          <w:sz w:val="22"/>
          <w:szCs w:val="22"/>
          <w:shd w:val="clear" w:color="auto" w:fill="FFFFFF"/>
        </w:rPr>
        <w:t>OUR COMMENTS</w:t>
      </w:r>
      <w:r w:rsidRPr="00640B5D">
        <w:rPr>
          <w:rFonts w:asciiTheme="minorHAnsi" w:hAnsiTheme="minorHAnsi" w:cstheme="minorHAnsi"/>
          <w:sz w:val="22"/>
          <w:szCs w:val="22"/>
          <w:shd w:val="clear" w:color="auto" w:fill="FFFFFF"/>
        </w:rPr>
        <w:t>:</w:t>
      </w:r>
      <w:r w:rsidR="009334D8" w:rsidRPr="009334D8">
        <w:rPr>
          <w:rFonts w:ascii="Arial" w:hAnsi="Arial" w:cs="Arial"/>
          <w:color w:val="333333"/>
          <w:sz w:val="22"/>
          <w:szCs w:val="22"/>
        </w:rPr>
        <w:t xml:space="preserve"> </w:t>
      </w:r>
      <w:r w:rsidR="009B457E" w:rsidRPr="009B457E">
        <w:rPr>
          <w:rFonts w:asciiTheme="minorHAnsi" w:hAnsiTheme="minorHAnsi" w:cstheme="minorHAnsi"/>
          <w:color w:val="000000"/>
          <w:sz w:val="22"/>
          <w:szCs w:val="22"/>
          <w:shd w:val="clear" w:color="auto" w:fill="FFFFFF"/>
        </w:rPr>
        <w:t>T</w:t>
      </w:r>
      <w:r w:rsidR="003C03C9" w:rsidRPr="009B457E">
        <w:rPr>
          <w:rFonts w:asciiTheme="minorHAnsi" w:hAnsiTheme="minorHAnsi" w:cstheme="minorHAnsi"/>
          <w:color w:val="000000"/>
          <w:sz w:val="22"/>
          <w:szCs w:val="22"/>
          <w:shd w:val="clear" w:color="auto" w:fill="FFFFFF"/>
        </w:rPr>
        <w:t>he Central Board of Indirect Taxes and Customs hereby determines that the rate of exchange of conversion of each of the foreign currencies specified in column (2) of each of Schedule I and Schedule II annexed hereto, into Indian currency or vice versa, shall, with effect from 4th February, 2022, be the rate mentioned against it in the corresponding entry in column (3) thereof, for the purpose of the said section, relating to imported and export goods.</w:t>
      </w:r>
    </w:p>
    <w:tbl>
      <w:tblPr>
        <w:tblStyle w:val="TableGrid"/>
        <w:tblW w:w="0" w:type="auto"/>
        <w:tblLook w:val="04A0" w:firstRow="1" w:lastRow="0" w:firstColumn="1" w:lastColumn="0" w:noHBand="0" w:noVBand="1"/>
      </w:tblPr>
      <w:tblGrid>
        <w:gridCol w:w="539"/>
        <w:gridCol w:w="1037"/>
        <w:gridCol w:w="1344"/>
        <w:gridCol w:w="519"/>
        <w:gridCol w:w="565"/>
        <w:gridCol w:w="1273"/>
        <w:gridCol w:w="50"/>
      </w:tblGrid>
      <w:tr w:rsidR="002F5183" w:rsidRPr="007C5EF9" w14:paraId="1B54914D" w14:textId="77777777" w:rsidTr="00A6047C">
        <w:tc>
          <w:tcPr>
            <w:tcW w:w="0" w:type="auto"/>
            <w:hideMark/>
          </w:tcPr>
          <w:p w14:paraId="54848683" w14:textId="77777777" w:rsidR="002F5183" w:rsidRPr="007C5EF9" w:rsidRDefault="002F5183" w:rsidP="00E84750">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Sl. No.</w:t>
            </w:r>
          </w:p>
        </w:tc>
        <w:tc>
          <w:tcPr>
            <w:tcW w:w="0" w:type="auto"/>
            <w:hideMark/>
          </w:tcPr>
          <w:p w14:paraId="7B2928C0" w14:textId="77777777" w:rsidR="002F5183" w:rsidRPr="007C5EF9" w:rsidRDefault="002F5183" w:rsidP="00E84750">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Foreign Currency</w:t>
            </w:r>
          </w:p>
        </w:tc>
        <w:tc>
          <w:tcPr>
            <w:tcW w:w="0" w:type="auto"/>
            <w:gridSpan w:val="5"/>
            <w:hideMark/>
          </w:tcPr>
          <w:p w14:paraId="750D53CB" w14:textId="77777777" w:rsidR="002F5183" w:rsidRPr="007C5EF9" w:rsidRDefault="002F5183" w:rsidP="00E84750">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Rate of exchange of 100 units of foreign currency equivalent to Indian rupees</w:t>
            </w:r>
          </w:p>
        </w:tc>
      </w:tr>
      <w:tr w:rsidR="002F5183" w:rsidRPr="007C5EF9" w14:paraId="08D9DA2C" w14:textId="77777777" w:rsidTr="002F5183">
        <w:tc>
          <w:tcPr>
            <w:tcW w:w="538" w:type="dxa"/>
          </w:tcPr>
          <w:p w14:paraId="165708DF" w14:textId="77777777"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1</w:t>
            </w:r>
          </w:p>
        </w:tc>
        <w:tc>
          <w:tcPr>
            <w:tcW w:w="1056" w:type="dxa"/>
          </w:tcPr>
          <w:p w14:paraId="23FC1AF2" w14:textId="77777777"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2</w:t>
            </w:r>
          </w:p>
        </w:tc>
        <w:tc>
          <w:tcPr>
            <w:tcW w:w="3733" w:type="dxa"/>
            <w:gridSpan w:val="5"/>
          </w:tcPr>
          <w:p w14:paraId="19A277C7" w14:textId="77777777"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3</w:t>
            </w:r>
          </w:p>
        </w:tc>
      </w:tr>
      <w:tr w:rsidR="002F5183" w:rsidRPr="007C5EF9" w14:paraId="62D4B0AA" w14:textId="77777777" w:rsidTr="002F5183">
        <w:tc>
          <w:tcPr>
            <w:tcW w:w="538" w:type="dxa"/>
          </w:tcPr>
          <w:p w14:paraId="28938B66" w14:textId="77777777"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p>
        </w:tc>
        <w:tc>
          <w:tcPr>
            <w:tcW w:w="1056" w:type="dxa"/>
          </w:tcPr>
          <w:p w14:paraId="3F57917C" w14:textId="77777777"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p>
        </w:tc>
        <w:tc>
          <w:tcPr>
            <w:tcW w:w="1803" w:type="dxa"/>
            <w:gridSpan w:val="2"/>
          </w:tcPr>
          <w:p w14:paraId="1D751C30" w14:textId="504BFACE"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(a)</w:t>
            </w:r>
          </w:p>
        </w:tc>
        <w:tc>
          <w:tcPr>
            <w:tcW w:w="1930" w:type="dxa"/>
            <w:gridSpan w:val="3"/>
          </w:tcPr>
          <w:p w14:paraId="30C7249F" w14:textId="1ED73470" w:rsidR="002F5183" w:rsidRPr="00E84750" w:rsidRDefault="002F5183" w:rsidP="00E84750">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(b)</w:t>
            </w:r>
          </w:p>
        </w:tc>
      </w:tr>
      <w:tr w:rsidR="002F5183" w:rsidRPr="007C5EF9" w14:paraId="60E537B8" w14:textId="77777777" w:rsidTr="002F5183">
        <w:tc>
          <w:tcPr>
            <w:tcW w:w="538" w:type="dxa"/>
          </w:tcPr>
          <w:p w14:paraId="148A5FD9" w14:textId="77777777" w:rsidR="002F5183" w:rsidRPr="00E84750" w:rsidRDefault="002F5183" w:rsidP="00E84750">
            <w:pPr>
              <w:pStyle w:val="NormalWeb"/>
              <w:spacing w:after="150" w:line="360" w:lineRule="auto"/>
              <w:jc w:val="both"/>
              <w:rPr>
                <w:rFonts w:asciiTheme="minorHAnsi" w:hAnsiTheme="minorHAnsi" w:cstheme="minorHAnsi"/>
                <w:color w:val="333333"/>
                <w:sz w:val="22"/>
                <w:szCs w:val="22"/>
              </w:rPr>
            </w:pPr>
          </w:p>
        </w:tc>
        <w:tc>
          <w:tcPr>
            <w:tcW w:w="1056" w:type="dxa"/>
          </w:tcPr>
          <w:p w14:paraId="1B8BC580" w14:textId="77777777" w:rsidR="002F5183" w:rsidRPr="00E84750" w:rsidRDefault="002F5183" w:rsidP="00E84750">
            <w:pPr>
              <w:pStyle w:val="NormalWeb"/>
              <w:spacing w:after="150" w:line="360" w:lineRule="auto"/>
              <w:jc w:val="both"/>
              <w:rPr>
                <w:rFonts w:asciiTheme="minorHAnsi" w:hAnsiTheme="minorHAnsi" w:cstheme="minorHAnsi"/>
                <w:color w:val="333333"/>
                <w:sz w:val="22"/>
                <w:szCs w:val="22"/>
              </w:rPr>
            </w:pPr>
          </w:p>
        </w:tc>
        <w:tc>
          <w:tcPr>
            <w:tcW w:w="1803" w:type="dxa"/>
            <w:gridSpan w:val="2"/>
          </w:tcPr>
          <w:p w14:paraId="5C2485C8" w14:textId="77777777" w:rsidR="002F5183" w:rsidRPr="00E84750" w:rsidRDefault="002F5183" w:rsidP="00E84750">
            <w:pPr>
              <w:pStyle w:val="NormalWeb"/>
              <w:spacing w:after="150" w:line="360" w:lineRule="auto"/>
              <w:jc w:val="both"/>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For imported goods</w:t>
            </w:r>
          </w:p>
        </w:tc>
        <w:tc>
          <w:tcPr>
            <w:tcW w:w="1930" w:type="dxa"/>
            <w:gridSpan w:val="3"/>
          </w:tcPr>
          <w:p w14:paraId="002D3209" w14:textId="77777777" w:rsidR="002F5183" w:rsidRPr="00E84750" w:rsidRDefault="002F5183" w:rsidP="00E84750">
            <w:pPr>
              <w:pStyle w:val="NormalWeb"/>
              <w:spacing w:after="150" w:line="360" w:lineRule="auto"/>
              <w:jc w:val="both"/>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For exported goods</w:t>
            </w:r>
          </w:p>
        </w:tc>
      </w:tr>
      <w:tr w:rsidR="002F5183" w:rsidRPr="003C03C9" w14:paraId="1135ED3D" w14:textId="77777777" w:rsidTr="002F5183">
        <w:trPr>
          <w:gridAfter w:val="1"/>
          <w:wAfter w:w="61" w:type="dxa"/>
        </w:trPr>
        <w:tc>
          <w:tcPr>
            <w:tcW w:w="0" w:type="auto"/>
            <w:hideMark/>
          </w:tcPr>
          <w:p w14:paraId="541A52E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w:t>
            </w:r>
          </w:p>
        </w:tc>
        <w:tc>
          <w:tcPr>
            <w:tcW w:w="2498" w:type="dxa"/>
            <w:gridSpan w:val="2"/>
            <w:hideMark/>
          </w:tcPr>
          <w:p w14:paraId="10EAEC58"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Australian Dollar</w:t>
            </w:r>
          </w:p>
        </w:tc>
        <w:tc>
          <w:tcPr>
            <w:tcW w:w="1008" w:type="dxa"/>
            <w:gridSpan w:val="2"/>
            <w:hideMark/>
          </w:tcPr>
          <w:p w14:paraId="1F79949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54.60</w:t>
            </w:r>
          </w:p>
        </w:tc>
        <w:tc>
          <w:tcPr>
            <w:tcW w:w="1222" w:type="dxa"/>
            <w:hideMark/>
          </w:tcPr>
          <w:p w14:paraId="1645DCD7"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52.30</w:t>
            </w:r>
          </w:p>
        </w:tc>
      </w:tr>
      <w:tr w:rsidR="002F5183" w:rsidRPr="003C03C9" w14:paraId="6E3D7DE8" w14:textId="77777777" w:rsidTr="002F5183">
        <w:trPr>
          <w:gridAfter w:val="1"/>
          <w:wAfter w:w="61" w:type="dxa"/>
        </w:trPr>
        <w:tc>
          <w:tcPr>
            <w:tcW w:w="0" w:type="auto"/>
            <w:hideMark/>
          </w:tcPr>
          <w:p w14:paraId="5CDAFB6D"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w:t>
            </w:r>
          </w:p>
        </w:tc>
        <w:tc>
          <w:tcPr>
            <w:tcW w:w="2498" w:type="dxa"/>
            <w:gridSpan w:val="2"/>
            <w:hideMark/>
          </w:tcPr>
          <w:p w14:paraId="57EC5C43"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Bahraini Dinar</w:t>
            </w:r>
          </w:p>
        </w:tc>
        <w:tc>
          <w:tcPr>
            <w:tcW w:w="1008" w:type="dxa"/>
            <w:gridSpan w:val="2"/>
            <w:hideMark/>
          </w:tcPr>
          <w:p w14:paraId="219C641D"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205.05</w:t>
            </w:r>
          </w:p>
        </w:tc>
        <w:tc>
          <w:tcPr>
            <w:tcW w:w="1222" w:type="dxa"/>
            <w:hideMark/>
          </w:tcPr>
          <w:p w14:paraId="07B963FC"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192.50</w:t>
            </w:r>
          </w:p>
        </w:tc>
      </w:tr>
      <w:tr w:rsidR="002F5183" w:rsidRPr="003C03C9" w14:paraId="52634121" w14:textId="77777777" w:rsidTr="002F5183">
        <w:trPr>
          <w:gridAfter w:val="1"/>
          <w:wAfter w:w="61" w:type="dxa"/>
        </w:trPr>
        <w:tc>
          <w:tcPr>
            <w:tcW w:w="0" w:type="auto"/>
            <w:hideMark/>
          </w:tcPr>
          <w:p w14:paraId="4814126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3.</w:t>
            </w:r>
          </w:p>
        </w:tc>
        <w:tc>
          <w:tcPr>
            <w:tcW w:w="2498" w:type="dxa"/>
            <w:gridSpan w:val="2"/>
            <w:hideMark/>
          </w:tcPr>
          <w:p w14:paraId="45140E8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Canadian Dollar</w:t>
            </w:r>
          </w:p>
        </w:tc>
        <w:tc>
          <w:tcPr>
            <w:tcW w:w="1008" w:type="dxa"/>
            <w:gridSpan w:val="2"/>
            <w:hideMark/>
          </w:tcPr>
          <w:p w14:paraId="2D7F3C72"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60.15</w:t>
            </w:r>
          </w:p>
        </w:tc>
        <w:tc>
          <w:tcPr>
            <w:tcW w:w="1222" w:type="dxa"/>
            <w:hideMark/>
          </w:tcPr>
          <w:p w14:paraId="053EB99C"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58.05</w:t>
            </w:r>
          </w:p>
        </w:tc>
      </w:tr>
      <w:tr w:rsidR="002F5183" w:rsidRPr="003C03C9" w14:paraId="28149E32" w14:textId="77777777" w:rsidTr="002F5183">
        <w:trPr>
          <w:gridAfter w:val="1"/>
          <w:wAfter w:w="61" w:type="dxa"/>
        </w:trPr>
        <w:tc>
          <w:tcPr>
            <w:tcW w:w="0" w:type="auto"/>
            <w:hideMark/>
          </w:tcPr>
          <w:p w14:paraId="44C6765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4.</w:t>
            </w:r>
          </w:p>
        </w:tc>
        <w:tc>
          <w:tcPr>
            <w:tcW w:w="2498" w:type="dxa"/>
            <w:gridSpan w:val="2"/>
            <w:hideMark/>
          </w:tcPr>
          <w:p w14:paraId="0CB5C76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Chinese Yuan</w:t>
            </w:r>
          </w:p>
        </w:tc>
        <w:tc>
          <w:tcPr>
            <w:tcW w:w="1008" w:type="dxa"/>
            <w:gridSpan w:val="2"/>
            <w:hideMark/>
          </w:tcPr>
          <w:p w14:paraId="34AFD3A6"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11.95</w:t>
            </w:r>
          </w:p>
        </w:tc>
        <w:tc>
          <w:tcPr>
            <w:tcW w:w="1222" w:type="dxa"/>
            <w:hideMark/>
          </w:tcPr>
          <w:p w14:paraId="58574C3D"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11.60</w:t>
            </w:r>
          </w:p>
        </w:tc>
      </w:tr>
      <w:tr w:rsidR="002F5183" w:rsidRPr="003C03C9" w14:paraId="1BE529C5" w14:textId="77777777" w:rsidTr="002F5183">
        <w:trPr>
          <w:gridAfter w:val="1"/>
          <w:wAfter w:w="61" w:type="dxa"/>
        </w:trPr>
        <w:tc>
          <w:tcPr>
            <w:tcW w:w="0" w:type="auto"/>
            <w:hideMark/>
          </w:tcPr>
          <w:p w14:paraId="3A05BC6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w:t>
            </w:r>
          </w:p>
        </w:tc>
        <w:tc>
          <w:tcPr>
            <w:tcW w:w="2498" w:type="dxa"/>
            <w:gridSpan w:val="2"/>
            <w:hideMark/>
          </w:tcPr>
          <w:p w14:paraId="091AA0C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Danish Kroner</w:t>
            </w:r>
          </w:p>
        </w:tc>
        <w:tc>
          <w:tcPr>
            <w:tcW w:w="1008" w:type="dxa"/>
            <w:gridSpan w:val="2"/>
            <w:hideMark/>
          </w:tcPr>
          <w:p w14:paraId="5D95C8F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11.60</w:t>
            </w:r>
          </w:p>
        </w:tc>
        <w:tc>
          <w:tcPr>
            <w:tcW w:w="1222" w:type="dxa"/>
            <w:hideMark/>
          </w:tcPr>
          <w:p w14:paraId="564B255C"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11.20</w:t>
            </w:r>
          </w:p>
        </w:tc>
      </w:tr>
      <w:tr w:rsidR="002F5183" w:rsidRPr="003C03C9" w14:paraId="5E7FED2E" w14:textId="77777777" w:rsidTr="002F5183">
        <w:trPr>
          <w:gridAfter w:val="1"/>
          <w:wAfter w:w="61" w:type="dxa"/>
        </w:trPr>
        <w:tc>
          <w:tcPr>
            <w:tcW w:w="0" w:type="auto"/>
            <w:hideMark/>
          </w:tcPr>
          <w:p w14:paraId="41801AE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6.</w:t>
            </w:r>
          </w:p>
        </w:tc>
        <w:tc>
          <w:tcPr>
            <w:tcW w:w="2498" w:type="dxa"/>
            <w:gridSpan w:val="2"/>
            <w:hideMark/>
          </w:tcPr>
          <w:p w14:paraId="6A94A319"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EURO</w:t>
            </w:r>
          </w:p>
        </w:tc>
        <w:tc>
          <w:tcPr>
            <w:tcW w:w="1008" w:type="dxa"/>
            <w:gridSpan w:val="2"/>
            <w:hideMark/>
          </w:tcPr>
          <w:p w14:paraId="6341E31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86.20</w:t>
            </w:r>
          </w:p>
        </w:tc>
        <w:tc>
          <w:tcPr>
            <w:tcW w:w="1222" w:type="dxa"/>
            <w:hideMark/>
          </w:tcPr>
          <w:p w14:paraId="71B2414C"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83.10</w:t>
            </w:r>
          </w:p>
        </w:tc>
      </w:tr>
      <w:tr w:rsidR="002F5183" w:rsidRPr="003C03C9" w14:paraId="25CDD373" w14:textId="77777777" w:rsidTr="002F5183">
        <w:trPr>
          <w:gridAfter w:val="1"/>
          <w:wAfter w:w="61" w:type="dxa"/>
        </w:trPr>
        <w:tc>
          <w:tcPr>
            <w:tcW w:w="0" w:type="auto"/>
            <w:hideMark/>
          </w:tcPr>
          <w:p w14:paraId="6CBADF3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7.</w:t>
            </w:r>
          </w:p>
        </w:tc>
        <w:tc>
          <w:tcPr>
            <w:tcW w:w="2498" w:type="dxa"/>
            <w:gridSpan w:val="2"/>
            <w:hideMark/>
          </w:tcPr>
          <w:p w14:paraId="581140B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Hong Kong Dollar</w:t>
            </w:r>
          </w:p>
        </w:tc>
        <w:tc>
          <w:tcPr>
            <w:tcW w:w="1008" w:type="dxa"/>
            <w:gridSpan w:val="2"/>
            <w:hideMark/>
          </w:tcPr>
          <w:p w14:paraId="28EC146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9.80</w:t>
            </w:r>
          </w:p>
        </w:tc>
        <w:tc>
          <w:tcPr>
            <w:tcW w:w="1222" w:type="dxa"/>
            <w:hideMark/>
          </w:tcPr>
          <w:p w14:paraId="03D88E0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9.45</w:t>
            </w:r>
          </w:p>
        </w:tc>
      </w:tr>
      <w:tr w:rsidR="002F5183" w:rsidRPr="003C03C9" w14:paraId="50BD84C2" w14:textId="77777777" w:rsidTr="002F5183">
        <w:trPr>
          <w:gridAfter w:val="1"/>
          <w:wAfter w:w="61" w:type="dxa"/>
        </w:trPr>
        <w:tc>
          <w:tcPr>
            <w:tcW w:w="0" w:type="auto"/>
            <w:hideMark/>
          </w:tcPr>
          <w:p w14:paraId="6435B6F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w:t>
            </w:r>
          </w:p>
        </w:tc>
        <w:tc>
          <w:tcPr>
            <w:tcW w:w="2498" w:type="dxa"/>
            <w:gridSpan w:val="2"/>
            <w:hideMark/>
          </w:tcPr>
          <w:p w14:paraId="7BBA34C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Kuwaiti Dinar</w:t>
            </w:r>
          </w:p>
        </w:tc>
        <w:tc>
          <w:tcPr>
            <w:tcW w:w="1008" w:type="dxa"/>
            <w:gridSpan w:val="2"/>
            <w:hideMark/>
          </w:tcPr>
          <w:p w14:paraId="3187452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256.00</w:t>
            </w:r>
          </w:p>
        </w:tc>
        <w:tc>
          <w:tcPr>
            <w:tcW w:w="1222" w:type="dxa"/>
            <w:hideMark/>
          </w:tcPr>
          <w:p w14:paraId="2D73DBA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239.75</w:t>
            </w:r>
          </w:p>
        </w:tc>
      </w:tr>
      <w:tr w:rsidR="002F5183" w:rsidRPr="003C03C9" w14:paraId="386AB659" w14:textId="77777777" w:rsidTr="002F5183">
        <w:trPr>
          <w:gridAfter w:val="1"/>
          <w:wAfter w:w="61" w:type="dxa"/>
        </w:trPr>
        <w:tc>
          <w:tcPr>
            <w:tcW w:w="0" w:type="auto"/>
            <w:hideMark/>
          </w:tcPr>
          <w:p w14:paraId="119AD51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9.</w:t>
            </w:r>
          </w:p>
        </w:tc>
        <w:tc>
          <w:tcPr>
            <w:tcW w:w="2498" w:type="dxa"/>
            <w:gridSpan w:val="2"/>
            <w:hideMark/>
          </w:tcPr>
          <w:p w14:paraId="7BED287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New Zealand Dollar</w:t>
            </w:r>
          </w:p>
        </w:tc>
        <w:tc>
          <w:tcPr>
            <w:tcW w:w="1008" w:type="dxa"/>
            <w:gridSpan w:val="2"/>
            <w:hideMark/>
          </w:tcPr>
          <w:p w14:paraId="54376DD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51.00</w:t>
            </w:r>
          </w:p>
        </w:tc>
        <w:tc>
          <w:tcPr>
            <w:tcW w:w="1222" w:type="dxa"/>
            <w:hideMark/>
          </w:tcPr>
          <w:p w14:paraId="6D7EE6D7"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48.70</w:t>
            </w:r>
          </w:p>
        </w:tc>
      </w:tr>
      <w:tr w:rsidR="002F5183" w:rsidRPr="003C03C9" w14:paraId="07426798" w14:textId="77777777" w:rsidTr="002F5183">
        <w:trPr>
          <w:gridAfter w:val="1"/>
          <w:wAfter w:w="61" w:type="dxa"/>
        </w:trPr>
        <w:tc>
          <w:tcPr>
            <w:tcW w:w="0" w:type="auto"/>
            <w:hideMark/>
          </w:tcPr>
          <w:p w14:paraId="70E2521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10.</w:t>
            </w:r>
          </w:p>
        </w:tc>
        <w:tc>
          <w:tcPr>
            <w:tcW w:w="2498" w:type="dxa"/>
            <w:gridSpan w:val="2"/>
            <w:hideMark/>
          </w:tcPr>
          <w:p w14:paraId="357338E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Norwegian Kroner</w:t>
            </w:r>
          </w:p>
        </w:tc>
        <w:tc>
          <w:tcPr>
            <w:tcW w:w="1008" w:type="dxa"/>
            <w:gridSpan w:val="2"/>
            <w:hideMark/>
          </w:tcPr>
          <w:p w14:paraId="205BEBE3"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8.65</w:t>
            </w:r>
          </w:p>
        </w:tc>
        <w:tc>
          <w:tcPr>
            <w:tcW w:w="1222" w:type="dxa"/>
            <w:hideMark/>
          </w:tcPr>
          <w:p w14:paraId="01752CC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8.35</w:t>
            </w:r>
          </w:p>
        </w:tc>
      </w:tr>
      <w:tr w:rsidR="002F5183" w:rsidRPr="003C03C9" w14:paraId="0CF229EC" w14:textId="77777777" w:rsidTr="002F5183">
        <w:trPr>
          <w:gridAfter w:val="1"/>
          <w:wAfter w:w="61" w:type="dxa"/>
        </w:trPr>
        <w:tc>
          <w:tcPr>
            <w:tcW w:w="0" w:type="auto"/>
            <w:hideMark/>
          </w:tcPr>
          <w:p w14:paraId="198CDB49"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11.</w:t>
            </w:r>
          </w:p>
        </w:tc>
        <w:tc>
          <w:tcPr>
            <w:tcW w:w="2498" w:type="dxa"/>
            <w:gridSpan w:val="2"/>
            <w:hideMark/>
          </w:tcPr>
          <w:p w14:paraId="4BC52CD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Pound Sterling</w:t>
            </w:r>
          </w:p>
        </w:tc>
        <w:tc>
          <w:tcPr>
            <w:tcW w:w="1008" w:type="dxa"/>
            <w:gridSpan w:val="2"/>
            <w:hideMark/>
          </w:tcPr>
          <w:p w14:paraId="66550CF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103.35</w:t>
            </w:r>
          </w:p>
        </w:tc>
        <w:tc>
          <w:tcPr>
            <w:tcW w:w="1222" w:type="dxa"/>
            <w:hideMark/>
          </w:tcPr>
          <w:p w14:paraId="67DFBA12"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99.85</w:t>
            </w:r>
          </w:p>
        </w:tc>
      </w:tr>
      <w:tr w:rsidR="002F5183" w:rsidRPr="003C03C9" w14:paraId="7C439065" w14:textId="77777777" w:rsidTr="002F5183">
        <w:trPr>
          <w:gridAfter w:val="1"/>
          <w:wAfter w:w="61" w:type="dxa"/>
        </w:trPr>
        <w:tc>
          <w:tcPr>
            <w:tcW w:w="0" w:type="auto"/>
            <w:hideMark/>
          </w:tcPr>
          <w:p w14:paraId="413EECF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12.</w:t>
            </w:r>
          </w:p>
        </w:tc>
        <w:tc>
          <w:tcPr>
            <w:tcW w:w="2498" w:type="dxa"/>
            <w:gridSpan w:val="2"/>
            <w:hideMark/>
          </w:tcPr>
          <w:p w14:paraId="2616B733"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Qatari Riyal</w:t>
            </w:r>
          </w:p>
        </w:tc>
        <w:tc>
          <w:tcPr>
            <w:tcW w:w="1008" w:type="dxa"/>
            <w:gridSpan w:val="2"/>
            <w:hideMark/>
          </w:tcPr>
          <w:p w14:paraId="507EDAB8"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21.15</w:t>
            </w:r>
          </w:p>
        </w:tc>
        <w:tc>
          <w:tcPr>
            <w:tcW w:w="1222" w:type="dxa"/>
            <w:hideMark/>
          </w:tcPr>
          <w:p w14:paraId="2D99B1B7"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19.80</w:t>
            </w:r>
          </w:p>
        </w:tc>
      </w:tr>
      <w:tr w:rsidR="002F5183" w:rsidRPr="003C03C9" w14:paraId="778FC5C5" w14:textId="77777777" w:rsidTr="002F5183">
        <w:trPr>
          <w:gridAfter w:val="1"/>
          <w:wAfter w:w="61" w:type="dxa"/>
        </w:trPr>
        <w:tc>
          <w:tcPr>
            <w:tcW w:w="0" w:type="auto"/>
            <w:hideMark/>
          </w:tcPr>
          <w:p w14:paraId="4707678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13.</w:t>
            </w:r>
          </w:p>
        </w:tc>
        <w:tc>
          <w:tcPr>
            <w:tcW w:w="2498" w:type="dxa"/>
            <w:gridSpan w:val="2"/>
            <w:hideMark/>
          </w:tcPr>
          <w:p w14:paraId="021AA09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Saudi Arabian Riyal</w:t>
            </w:r>
          </w:p>
        </w:tc>
        <w:tc>
          <w:tcPr>
            <w:tcW w:w="1008" w:type="dxa"/>
            <w:gridSpan w:val="2"/>
            <w:hideMark/>
          </w:tcPr>
          <w:p w14:paraId="528FD42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20.60</w:t>
            </w:r>
          </w:p>
        </w:tc>
        <w:tc>
          <w:tcPr>
            <w:tcW w:w="1222" w:type="dxa"/>
            <w:hideMark/>
          </w:tcPr>
          <w:p w14:paraId="72CB2D2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19.35</w:t>
            </w:r>
          </w:p>
        </w:tc>
      </w:tr>
      <w:tr w:rsidR="002F5183" w:rsidRPr="003C03C9" w14:paraId="0BFB47E1" w14:textId="77777777" w:rsidTr="002F5183">
        <w:trPr>
          <w:gridAfter w:val="1"/>
          <w:wAfter w:w="61" w:type="dxa"/>
        </w:trPr>
        <w:tc>
          <w:tcPr>
            <w:tcW w:w="0" w:type="auto"/>
            <w:hideMark/>
          </w:tcPr>
          <w:p w14:paraId="61A314F8"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14.</w:t>
            </w:r>
          </w:p>
        </w:tc>
        <w:tc>
          <w:tcPr>
            <w:tcW w:w="2498" w:type="dxa"/>
            <w:gridSpan w:val="2"/>
            <w:hideMark/>
          </w:tcPr>
          <w:p w14:paraId="4868586B"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Singapore Dollar</w:t>
            </w:r>
          </w:p>
        </w:tc>
        <w:tc>
          <w:tcPr>
            <w:tcW w:w="1008" w:type="dxa"/>
            <w:gridSpan w:val="2"/>
            <w:hideMark/>
          </w:tcPr>
          <w:p w14:paraId="6614D10B"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56.55</w:t>
            </w:r>
          </w:p>
        </w:tc>
        <w:tc>
          <w:tcPr>
            <w:tcW w:w="1222" w:type="dxa"/>
            <w:hideMark/>
          </w:tcPr>
          <w:p w14:paraId="47A47A79"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54.65</w:t>
            </w:r>
          </w:p>
        </w:tc>
      </w:tr>
      <w:tr w:rsidR="002F5183" w:rsidRPr="003C03C9" w14:paraId="573E2541" w14:textId="77777777" w:rsidTr="002F5183">
        <w:trPr>
          <w:gridAfter w:val="1"/>
          <w:wAfter w:w="61" w:type="dxa"/>
        </w:trPr>
        <w:tc>
          <w:tcPr>
            <w:tcW w:w="0" w:type="auto"/>
            <w:hideMark/>
          </w:tcPr>
          <w:p w14:paraId="4201470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15.</w:t>
            </w:r>
          </w:p>
        </w:tc>
        <w:tc>
          <w:tcPr>
            <w:tcW w:w="2498" w:type="dxa"/>
            <w:gridSpan w:val="2"/>
            <w:hideMark/>
          </w:tcPr>
          <w:p w14:paraId="460D90A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South African Rand</w:t>
            </w:r>
          </w:p>
        </w:tc>
        <w:tc>
          <w:tcPr>
            <w:tcW w:w="1008" w:type="dxa"/>
            <w:gridSpan w:val="2"/>
            <w:hideMark/>
          </w:tcPr>
          <w:p w14:paraId="11746092"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5.05</w:t>
            </w:r>
          </w:p>
        </w:tc>
        <w:tc>
          <w:tcPr>
            <w:tcW w:w="1222" w:type="dxa"/>
            <w:hideMark/>
          </w:tcPr>
          <w:p w14:paraId="38A97018"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4.70</w:t>
            </w:r>
          </w:p>
        </w:tc>
      </w:tr>
      <w:tr w:rsidR="002F5183" w:rsidRPr="003C03C9" w14:paraId="3DD66006" w14:textId="77777777" w:rsidTr="002F5183">
        <w:trPr>
          <w:gridAfter w:val="1"/>
          <w:wAfter w:w="61" w:type="dxa"/>
        </w:trPr>
        <w:tc>
          <w:tcPr>
            <w:tcW w:w="0" w:type="auto"/>
            <w:hideMark/>
          </w:tcPr>
          <w:p w14:paraId="062814F8"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16.</w:t>
            </w:r>
          </w:p>
        </w:tc>
        <w:tc>
          <w:tcPr>
            <w:tcW w:w="2498" w:type="dxa"/>
            <w:gridSpan w:val="2"/>
            <w:hideMark/>
          </w:tcPr>
          <w:p w14:paraId="4AB92637"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Swedish Kroner</w:t>
            </w:r>
          </w:p>
        </w:tc>
        <w:tc>
          <w:tcPr>
            <w:tcW w:w="1008" w:type="dxa"/>
            <w:gridSpan w:val="2"/>
            <w:hideMark/>
          </w:tcPr>
          <w:p w14:paraId="3BFBE7B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8.30</w:t>
            </w:r>
          </w:p>
        </w:tc>
        <w:tc>
          <w:tcPr>
            <w:tcW w:w="1222" w:type="dxa"/>
            <w:hideMark/>
          </w:tcPr>
          <w:p w14:paraId="49F457BA"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8.00</w:t>
            </w:r>
          </w:p>
        </w:tc>
      </w:tr>
      <w:tr w:rsidR="002F5183" w:rsidRPr="003C03C9" w14:paraId="611098A7" w14:textId="77777777" w:rsidTr="002F5183">
        <w:trPr>
          <w:gridAfter w:val="1"/>
          <w:wAfter w:w="61" w:type="dxa"/>
        </w:trPr>
        <w:tc>
          <w:tcPr>
            <w:tcW w:w="0" w:type="auto"/>
            <w:hideMark/>
          </w:tcPr>
          <w:p w14:paraId="642E9DC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17.</w:t>
            </w:r>
          </w:p>
        </w:tc>
        <w:tc>
          <w:tcPr>
            <w:tcW w:w="2498" w:type="dxa"/>
            <w:gridSpan w:val="2"/>
            <w:hideMark/>
          </w:tcPr>
          <w:p w14:paraId="6B67755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Swiss Franc</w:t>
            </w:r>
          </w:p>
        </w:tc>
        <w:tc>
          <w:tcPr>
            <w:tcW w:w="1008" w:type="dxa"/>
            <w:gridSpan w:val="2"/>
            <w:hideMark/>
          </w:tcPr>
          <w:p w14:paraId="7B0E7914"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83.10</w:t>
            </w:r>
          </w:p>
        </w:tc>
        <w:tc>
          <w:tcPr>
            <w:tcW w:w="1222" w:type="dxa"/>
            <w:hideMark/>
          </w:tcPr>
          <w:p w14:paraId="7547DDB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79.85</w:t>
            </w:r>
          </w:p>
        </w:tc>
      </w:tr>
      <w:tr w:rsidR="002F5183" w:rsidRPr="003C03C9" w14:paraId="5F39333B" w14:textId="77777777" w:rsidTr="002F5183">
        <w:trPr>
          <w:gridAfter w:val="1"/>
          <w:wAfter w:w="61" w:type="dxa"/>
        </w:trPr>
        <w:tc>
          <w:tcPr>
            <w:tcW w:w="0" w:type="auto"/>
            <w:hideMark/>
          </w:tcPr>
          <w:p w14:paraId="54BD3847"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18.</w:t>
            </w:r>
          </w:p>
        </w:tc>
        <w:tc>
          <w:tcPr>
            <w:tcW w:w="2498" w:type="dxa"/>
            <w:gridSpan w:val="2"/>
            <w:hideMark/>
          </w:tcPr>
          <w:p w14:paraId="7A24CE10"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Turkish Lira</w:t>
            </w:r>
          </w:p>
        </w:tc>
        <w:tc>
          <w:tcPr>
            <w:tcW w:w="1008" w:type="dxa"/>
            <w:gridSpan w:val="2"/>
            <w:hideMark/>
          </w:tcPr>
          <w:p w14:paraId="7102269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5.70</w:t>
            </w:r>
          </w:p>
        </w:tc>
        <w:tc>
          <w:tcPr>
            <w:tcW w:w="1222" w:type="dxa"/>
            <w:hideMark/>
          </w:tcPr>
          <w:p w14:paraId="7A8F1C2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5.40</w:t>
            </w:r>
          </w:p>
        </w:tc>
      </w:tr>
      <w:tr w:rsidR="002F5183" w:rsidRPr="003C03C9" w14:paraId="643D0028" w14:textId="77777777" w:rsidTr="002F5183">
        <w:trPr>
          <w:gridAfter w:val="1"/>
          <w:wAfter w:w="61" w:type="dxa"/>
        </w:trPr>
        <w:tc>
          <w:tcPr>
            <w:tcW w:w="0" w:type="auto"/>
            <w:hideMark/>
          </w:tcPr>
          <w:p w14:paraId="306F3786"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19.</w:t>
            </w:r>
          </w:p>
        </w:tc>
        <w:tc>
          <w:tcPr>
            <w:tcW w:w="2498" w:type="dxa"/>
            <w:gridSpan w:val="2"/>
            <w:hideMark/>
          </w:tcPr>
          <w:p w14:paraId="35B1E865"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UAE Dirham</w:t>
            </w:r>
          </w:p>
        </w:tc>
        <w:tc>
          <w:tcPr>
            <w:tcW w:w="1008" w:type="dxa"/>
            <w:gridSpan w:val="2"/>
            <w:hideMark/>
          </w:tcPr>
          <w:p w14:paraId="052D46E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21.05</w:t>
            </w:r>
          </w:p>
        </w:tc>
        <w:tc>
          <w:tcPr>
            <w:tcW w:w="1222" w:type="dxa"/>
            <w:hideMark/>
          </w:tcPr>
          <w:p w14:paraId="3506E2F1"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19.75</w:t>
            </w:r>
          </w:p>
        </w:tc>
      </w:tr>
      <w:tr w:rsidR="002F5183" w:rsidRPr="003C03C9" w14:paraId="2CC821D8" w14:textId="77777777" w:rsidTr="002F5183">
        <w:trPr>
          <w:gridAfter w:val="1"/>
          <w:wAfter w:w="61" w:type="dxa"/>
        </w:trPr>
        <w:tc>
          <w:tcPr>
            <w:tcW w:w="0" w:type="auto"/>
            <w:hideMark/>
          </w:tcPr>
          <w:p w14:paraId="133BD8BF"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20.</w:t>
            </w:r>
          </w:p>
        </w:tc>
        <w:tc>
          <w:tcPr>
            <w:tcW w:w="2498" w:type="dxa"/>
            <w:gridSpan w:val="2"/>
            <w:hideMark/>
          </w:tcPr>
          <w:p w14:paraId="79F6E589"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US Dollar</w:t>
            </w:r>
          </w:p>
        </w:tc>
        <w:tc>
          <w:tcPr>
            <w:tcW w:w="1008" w:type="dxa"/>
            <w:gridSpan w:val="2"/>
            <w:hideMark/>
          </w:tcPr>
          <w:p w14:paraId="0FD0A3EC"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75.75</w:t>
            </w:r>
          </w:p>
        </w:tc>
        <w:tc>
          <w:tcPr>
            <w:tcW w:w="1222" w:type="dxa"/>
            <w:hideMark/>
          </w:tcPr>
          <w:p w14:paraId="522D3E9E" w14:textId="77777777" w:rsidR="003C03C9" w:rsidRPr="003C03C9"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3C03C9">
              <w:rPr>
                <w:rFonts w:asciiTheme="minorHAnsi" w:hAnsiTheme="minorHAnsi" w:cstheme="minorHAnsi"/>
                <w:color w:val="272727"/>
                <w:lang w:val="en-IN" w:eastAsia="en-IN"/>
              </w:rPr>
              <w:t>74.05</w:t>
            </w:r>
          </w:p>
        </w:tc>
      </w:tr>
    </w:tbl>
    <w:p w14:paraId="5A9F6FA6" w14:textId="632DA9B0" w:rsidR="003C03C9" w:rsidRDefault="003C03C9" w:rsidP="003C03C9">
      <w:pPr>
        <w:pStyle w:val="NormalWeb"/>
        <w:shd w:val="clear" w:color="auto" w:fill="FFFFFF"/>
        <w:spacing w:after="150"/>
        <w:jc w:val="both"/>
        <w:rPr>
          <w:rFonts w:ascii="Arial" w:hAnsi="Arial" w:cs="Arial"/>
          <w:color w:val="333333"/>
          <w:sz w:val="22"/>
          <w:szCs w:val="22"/>
        </w:rPr>
      </w:pPr>
    </w:p>
    <w:tbl>
      <w:tblPr>
        <w:tblStyle w:val="TableGrid"/>
        <w:tblW w:w="0" w:type="auto"/>
        <w:tblLook w:val="04A0" w:firstRow="1" w:lastRow="0" w:firstColumn="1" w:lastColumn="0" w:noHBand="0" w:noVBand="1"/>
      </w:tblPr>
      <w:tblGrid>
        <w:gridCol w:w="559"/>
        <w:gridCol w:w="1146"/>
        <w:gridCol w:w="1823"/>
        <w:gridCol w:w="1799"/>
      </w:tblGrid>
      <w:tr w:rsidR="007C5EF9" w:rsidRPr="007C5EF9" w14:paraId="6B2D38A1" w14:textId="77777777" w:rsidTr="007C5EF9">
        <w:tc>
          <w:tcPr>
            <w:tcW w:w="0" w:type="auto"/>
            <w:hideMark/>
          </w:tcPr>
          <w:p w14:paraId="756AE998"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Sl. No.</w:t>
            </w:r>
          </w:p>
        </w:tc>
        <w:tc>
          <w:tcPr>
            <w:tcW w:w="0" w:type="auto"/>
            <w:hideMark/>
          </w:tcPr>
          <w:p w14:paraId="2190502D"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Foreign Currency</w:t>
            </w:r>
          </w:p>
        </w:tc>
        <w:tc>
          <w:tcPr>
            <w:tcW w:w="0" w:type="auto"/>
            <w:gridSpan w:val="2"/>
            <w:hideMark/>
          </w:tcPr>
          <w:p w14:paraId="38608DD0"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Rate of exchange of 100 units of foreign currency equivalent to Indian rupees</w:t>
            </w:r>
          </w:p>
        </w:tc>
      </w:tr>
      <w:tr w:rsidR="007C5EF9" w:rsidRPr="007C5EF9" w14:paraId="5DFE52E7" w14:textId="77777777" w:rsidTr="002F5183">
        <w:tc>
          <w:tcPr>
            <w:tcW w:w="610" w:type="dxa"/>
          </w:tcPr>
          <w:p w14:paraId="4EAA630B" w14:textId="6E40117D"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1</w:t>
            </w:r>
          </w:p>
        </w:tc>
        <w:tc>
          <w:tcPr>
            <w:tcW w:w="1229" w:type="dxa"/>
          </w:tcPr>
          <w:p w14:paraId="79A66992" w14:textId="2AEBD38F"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2</w:t>
            </w:r>
          </w:p>
        </w:tc>
        <w:tc>
          <w:tcPr>
            <w:tcW w:w="3488" w:type="dxa"/>
            <w:gridSpan w:val="2"/>
          </w:tcPr>
          <w:p w14:paraId="59F66E9D" w14:textId="341FE533"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3</w:t>
            </w:r>
          </w:p>
        </w:tc>
      </w:tr>
      <w:tr w:rsidR="007C5EF9" w:rsidRPr="007C5EF9" w14:paraId="07CBF91B" w14:textId="77777777" w:rsidTr="002F5183">
        <w:tc>
          <w:tcPr>
            <w:tcW w:w="610" w:type="dxa"/>
          </w:tcPr>
          <w:p w14:paraId="05D0A536" w14:textId="77777777" w:rsidR="007C5EF9" w:rsidRPr="007C5EF9" w:rsidRDefault="007C5EF9" w:rsidP="007C5EF9">
            <w:pPr>
              <w:pStyle w:val="NormalWeb"/>
              <w:spacing w:after="150"/>
              <w:jc w:val="center"/>
              <w:rPr>
                <w:rFonts w:asciiTheme="minorHAnsi" w:hAnsiTheme="minorHAnsi" w:cstheme="minorHAnsi"/>
                <w:b/>
                <w:bCs/>
                <w:color w:val="333333"/>
                <w:sz w:val="22"/>
                <w:szCs w:val="22"/>
              </w:rPr>
            </w:pPr>
          </w:p>
        </w:tc>
        <w:tc>
          <w:tcPr>
            <w:tcW w:w="1229" w:type="dxa"/>
          </w:tcPr>
          <w:p w14:paraId="305EC263" w14:textId="77777777" w:rsidR="007C5EF9" w:rsidRPr="007C5EF9" w:rsidRDefault="007C5EF9" w:rsidP="007C5EF9">
            <w:pPr>
              <w:pStyle w:val="NormalWeb"/>
              <w:spacing w:after="150"/>
              <w:jc w:val="center"/>
              <w:rPr>
                <w:rFonts w:asciiTheme="minorHAnsi" w:hAnsiTheme="minorHAnsi" w:cstheme="minorHAnsi"/>
                <w:b/>
                <w:bCs/>
                <w:color w:val="333333"/>
                <w:sz w:val="22"/>
                <w:szCs w:val="22"/>
              </w:rPr>
            </w:pPr>
          </w:p>
        </w:tc>
        <w:tc>
          <w:tcPr>
            <w:tcW w:w="1752" w:type="dxa"/>
          </w:tcPr>
          <w:p w14:paraId="3E542B87" w14:textId="0B80B19B"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a</w:t>
            </w:r>
          </w:p>
        </w:tc>
        <w:tc>
          <w:tcPr>
            <w:tcW w:w="1736" w:type="dxa"/>
          </w:tcPr>
          <w:p w14:paraId="3E16B289" w14:textId="632A39A9"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b</w:t>
            </w:r>
          </w:p>
        </w:tc>
      </w:tr>
      <w:tr w:rsidR="007C5EF9" w:rsidRPr="007C5EF9" w14:paraId="60F34B9B" w14:textId="77777777" w:rsidTr="002F5183">
        <w:tc>
          <w:tcPr>
            <w:tcW w:w="610" w:type="dxa"/>
          </w:tcPr>
          <w:p w14:paraId="7672EA0F" w14:textId="77777777" w:rsidR="007C5EF9" w:rsidRPr="007C5EF9" w:rsidRDefault="007C5EF9" w:rsidP="003C03C9">
            <w:pPr>
              <w:pStyle w:val="NormalWeb"/>
              <w:spacing w:after="150"/>
              <w:jc w:val="both"/>
              <w:rPr>
                <w:rFonts w:asciiTheme="minorHAnsi" w:hAnsiTheme="minorHAnsi" w:cstheme="minorHAnsi"/>
                <w:color w:val="333333"/>
                <w:sz w:val="22"/>
                <w:szCs w:val="22"/>
              </w:rPr>
            </w:pPr>
          </w:p>
        </w:tc>
        <w:tc>
          <w:tcPr>
            <w:tcW w:w="1229" w:type="dxa"/>
          </w:tcPr>
          <w:p w14:paraId="318A4613" w14:textId="77777777" w:rsidR="007C5EF9" w:rsidRPr="007C5EF9" w:rsidRDefault="007C5EF9" w:rsidP="003C03C9">
            <w:pPr>
              <w:pStyle w:val="NormalWeb"/>
              <w:spacing w:after="150"/>
              <w:jc w:val="both"/>
              <w:rPr>
                <w:rFonts w:asciiTheme="minorHAnsi" w:hAnsiTheme="minorHAnsi" w:cstheme="minorHAnsi"/>
                <w:color w:val="333333"/>
                <w:sz w:val="22"/>
                <w:szCs w:val="22"/>
              </w:rPr>
            </w:pPr>
          </w:p>
        </w:tc>
        <w:tc>
          <w:tcPr>
            <w:tcW w:w="1752" w:type="dxa"/>
          </w:tcPr>
          <w:p w14:paraId="20AF0DDD" w14:textId="34DDC24A" w:rsidR="007C5EF9" w:rsidRPr="007C5EF9" w:rsidRDefault="007C5EF9" w:rsidP="003C03C9">
            <w:pPr>
              <w:pStyle w:val="NormalWeb"/>
              <w:spacing w:after="150"/>
              <w:jc w:val="both"/>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For imported goods</w:t>
            </w:r>
          </w:p>
        </w:tc>
        <w:tc>
          <w:tcPr>
            <w:tcW w:w="1736" w:type="dxa"/>
          </w:tcPr>
          <w:p w14:paraId="76B38B48" w14:textId="2D5DB324" w:rsidR="007C5EF9" w:rsidRPr="007C5EF9" w:rsidRDefault="007C5EF9" w:rsidP="003C03C9">
            <w:pPr>
              <w:pStyle w:val="NormalWeb"/>
              <w:spacing w:after="150"/>
              <w:jc w:val="both"/>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For exported goods</w:t>
            </w:r>
          </w:p>
        </w:tc>
      </w:tr>
      <w:tr w:rsidR="007C5EF9" w:rsidRPr="007C5EF9" w14:paraId="12C549FC" w14:textId="77777777" w:rsidTr="007C5EF9">
        <w:tc>
          <w:tcPr>
            <w:tcW w:w="0" w:type="auto"/>
            <w:hideMark/>
          </w:tcPr>
          <w:p w14:paraId="51044931"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1.</w:t>
            </w:r>
          </w:p>
        </w:tc>
        <w:tc>
          <w:tcPr>
            <w:tcW w:w="0" w:type="auto"/>
            <w:hideMark/>
          </w:tcPr>
          <w:p w14:paraId="2C78BB83"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Japanese Yen</w:t>
            </w:r>
          </w:p>
        </w:tc>
        <w:tc>
          <w:tcPr>
            <w:tcW w:w="0" w:type="auto"/>
            <w:hideMark/>
          </w:tcPr>
          <w:p w14:paraId="2EBE5AD8"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66.65</w:t>
            </w:r>
          </w:p>
        </w:tc>
        <w:tc>
          <w:tcPr>
            <w:tcW w:w="0" w:type="auto"/>
            <w:hideMark/>
          </w:tcPr>
          <w:p w14:paraId="57AFEA88"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64.30</w:t>
            </w:r>
          </w:p>
        </w:tc>
      </w:tr>
      <w:tr w:rsidR="007C5EF9" w:rsidRPr="007C5EF9" w14:paraId="4AAA5A80" w14:textId="77777777" w:rsidTr="007C5EF9">
        <w:tc>
          <w:tcPr>
            <w:tcW w:w="0" w:type="auto"/>
            <w:hideMark/>
          </w:tcPr>
          <w:p w14:paraId="35B41593"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2.</w:t>
            </w:r>
          </w:p>
        </w:tc>
        <w:tc>
          <w:tcPr>
            <w:tcW w:w="0" w:type="auto"/>
            <w:hideMark/>
          </w:tcPr>
          <w:p w14:paraId="58AC77C0"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Korean Won</w:t>
            </w:r>
          </w:p>
        </w:tc>
        <w:tc>
          <w:tcPr>
            <w:tcW w:w="0" w:type="auto"/>
            <w:hideMark/>
          </w:tcPr>
          <w:p w14:paraId="6B7AE84C"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6.40</w:t>
            </w:r>
          </w:p>
        </w:tc>
        <w:tc>
          <w:tcPr>
            <w:tcW w:w="0" w:type="auto"/>
            <w:hideMark/>
          </w:tcPr>
          <w:p w14:paraId="652EACDC"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color w:val="272727"/>
                <w:lang w:val="en-IN" w:eastAsia="en-IN"/>
              </w:rPr>
              <w:t>6.00</w:t>
            </w:r>
          </w:p>
        </w:tc>
      </w:tr>
    </w:tbl>
    <w:p w14:paraId="134E729F" w14:textId="78447EAF" w:rsidR="00721FE0" w:rsidRPr="005E6733" w:rsidRDefault="00721FE0" w:rsidP="003C03C9">
      <w:pPr>
        <w:pStyle w:val="NormalWeb"/>
        <w:shd w:val="clear" w:color="auto" w:fill="FFFFFF"/>
        <w:spacing w:after="150"/>
        <w:jc w:val="both"/>
        <w:rPr>
          <w:rFonts w:asciiTheme="minorHAnsi" w:hAnsiTheme="minorHAnsi" w:cstheme="minorHAnsi"/>
          <w:b/>
          <w:bCs/>
          <w:sz w:val="22"/>
          <w:szCs w:val="22"/>
        </w:rPr>
      </w:pPr>
      <w:r w:rsidRPr="005E6733">
        <w:rPr>
          <w:rFonts w:asciiTheme="minorHAnsi" w:hAnsiTheme="minorHAnsi" w:cstheme="minorHAnsi"/>
          <w:b/>
          <w:bCs/>
          <w:sz w:val="22"/>
          <w:szCs w:val="22"/>
        </w:rPr>
        <w:t xml:space="preserve">[For further details please refer the </w:t>
      </w:r>
      <w:r w:rsidR="00ED052E">
        <w:rPr>
          <w:rFonts w:asciiTheme="minorHAnsi" w:hAnsiTheme="minorHAnsi" w:cstheme="minorHAnsi"/>
          <w:b/>
          <w:bCs/>
          <w:sz w:val="22"/>
          <w:szCs w:val="22"/>
        </w:rPr>
        <w:t>Notification</w:t>
      </w:r>
      <w:r w:rsidRPr="005E6733">
        <w:rPr>
          <w:rFonts w:asciiTheme="minorHAnsi" w:hAnsiTheme="minorHAnsi" w:cstheme="minorHAnsi"/>
          <w:b/>
          <w:bCs/>
          <w:sz w:val="22"/>
          <w:szCs w:val="22"/>
        </w:rPr>
        <w:t>]</w:t>
      </w: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ED052E">
          <w:headerReference w:type="default" r:id="rId4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458E060C" w14:textId="64AD95C0" w:rsidR="006A5301" w:rsidRPr="00333937" w:rsidRDefault="004F75EE"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PUBLIC NOTICE</w:t>
      </w:r>
    </w:p>
    <w:p w14:paraId="748ACAE8" w14:textId="7F984702" w:rsidR="006A5301" w:rsidRPr="004F75EE" w:rsidRDefault="004F75EE" w:rsidP="007934D1">
      <w:pPr>
        <w:shd w:val="clear" w:color="auto" w:fill="8DC182"/>
        <w:tabs>
          <w:tab w:val="left" w:pos="4820"/>
        </w:tabs>
        <w:autoSpaceDE w:val="0"/>
        <w:autoSpaceDN w:val="0"/>
        <w:adjustRightInd w:val="0"/>
        <w:ind w:right="11"/>
        <w:jc w:val="both"/>
        <w:rPr>
          <w:b/>
          <w:bCs/>
          <w:lang w:val="en-IN"/>
        </w:rPr>
      </w:pPr>
      <w:r w:rsidRPr="004F75EE">
        <w:rPr>
          <w:b/>
          <w:bCs/>
        </w:rPr>
        <w:t>PROCEDURE FOR ALLOCATION OF QUOTA, FOR YEAR 2022-2023, FOR IMPORT OF (I) CALCINED PET COKE FOR ALUMINUM INDUSTRY AND (II) RAW PET COKE FOR CPC MANUFACTURING INDUSTRY</w:t>
      </w:r>
    </w:p>
    <w:p w14:paraId="42DE839E" w14:textId="10C5D2FE" w:rsidR="00056C91" w:rsidRPr="004F75EE" w:rsidRDefault="009C0F64" w:rsidP="00056C91">
      <w:pPr>
        <w:spacing w:line="240" w:lineRule="auto"/>
        <w:jc w:val="both"/>
        <w:rPr>
          <w:rFonts w:asciiTheme="minorHAnsi" w:hAnsiTheme="minorHAnsi" w:cstheme="minorHAnsi"/>
          <w:bCs/>
          <w:color w:val="000000" w:themeColor="text1"/>
          <w:lang w:val="en-IN"/>
        </w:rPr>
      </w:pPr>
      <w:r>
        <w:rPr>
          <w:rFonts w:asciiTheme="minorHAnsi" w:hAnsiTheme="minorHAnsi" w:cstheme="minorHAnsi"/>
          <w:b/>
          <w:lang w:val="en-IN"/>
        </w:rPr>
        <w:t>OUR COMMENTS</w:t>
      </w:r>
      <w:r w:rsidRPr="004F75EE">
        <w:rPr>
          <w:rFonts w:asciiTheme="minorHAnsi" w:hAnsiTheme="minorHAnsi" w:cstheme="minorHAnsi"/>
          <w:b/>
          <w:color w:val="000000" w:themeColor="text1"/>
          <w:lang w:val="en-IN"/>
        </w:rPr>
        <w:t>:</w:t>
      </w:r>
      <w:r w:rsidR="00AA2DF0" w:rsidRPr="004F75EE">
        <w:rPr>
          <w:rFonts w:asciiTheme="minorHAnsi" w:hAnsiTheme="minorHAnsi" w:cstheme="minorHAnsi"/>
          <w:bCs/>
          <w:color w:val="000000" w:themeColor="text1"/>
          <w:lang w:val="en-IN"/>
        </w:rPr>
        <w:t xml:space="preserve"> </w:t>
      </w:r>
      <w:r w:rsidR="00056C91" w:rsidRPr="004F75EE">
        <w:rPr>
          <w:rFonts w:asciiTheme="minorHAnsi" w:hAnsiTheme="minorHAnsi" w:cstheme="minorHAnsi"/>
          <w:bCs/>
          <w:color w:val="000000" w:themeColor="text1"/>
          <w:lang w:val="en-IN"/>
        </w:rPr>
        <w:t>The Hon'ble Supreme Court in the </w:t>
      </w:r>
      <w:hyperlink r:id="rId43" w:history="1">
        <w:r w:rsidR="00056C91" w:rsidRPr="004F75EE">
          <w:rPr>
            <w:rStyle w:val="Hyperlink"/>
            <w:rFonts w:asciiTheme="minorHAnsi" w:hAnsiTheme="minorHAnsi" w:cstheme="minorHAnsi"/>
            <w:bCs/>
            <w:color w:val="000000" w:themeColor="text1"/>
            <w:u w:val="none"/>
            <w:lang w:val="en-IN"/>
          </w:rPr>
          <w:t>Writ Petition No. 13029/1985 vide its order dated 9th October, 2018</w:t>
        </w:r>
      </w:hyperlink>
      <w:r w:rsidR="00056C91" w:rsidRPr="004F75EE">
        <w:rPr>
          <w:rFonts w:asciiTheme="minorHAnsi" w:hAnsiTheme="minorHAnsi" w:cstheme="minorHAnsi"/>
          <w:bCs/>
          <w:color w:val="000000" w:themeColor="text1"/>
          <w:lang w:val="en-IN"/>
        </w:rPr>
        <w:t xml:space="preserve">, has decreed that the import of raw material for use as Calcined Pet coke (CPC) in </w:t>
      </w:r>
      <w:proofErr w:type="spellStart"/>
      <w:r w:rsidR="00056C91" w:rsidRPr="004F75EE">
        <w:rPr>
          <w:rFonts w:asciiTheme="minorHAnsi" w:hAnsiTheme="minorHAnsi" w:cstheme="minorHAnsi"/>
          <w:bCs/>
          <w:color w:val="000000" w:themeColor="text1"/>
          <w:lang w:val="en-IN"/>
        </w:rPr>
        <w:t>Aluminum</w:t>
      </w:r>
      <w:proofErr w:type="spellEnd"/>
      <w:r w:rsidR="00056C91" w:rsidRPr="004F75EE">
        <w:rPr>
          <w:rFonts w:asciiTheme="minorHAnsi" w:hAnsiTheme="minorHAnsi" w:cstheme="minorHAnsi"/>
          <w:bCs/>
          <w:color w:val="000000" w:themeColor="text1"/>
          <w:lang w:val="en-IN"/>
        </w:rPr>
        <w:t xml:space="preserve"> Industry cannot exceed 0.5 Million MT per annum in total. Similarly, import of Raw Pet Coke for CPC manufacturing industry cannot exceed 1.4 </w:t>
      </w:r>
      <w:proofErr w:type="gramStart"/>
      <w:r w:rsidR="00056C91" w:rsidRPr="004F75EE">
        <w:rPr>
          <w:rFonts w:asciiTheme="minorHAnsi" w:hAnsiTheme="minorHAnsi" w:cstheme="minorHAnsi"/>
          <w:bCs/>
          <w:color w:val="000000" w:themeColor="text1"/>
          <w:lang w:val="en-IN"/>
        </w:rPr>
        <w:t>Million</w:t>
      </w:r>
      <w:proofErr w:type="gramEnd"/>
      <w:r w:rsidR="00056C91" w:rsidRPr="004F75EE">
        <w:rPr>
          <w:rFonts w:asciiTheme="minorHAnsi" w:hAnsiTheme="minorHAnsi" w:cstheme="minorHAnsi"/>
          <w:bCs/>
          <w:color w:val="000000" w:themeColor="text1"/>
          <w:lang w:val="en-IN"/>
        </w:rPr>
        <w:t xml:space="preserve"> MT per annum. In light of the Order of the Hon'ble Supreme Court, the import policy condition of Pet Coke was amended vide Notification No. 42 dated 23rd </w:t>
      </w:r>
      <w:proofErr w:type="gramStart"/>
      <w:r w:rsidR="00056C91" w:rsidRPr="004F75EE">
        <w:rPr>
          <w:rFonts w:asciiTheme="minorHAnsi" w:hAnsiTheme="minorHAnsi" w:cstheme="minorHAnsi"/>
          <w:bCs/>
          <w:color w:val="000000" w:themeColor="text1"/>
          <w:lang w:val="en-IN"/>
        </w:rPr>
        <w:t>October,</w:t>
      </w:r>
      <w:proofErr w:type="gramEnd"/>
      <w:r w:rsidR="00056C91" w:rsidRPr="004F75EE">
        <w:rPr>
          <w:rFonts w:asciiTheme="minorHAnsi" w:hAnsiTheme="minorHAnsi" w:cstheme="minorHAnsi"/>
          <w:bCs/>
          <w:color w:val="000000" w:themeColor="text1"/>
          <w:lang w:val="en-IN"/>
        </w:rPr>
        <w:t xml:space="preserve"> 2018 wherein it had been indicated that the regulation and monitoring of such imports will be as per the guidelines of Ministry of Environment, Forest and Climate Change</w:t>
      </w:r>
      <w:r w:rsidR="00181F0C">
        <w:rPr>
          <w:rFonts w:asciiTheme="minorHAnsi" w:hAnsiTheme="minorHAnsi" w:cstheme="minorHAnsi"/>
          <w:bCs/>
          <w:color w:val="000000" w:themeColor="text1"/>
          <w:lang w:val="en-IN"/>
        </w:rPr>
        <w:t>.</w:t>
      </w:r>
      <w:r w:rsidR="00056C91" w:rsidRPr="004F75EE">
        <w:rPr>
          <w:rFonts w:asciiTheme="minorHAnsi" w:hAnsiTheme="minorHAnsi" w:cstheme="minorHAnsi"/>
          <w:bCs/>
          <w:color w:val="000000" w:themeColor="text1"/>
          <w:lang w:val="en-IN"/>
        </w:rPr>
        <w:t xml:space="preserve"> </w:t>
      </w:r>
    </w:p>
    <w:p w14:paraId="672A2355" w14:textId="77777777" w:rsidR="00056C91" w:rsidRPr="00056C91" w:rsidRDefault="00056C91" w:rsidP="00056C91">
      <w:pPr>
        <w:spacing w:line="240" w:lineRule="auto"/>
        <w:jc w:val="both"/>
        <w:rPr>
          <w:rFonts w:asciiTheme="minorHAnsi" w:hAnsiTheme="minorHAnsi" w:cstheme="minorHAnsi"/>
          <w:bCs/>
          <w:color w:val="000000" w:themeColor="text1"/>
          <w:lang w:val="en-IN"/>
        </w:rPr>
      </w:pPr>
      <w:r w:rsidRPr="00056C91">
        <w:rPr>
          <w:rFonts w:asciiTheme="minorHAnsi" w:hAnsiTheme="minorHAnsi" w:cstheme="minorHAnsi"/>
          <w:b/>
          <w:bCs/>
          <w:color w:val="000000" w:themeColor="text1"/>
          <w:lang w:val="en-IN"/>
        </w:rPr>
        <w:t>Conditions and modalities of application for import of Pet coke.</w:t>
      </w:r>
    </w:p>
    <w:p w14:paraId="569A561C" w14:textId="77777777" w:rsidR="00056C91" w:rsidRPr="00056C91" w:rsidRDefault="00056C91" w:rsidP="00056C91">
      <w:pPr>
        <w:spacing w:line="240" w:lineRule="auto"/>
        <w:jc w:val="both"/>
        <w:rPr>
          <w:rFonts w:asciiTheme="minorHAnsi" w:hAnsiTheme="minorHAnsi" w:cstheme="minorHAnsi"/>
          <w:bCs/>
          <w:color w:val="000000" w:themeColor="text1"/>
          <w:lang w:val="en-IN"/>
        </w:rPr>
      </w:pPr>
      <w:proofErr w:type="spellStart"/>
      <w:r w:rsidRPr="00056C91">
        <w:rPr>
          <w:rFonts w:asciiTheme="minorHAnsi" w:hAnsiTheme="minorHAnsi" w:cstheme="minorHAnsi"/>
          <w:bCs/>
          <w:color w:val="000000" w:themeColor="text1"/>
          <w:lang w:val="en-IN"/>
        </w:rPr>
        <w:t>i</w:t>
      </w:r>
      <w:proofErr w:type="spellEnd"/>
      <w:r w:rsidRPr="00056C91">
        <w:rPr>
          <w:rFonts w:asciiTheme="minorHAnsi" w:hAnsiTheme="minorHAnsi" w:cstheme="minorHAnsi"/>
          <w:bCs/>
          <w:color w:val="000000" w:themeColor="text1"/>
          <w:lang w:val="en-IN"/>
        </w:rPr>
        <w:t xml:space="preserve">. Imports will be subject to guidelines laid down by </w:t>
      </w:r>
      <w:proofErr w:type="spellStart"/>
      <w:r w:rsidRPr="00056C91">
        <w:rPr>
          <w:rFonts w:asciiTheme="minorHAnsi" w:hAnsiTheme="minorHAnsi" w:cstheme="minorHAnsi"/>
          <w:bCs/>
          <w:color w:val="000000" w:themeColor="text1"/>
          <w:lang w:val="en-IN"/>
        </w:rPr>
        <w:t>MoEF&amp;CC</w:t>
      </w:r>
      <w:proofErr w:type="spellEnd"/>
      <w:r w:rsidRPr="00056C91">
        <w:rPr>
          <w:rFonts w:asciiTheme="minorHAnsi" w:hAnsiTheme="minorHAnsi" w:cstheme="minorHAnsi"/>
          <w:bCs/>
          <w:color w:val="000000" w:themeColor="text1"/>
          <w:lang w:val="en-IN"/>
        </w:rPr>
        <w:t xml:space="preserve"> issued vide OM No Q-18011/54/2018-CPA and para wise compliance may be submitted with the application for consideration of release of quota.</w:t>
      </w:r>
    </w:p>
    <w:p w14:paraId="79E64F07" w14:textId="77777777" w:rsidR="00056C91" w:rsidRPr="00056C91" w:rsidRDefault="00056C91" w:rsidP="00056C91">
      <w:pPr>
        <w:spacing w:line="240" w:lineRule="auto"/>
        <w:jc w:val="both"/>
        <w:rPr>
          <w:rFonts w:asciiTheme="minorHAnsi" w:hAnsiTheme="minorHAnsi" w:cstheme="minorHAnsi"/>
          <w:bCs/>
          <w:color w:val="000000" w:themeColor="text1"/>
          <w:lang w:val="en-IN"/>
        </w:rPr>
      </w:pPr>
      <w:r w:rsidRPr="00056C91">
        <w:rPr>
          <w:rFonts w:asciiTheme="minorHAnsi" w:hAnsiTheme="minorHAnsi" w:cstheme="minorHAnsi"/>
          <w:bCs/>
          <w:color w:val="000000" w:themeColor="text1"/>
          <w:lang w:val="en-IN"/>
        </w:rPr>
        <w:t>ii. The annual quantity limitation in import will be operated on fiscal year basis. Accordingly, the total quantity permitted for import per annum by the Hon'ble Supreme Court and available for import is (</w:t>
      </w:r>
      <w:proofErr w:type="spellStart"/>
      <w:r w:rsidRPr="00056C91">
        <w:rPr>
          <w:rFonts w:asciiTheme="minorHAnsi" w:hAnsiTheme="minorHAnsi" w:cstheme="minorHAnsi"/>
          <w:bCs/>
          <w:color w:val="000000" w:themeColor="text1"/>
          <w:lang w:val="en-IN"/>
        </w:rPr>
        <w:t>i</w:t>
      </w:r>
      <w:proofErr w:type="spellEnd"/>
      <w:r w:rsidRPr="00056C91">
        <w:rPr>
          <w:rFonts w:asciiTheme="minorHAnsi" w:hAnsiTheme="minorHAnsi" w:cstheme="minorHAnsi"/>
          <w:bCs/>
          <w:color w:val="000000" w:themeColor="text1"/>
          <w:lang w:val="en-IN"/>
        </w:rPr>
        <w:t xml:space="preserve">) Calcined Pet Coke for use as Calcined Pet coke in </w:t>
      </w:r>
      <w:proofErr w:type="spellStart"/>
      <w:r w:rsidRPr="00056C91">
        <w:rPr>
          <w:rFonts w:asciiTheme="minorHAnsi" w:hAnsiTheme="minorHAnsi" w:cstheme="minorHAnsi"/>
          <w:bCs/>
          <w:color w:val="000000" w:themeColor="text1"/>
          <w:lang w:val="en-IN"/>
        </w:rPr>
        <w:t>Aluminum</w:t>
      </w:r>
      <w:proofErr w:type="spellEnd"/>
      <w:r w:rsidRPr="00056C91">
        <w:rPr>
          <w:rFonts w:asciiTheme="minorHAnsi" w:hAnsiTheme="minorHAnsi" w:cstheme="minorHAnsi"/>
          <w:bCs/>
          <w:color w:val="000000" w:themeColor="text1"/>
          <w:lang w:val="en-IN"/>
        </w:rPr>
        <w:t xml:space="preserve"> Industry is 0.5 </w:t>
      </w:r>
      <w:proofErr w:type="gramStart"/>
      <w:r w:rsidRPr="00056C91">
        <w:rPr>
          <w:rFonts w:asciiTheme="minorHAnsi" w:hAnsiTheme="minorHAnsi" w:cstheme="minorHAnsi"/>
          <w:bCs/>
          <w:color w:val="000000" w:themeColor="text1"/>
          <w:lang w:val="en-IN"/>
        </w:rPr>
        <w:t>Million</w:t>
      </w:r>
      <w:proofErr w:type="gramEnd"/>
      <w:r w:rsidRPr="00056C91">
        <w:rPr>
          <w:rFonts w:asciiTheme="minorHAnsi" w:hAnsiTheme="minorHAnsi" w:cstheme="minorHAnsi"/>
          <w:bCs/>
          <w:color w:val="000000" w:themeColor="text1"/>
          <w:lang w:val="en-IN"/>
        </w:rPr>
        <w:t xml:space="preserve"> MT and (ii) Raw Pet Coke for CPC manufacturing industry is 1.4 Million MT. This is available for all industrial units in these two sectors.</w:t>
      </w:r>
    </w:p>
    <w:p w14:paraId="1372BE1A" w14:textId="6714C761" w:rsidR="00056C91" w:rsidRPr="00056C91" w:rsidRDefault="00056C91" w:rsidP="00056C91">
      <w:pPr>
        <w:spacing w:line="240" w:lineRule="auto"/>
        <w:jc w:val="both"/>
        <w:rPr>
          <w:rFonts w:asciiTheme="minorHAnsi" w:hAnsiTheme="minorHAnsi" w:cstheme="minorHAnsi"/>
          <w:bCs/>
          <w:color w:val="000000" w:themeColor="text1"/>
          <w:lang w:val="en-IN"/>
        </w:rPr>
      </w:pPr>
      <w:r w:rsidRPr="00056C91">
        <w:rPr>
          <w:rFonts w:asciiTheme="minorHAnsi" w:hAnsiTheme="minorHAnsi" w:cstheme="minorHAnsi"/>
          <w:bCs/>
          <w:color w:val="000000" w:themeColor="text1"/>
          <w:lang w:val="en-IN"/>
        </w:rPr>
        <w:t>iii. All eligible entities desiring to avail quota as mentioned above, may apply for import license as per procedure mentioned in </w:t>
      </w:r>
      <w:hyperlink r:id="rId44" w:history="1">
        <w:r w:rsidRPr="00056C91">
          <w:rPr>
            <w:rStyle w:val="Hyperlink"/>
            <w:rFonts w:asciiTheme="minorHAnsi" w:hAnsiTheme="minorHAnsi" w:cstheme="minorHAnsi"/>
            <w:bCs/>
            <w:color w:val="000000" w:themeColor="text1"/>
            <w:u w:val="none"/>
            <w:lang w:val="en-IN"/>
          </w:rPr>
          <w:t>Trade Notice No. 49 dated 15th March, 2019</w:t>
        </w:r>
      </w:hyperlink>
      <w:r w:rsidRPr="00056C91">
        <w:rPr>
          <w:rFonts w:asciiTheme="minorHAnsi" w:hAnsiTheme="minorHAnsi" w:cstheme="minorHAnsi"/>
          <w:bCs/>
          <w:color w:val="000000" w:themeColor="text1"/>
          <w:lang w:val="en-IN"/>
        </w:rPr>
        <w:t> along with State Pollution Control Board Certificate (SPCB)/ Pollution Control Committee (PCC) indicating capacity of the unit as on 09.10.2018 (Hon'ble Supreme Court Order in Writ Petition No. 13029/1985) and also valid consent certificate from SPCB/ PCC, in the name of user industrial units indicating the quantity permitted for import and its usage on a monthly and yearly basis.</w:t>
      </w:r>
    </w:p>
    <w:p w14:paraId="33F396FB"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color w:val="000000" w:themeColor="text1"/>
          <w:lang w:val="en-IN"/>
        </w:rPr>
        <w:t xml:space="preserve">iv. Completed online application along with the required documents mentioned must be submitted on or before 28th </w:t>
      </w:r>
      <w:proofErr w:type="gramStart"/>
      <w:r w:rsidRPr="00056C91">
        <w:rPr>
          <w:rFonts w:asciiTheme="minorHAnsi" w:hAnsiTheme="minorHAnsi" w:cstheme="minorHAnsi"/>
          <w:bCs/>
          <w:color w:val="000000" w:themeColor="text1"/>
          <w:lang w:val="en-IN"/>
        </w:rPr>
        <w:t>February,</w:t>
      </w:r>
      <w:proofErr w:type="gramEnd"/>
      <w:r w:rsidRPr="00056C91">
        <w:rPr>
          <w:rFonts w:asciiTheme="minorHAnsi" w:hAnsiTheme="minorHAnsi" w:cstheme="minorHAnsi"/>
          <w:bCs/>
          <w:color w:val="000000" w:themeColor="text1"/>
          <w:lang w:val="en-IN"/>
        </w:rPr>
        <w:t xml:space="preserve"> 2022. Further, applicants are also required to submit undertaking along with the online application </w:t>
      </w:r>
      <w:r w:rsidRPr="00056C91">
        <w:rPr>
          <w:rFonts w:asciiTheme="minorHAnsi" w:hAnsiTheme="minorHAnsi" w:cstheme="minorHAnsi"/>
          <w:bCs/>
          <w:color w:val="000000" w:themeColor="text1"/>
          <w:lang w:val="en-IN"/>
        </w:rPr>
        <w:t>re</w:t>
      </w:r>
      <w:r w:rsidRPr="00056C91">
        <w:rPr>
          <w:rFonts w:asciiTheme="minorHAnsi" w:hAnsiTheme="minorHAnsi" w:cstheme="minorHAnsi"/>
          <w:bCs/>
          <w:lang w:val="en-IN"/>
        </w:rPr>
        <w:t>garding utilization of import license issued to them for FY 2021-22 and surrender any unutilized quantity by 28.02.2022. Failure to do so would result in deduction of such quantity from their allocation for the year 2022-23.</w:t>
      </w:r>
    </w:p>
    <w:p w14:paraId="22F3E31E"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v. If documents received are found in order, the online application will be considered by Exim Facilitation Committee (EFC) in DGFT(HQ) for grant of import authorization. The import authorization shall be valid till 31.03.2023 only</w:t>
      </w:r>
      <w:r w:rsidRPr="00056C91">
        <w:rPr>
          <w:rFonts w:asciiTheme="minorHAnsi" w:hAnsiTheme="minorHAnsi" w:cstheme="minorHAnsi"/>
          <w:bCs/>
          <w:u w:val="single"/>
          <w:lang w:val="en-IN"/>
        </w:rPr>
        <w:t>.</w:t>
      </w:r>
    </w:p>
    <w:p w14:paraId="6415DDF5" w14:textId="77777777" w:rsidR="005D2A83"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vi. If, after obtaining permission/license for the year 2022-23. importer cannot utilize/ import the entire quantity for which the license has been issued, the applicant shall intimate the same to DGFT through email at </w:t>
      </w:r>
      <w:r w:rsidRPr="00056C91">
        <w:rPr>
          <w:rFonts w:asciiTheme="minorHAnsi" w:hAnsiTheme="minorHAnsi" w:cstheme="minorHAnsi"/>
          <w:b/>
          <w:bCs/>
          <w:lang w:val="en-IN"/>
        </w:rPr>
        <w:t>import-dgft@nic.in</w:t>
      </w:r>
      <w:r w:rsidRPr="00056C91">
        <w:rPr>
          <w:rFonts w:asciiTheme="minorHAnsi" w:hAnsiTheme="minorHAnsi" w:cstheme="minorHAnsi"/>
          <w:bCs/>
          <w:lang w:val="en-IN"/>
        </w:rPr>
        <w:t xml:space="preserve"> on or before 31.12.2022 </w:t>
      </w:r>
      <w:proofErr w:type="gramStart"/>
      <w:r w:rsidRPr="00056C91">
        <w:rPr>
          <w:rFonts w:asciiTheme="minorHAnsi" w:hAnsiTheme="minorHAnsi" w:cstheme="minorHAnsi"/>
          <w:bCs/>
          <w:lang w:val="en-IN"/>
        </w:rPr>
        <w:t>in order to</w:t>
      </w:r>
      <w:proofErr w:type="gramEnd"/>
      <w:r w:rsidRPr="00056C91">
        <w:rPr>
          <w:rFonts w:asciiTheme="minorHAnsi" w:hAnsiTheme="minorHAnsi" w:cstheme="minorHAnsi"/>
          <w:bCs/>
          <w:lang w:val="en-IN"/>
        </w:rPr>
        <w:t xml:space="preserve"> facilitate distribution of the unutilized quota to other applicants who had applied initially. Failure to utilize allotted quantity and non-surrender will disqualify the applicant for future quota and the unutilized quantity will be deducted from their entitlement.</w:t>
      </w:r>
    </w:p>
    <w:p w14:paraId="5D0280B7" w14:textId="45A4F348"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vii. Further, the quantity allocated during FY 2022-23 to the user applicants, if not utilized or surrendered to DGFT; the quantity left unutilized will be deducted from the quota for which applicant would be eligible in FY 2023-24, for better resource utilization.</w:t>
      </w:r>
    </w:p>
    <w:p w14:paraId="4410D442"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 xml:space="preserve">viii. Holders of the license for import of Pet Coke would keep the DGFT (HQ) informed of the details of his import consignments i.e., the quantity of import, </w:t>
      </w:r>
      <w:proofErr w:type="gramStart"/>
      <w:r w:rsidRPr="00056C91">
        <w:rPr>
          <w:rFonts w:asciiTheme="minorHAnsi" w:hAnsiTheme="minorHAnsi" w:cstheme="minorHAnsi"/>
          <w:bCs/>
          <w:lang w:val="en-IN"/>
        </w:rPr>
        <w:t>source</w:t>
      </w:r>
      <w:proofErr w:type="gramEnd"/>
      <w:r w:rsidRPr="00056C91">
        <w:rPr>
          <w:rFonts w:asciiTheme="minorHAnsi" w:hAnsiTheme="minorHAnsi" w:cstheme="minorHAnsi"/>
          <w:bCs/>
          <w:lang w:val="en-IN"/>
        </w:rPr>
        <w:t xml:space="preserve"> and date of import along with details of Bill of entry in respect of each consignment on clearance of goods from Customs. Subsequently, a consolidated report within 30 days of the expiry of import authorization period must be submitted to the DGFT (HQ), giving consolidated details of all imports made during the period.</w:t>
      </w:r>
    </w:p>
    <w:p w14:paraId="54ABBCDF"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ix. EFC in DGFT will evaluate and allocate quota among applicants and licenses will be issued by the DGFT(HQ).</w:t>
      </w:r>
    </w:p>
    <w:p w14:paraId="5B798922"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x. Import consignments of such consignments may be cleared given that the 'Out of charge' has been authorised by the Customs Authorities on or before 31.03.2023.</w:t>
      </w:r>
    </w:p>
    <w:p w14:paraId="608EBA30"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3. </w:t>
      </w:r>
      <w:r w:rsidRPr="00056C91">
        <w:rPr>
          <w:rFonts w:asciiTheme="minorHAnsi" w:hAnsiTheme="minorHAnsi" w:cstheme="minorHAnsi"/>
          <w:b/>
          <w:bCs/>
          <w:lang w:val="en-IN"/>
        </w:rPr>
        <w:t>Effect of this Public Notice:</w:t>
      </w:r>
    </w:p>
    <w:p w14:paraId="5E899F4C" w14:textId="77777777" w:rsidR="00056C91" w:rsidRPr="00056C91" w:rsidRDefault="00056C91" w:rsidP="00056C91">
      <w:pPr>
        <w:spacing w:line="240" w:lineRule="auto"/>
        <w:jc w:val="both"/>
        <w:rPr>
          <w:rFonts w:asciiTheme="minorHAnsi" w:hAnsiTheme="minorHAnsi" w:cstheme="minorHAnsi"/>
          <w:bCs/>
          <w:lang w:val="en-IN"/>
        </w:rPr>
      </w:pPr>
      <w:r w:rsidRPr="00056C91">
        <w:rPr>
          <w:rFonts w:asciiTheme="minorHAnsi" w:hAnsiTheme="minorHAnsi" w:cstheme="minorHAnsi"/>
          <w:bCs/>
          <w:lang w:val="en-IN"/>
        </w:rPr>
        <w:t>The procedure for allocation of quota for import of (</w:t>
      </w:r>
      <w:proofErr w:type="spellStart"/>
      <w:r w:rsidRPr="00056C91">
        <w:rPr>
          <w:rFonts w:asciiTheme="minorHAnsi" w:hAnsiTheme="minorHAnsi" w:cstheme="minorHAnsi"/>
          <w:bCs/>
          <w:lang w:val="en-IN"/>
        </w:rPr>
        <w:t>i</w:t>
      </w:r>
      <w:proofErr w:type="spellEnd"/>
      <w:r w:rsidRPr="00056C91">
        <w:rPr>
          <w:rFonts w:asciiTheme="minorHAnsi" w:hAnsiTheme="minorHAnsi" w:cstheme="minorHAnsi"/>
          <w:bCs/>
          <w:lang w:val="en-IN"/>
        </w:rPr>
        <w:t xml:space="preserve">) Calcined Pet Coke for use in </w:t>
      </w:r>
      <w:proofErr w:type="spellStart"/>
      <w:r w:rsidRPr="00056C91">
        <w:rPr>
          <w:rFonts w:asciiTheme="minorHAnsi" w:hAnsiTheme="minorHAnsi" w:cstheme="minorHAnsi"/>
          <w:bCs/>
          <w:lang w:val="en-IN"/>
        </w:rPr>
        <w:t>Aluminum</w:t>
      </w:r>
      <w:proofErr w:type="spellEnd"/>
      <w:r w:rsidRPr="00056C91">
        <w:rPr>
          <w:rFonts w:asciiTheme="minorHAnsi" w:hAnsiTheme="minorHAnsi" w:cstheme="minorHAnsi"/>
          <w:bCs/>
          <w:lang w:val="en-IN"/>
        </w:rPr>
        <w:t xml:space="preserve"> Industry; and (ii) Raw Pet Coke for CPC manufacturing industry for the year 2022-2023 is notified.</w:t>
      </w:r>
    </w:p>
    <w:p w14:paraId="5F8C1C19" w14:textId="1239F70C" w:rsidR="00AA76A8" w:rsidRPr="00AA76A8" w:rsidRDefault="00AA76A8" w:rsidP="00056C91">
      <w:pPr>
        <w:spacing w:line="360" w:lineRule="auto"/>
        <w:jc w:val="both"/>
        <w:rPr>
          <w:rFonts w:asciiTheme="minorHAnsi" w:hAnsiTheme="minorHAnsi" w:cstheme="minorHAnsi"/>
          <w:b/>
          <w:bCs/>
        </w:rPr>
      </w:pPr>
      <w:r w:rsidRPr="00AA76A8">
        <w:rPr>
          <w:rFonts w:asciiTheme="minorHAnsi" w:hAnsiTheme="minorHAnsi" w:cstheme="minorHAnsi"/>
          <w:b/>
          <w:bCs/>
        </w:rPr>
        <w:t xml:space="preserve">[For further details please refer the </w:t>
      </w:r>
      <w:r w:rsidR="005D2A83">
        <w:rPr>
          <w:rFonts w:asciiTheme="minorHAnsi" w:hAnsiTheme="minorHAnsi" w:cstheme="minorHAnsi"/>
          <w:b/>
          <w:bCs/>
        </w:rPr>
        <w:t>Public Notice</w:t>
      </w:r>
      <w:r w:rsidRPr="00AA76A8">
        <w:rPr>
          <w:rFonts w:asciiTheme="minorHAnsi" w:hAnsiTheme="minorHAnsi" w:cstheme="minorHAnsi"/>
          <w:b/>
          <w:bCs/>
        </w:rPr>
        <w:t>]</w:t>
      </w:r>
    </w:p>
    <w:p w14:paraId="42935819" w14:textId="3B73ABA1" w:rsidR="008A60AA" w:rsidRPr="00AA76A8" w:rsidRDefault="008A60AA" w:rsidP="005E6733">
      <w:pPr>
        <w:jc w:val="both"/>
        <w:rPr>
          <w:rFonts w:asciiTheme="minorHAnsi" w:hAnsiTheme="minorHAnsi" w:cstheme="minorHAnsi"/>
          <w:lang w:val="en-IN" w:eastAsia="en-IN"/>
        </w:rPr>
        <w:sectPr w:rsidR="008A60AA" w:rsidRPr="00AA76A8" w:rsidSect="00181F0C">
          <w:headerReference w:type="default" r:id="rId45"/>
          <w:pgSz w:w="11909" w:h="16834" w:code="9"/>
          <w:pgMar w:top="1710" w:right="143"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69752040" w:rsidR="004203B5" w:rsidRPr="00AA76A8" w:rsidRDefault="004203B5" w:rsidP="002C1B00">
      <w:pPr>
        <w:spacing w:after="0" w:line="360" w:lineRule="auto"/>
        <w:jc w:val="both"/>
        <w:rPr>
          <w:rFonts w:asciiTheme="minorHAnsi" w:hAnsiTheme="minorHAnsi" w:cstheme="minorHAnsi"/>
          <w:b/>
        </w:rPr>
        <w:sectPr w:rsidR="004203B5" w:rsidRPr="00AA76A8" w:rsidSect="00421927">
          <w:headerReference w:type="default" r:id="rId4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Budget </w:t>
      </w:r>
      <w:proofErr w:type="gramStart"/>
      <w:r w:rsidRPr="00014158">
        <w:rPr>
          <w:rFonts w:ascii="Verdana" w:hAnsi="Verdana" w:cstheme="minorHAnsi"/>
          <w:b/>
          <w:bCs/>
          <w:color w:val="222222"/>
          <w:sz w:val="16"/>
          <w:szCs w:val="16"/>
          <w:bdr w:val="none" w:sz="0" w:space="0" w:color="auto" w:frame="1"/>
          <w:lang w:eastAsia="en-IN"/>
        </w:rPr>
        <w:t>at a glance</w:t>
      </w:r>
      <w:proofErr w:type="gramEnd"/>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 8777784162,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1"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557A52AA" w14:textId="0E285AC3"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53"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6"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50B2478" w14:textId="2782F712"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81ACC92" w14:textId="32E26305" w:rsidR="004C39B0" w:rsidRDefault="004C39B0" w:rsidP="00F458ED">
      <w:pPr>
        <w:spacing w:after="0" w:line="240" w:lineRule="auto"/>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59"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60"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3"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64"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6"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67"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8"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1"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2"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5"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76"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75"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76"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77"/>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C0EB" w14:textId="77777777" w:rsidR="00FE593E" w:rsidRDefault="00FE593E" w:rsidP="008A20D1">
      <w:pPr>
        <w:spacing w:after="0" w:line="240" w:lineRule="auto"/>
      </w:pPr>
      <w:r>
        <w:separator/>
      </w:r>
    </w:p>
  </w:endnote>
  <w:endnote w:type="continuationSeparator" w:id="0">
    <w:p w14:paraId="1E8AABC2" w14:textId="77777777" w:rsidR="00FE593E" w:rsidRDefault="00FE593E"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0CF4418" w14:textId="1D3E9D82"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w:t>
                          </w:r>
                          <w:r w:rsidR="00B649A3">
                            <w:rPr>
                              <w:rFonts w:ascii="Bookman Old Style" w:hAnsi="Bookman Old Style"/>
                              <w:color w:val="14415C"/>
                              <w:sz w:val="18"/>
                              <w:szCs w:val="18"/>
                            </w:rPr>
                            <w:t>7</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A74491A" w14:textId="16BAA6D1" w:rsidR="00C728F9" w:rsidRDefault="00B649A3" w:rsidP="00C728F9">
                          <w:pPr>
                            <w:spacing w:after="0"/>
                            <w:rPr>
                              <w:rFonts w:ascii="Bookman Old Style" w:hAnsi="Bookman Old Style"/>
                              <w:b/>
                              <w:color w:val="14415C"/>
                              <w:sz w:val="18"/>
                              <w:szCs w:val="18"/>
                            </w:rPr>
                          </w:pPr>
                          <w:r>
                            <w:rPr>
                              <w:rFonts w:ascii="Bookman Old Style" w:hAnsi="Bookman Old Style"/>
                              <w:color w:val="14415C"/>
                              <w:sz w:val="18"/>
                              <w:szCs w:val="18"/>
                            </w:rPr>
                            <w:t>13</w:t>
                          </w:r>
                          <w:r w:rsidR="00C728F9">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2022- 1</w:t>
                          </w:r>
                          <w:r>
                            <w:rPr>
                              <w:rFonts w:ascii="Bookman Old Style" w:hAnsi="Bookman Old Style"/>
                              <w:color w:val="14415C"/>
                              <w:sz w:val="18"/>
                              <w:szCs w:val="18"/>
                            </w:rPr>
                            <w:t>9</w:t>
                          </w:r>
                          <w:r w:rsidR="00C728F9" w:rsidRPr="00136D62">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0CF4418" w14:textId="1D3E9D82"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w:t>
                    </w:r>
                    <w:r w:rsidR="00B649A3">
                      <w:rPr>
                        <w:rFonts w:ascii="Bookman Old Style" w:hAnsi="Bookman Old Style"/>
                        <w:color w:val="14415C"/>
                        <w:sz w:val="18"/>
                        <w:szCs w:val="18"/>
                      </w:rPr>
                      <w:t>7</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A74491A" w14:textId="16BAA6D1" w:rsidR="00C728F9" w:rsidRDefault="00B649A3" w:rsidP="00C728F9">
                    <w:pPr>
                      <w:spacing w:after="0"/>
                      <w:rPr>
                        <w:rFonts w:ascii="Bookman Old Style" w:hAnsi="Bookman Old Style"/>
                        <w:b/>
                        <w:color w:val="14415C"/>
                        <w:sz w:val="18"/>
                        <w:szCs w:val="18"/>
                      </w:rPr>
                    </w:pPr>
                    <w:r>
                      <w:rPr>
                        <w:rFonts w:ascii="Bookman Old Style" w:hAnsi="Bookman Old Style"/>
                        <w:color w:val="14415C"/>
                        <w:sz w:val="18"/>
                        <w:szCs w:val="18"/>
                      </w:rPr>
                      <w:t>13</w:t>
                    </w:r>
                    <w:r w:rsidR="00C728F9">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2022- 1</w:t>
                    </w:r>
                    <w:r>
                      <w:rPr>
                        <w:rFonts w:ascii="Bookman Old Style" w:hAnsi="Bookman Old Style"/>
                        <w:color w:val="14415C"/>
                        <w:sz w:val="18"/>
                        <w:szCs w:val="18"/>
                      </w:rPr>
                      <w:t>9</w:t>
                    </w:r>
                    <w:r w:rsidR="00C728F9" w:rsidRPr="00136D62">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03B92A05"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B649A3">
                            <w:rPr>
                              <w:rFonts w:ascii="Bookman Old Style" w:hAnsi="Bookman Old Style"/>
                              <w:color w:val="14415C"/>
                              <w:sz w:val="18"/>
                              <w:szCs w:val="18"/>
                            </w:rPr>
                            <w:t>7</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61CF887C" w:rsidR="00EE3189" w:rsidRDefault="00B649A3" w:rsidP="00EE3189">
                          <w:pPr>
                            <w:spacing w:after="0"/>
                            <w:rPr>
                              <w:rFonts w:ascii="Bookman Old Style" w:hAnsi="Bookman Old Style"/>
                              <w:b/>
                              <w:color w:val="14415C"/>
                              <w:sz w:val="18"/>
                              <w:szCs w:val="18"/>
                            </w:rPr>
                          </w:pPr>
                          <w:r>
                            <w:rPr>
                              <w:rFonts w:ascii="Bookman Old Style" w:hAnsi="Bookman Old Style"/>
                              <w:color w:val="14415C"/>
                              <w:sz w:val="18"/>
                              <w:szCs w:val="18"/>
                            </w:rPr>
                            <w:t>13</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C728F9">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sidR="00C728F9">
                            <w:rPr>
                              <w:rFonts w:ascii="Bookman Old Style" w:hAnsi="Bookman Old Style"/>
                              <w:color w:val="14415C"/>
                              <w:sz w:val="18"/>
                              <w:szCs w:val="18"/>
                            </w:rPr>
                            <w:t>1</w:t>
                          </w:r>
                          <w:r>
                            <w:rPr>
                              <w:rFonts w:ascii="Bookman Old Style" w:hAnsi="Bookman Old Style"/>
                              <w:color w:val="14415C"/>
                              <w:sz w:val="18"/>
                              <w:szCs w:val="18"/>
                            </w:rPr>
                            <w:t>9</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03B92A05"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B649A3">
                      <w:rPr>
                        <w:rFonts w:ascii="Bookman Old Style" w:hAnsi="Bookman Old Style"/>
                        <w:color w:val="14415C"/>
                        <w:sz w:val="18"/>
                        <w:szCs w:val="18"/>
                      </w:rPr>
                      <w:t>7</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61CF887C" w:rsidR="00EE3189" w:rsidRDefault="00B649A3" w:rsidP="00EE3189">
                    <w:pPr>
                      <w:spacing w:after="0"/>
                      <w:rPr>
                        <w:rFonts w:ascii="Bookman Old Style" w:hAnsi="Bookman Old Style"/>
                        <w:b/>
                        <w:color w:val="14415C"/>
                        <w:sz w:val="18"/>
                        <w:szCs w:val="18"/>
                      </w:rPr>
                    </w:pPr>
                    <w:r>
                      <w:rPr>
                        <w:rFonts w:ascii="Bookman Old Style" w:hAnsi="Bookman Old Style"/>
                        <w:color w:val="14415C"/>
                        <w:sz w:val="18"/>
                        <w:szCs w:val="18"/>
                      </w:rPr>
                      <w:t>13</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C728F9">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sidR="00C728F9">
                      <w:rPr>
                        <w:rFonts w:ascii="Bookman Old Style" w:hAnsi="Bookman Old Style"/>
                        <w:color w:val="14415C"/>
                        <w:sz w:val="18"/>
                        <w:szCs w:val="18"/>
                      </w:rPr>
                      <w:t>1</w:t>
                    </w:r>
                    <w:r>
                      <w:rPr>
                        <w:rFonts w:ascii="Bookman Old Style" w:hAnsi="Bookman Old Style"/>
                        <w:color w:val="14415C"/>
                        <w:sz w:val="18"/>
                        <w:szCs w:val="18"/>
                      </w:rPr>
                      <w:t>9</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FFC15BF" w14:textId="01F547F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w:t>
                          </w:r>
                          <w:r w:rsidR="00B649A3">
                            <w:rPr>
                              <w:rFonts w:ascii="Bookman Old Style" w:hAnsi="Bookman Old Style"/>
                              <w:color w:val="14415C"/>
                              <w:sz w:val="18"/>
                              <w:szCs w:val="18"/>
                            </w:rPr>
                            <w:t>7</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4DB21DF" w14:textId="2A1879C4" w:rsidR="00C728F9" w:rsidRDefault="00B649A3" w:rsidP="00C728F9">
                          <w:pPr>
                            <w:spacing w:after="0"/>
                            <w:rPr>
                              <w:rFonts w:ascii="Bookman Old Style" w:hAnsi="Bookman Old Style"/>
                              <w:b/>
                              <w:color w:val="14415C"/>
                              <w:sz w:val="18"/>
                              <w:szCs w:val="18"/>
                            </w:rPr>
                          </w:pPr>
                          <w:r>
                            <w:rPr>
                              <w:rFonts w:ascii="Bookman Old Style" w:hAnsi="Bookman Old Style"/>
                              <w:color w:val="14415C"/>
                              <w:sz w:val="18"/>
                              <w:szCs w:val="18"/>
                            </w:rPr>
                            <w:t>13</w:t>
                          </w:r>
                          <w:r w:rsidR="00C728F9">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2022- 1</w:t>
                          </w:r>
                          <w:r>
                            <w:rPr>
                              <w:rFonts w:ascii="Bookman Old Style" w:hAnsi="Bookman Old Style"/>
                              <w:color w:val="14415C"/>
                              <w:sz w:val="18"/>
                              <w:szCs w:val="18"/>
                            </w:rPr>
                            <w:t>9</w:t>
                          </w:r>
                          <w:r w:rsidR="00C728F9" w:rsidRPr="00136D62">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6FFC15BF" w14:textId="01F547F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w:t>
                    </w:r>
                    <w:r w:rsidR="00B649A3">
                      <w:rPr>
                        <w:rFonts w:ascii="Bookman Old Style" w:hAnsi="Bookman Old Style"/>
                        <w:color w:val="14415C"/>
                        <w:sz w:val="18"/>
                        <w:szCs w:val="18"/>
                      </w:rPr>
                      <w:t>7</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4DB21DF" w14:textId="2A1879C4" w:rsidR="00C728F9" w:rsidRDefault="00B649A3" w:rsidP="00C728F9">
                    <w:pPr>
                      <w:spacing w:after="0"/>
                      <w:rPr>
                        <w:rFonts w:ascii="Bookman Old Style" w:hAnsi="Bookman Old Style"/>
                        <w:b/>
                        <w:color w:val="14415C"/>
                        <w:sz w:val="18"/>
                        <w:szCs w:val="18"/>
                      </w:rPr>
                    </w:pPr>
                    <w:r>
                      <w:rPr>
                        <w:rFonts w:ascii="Bookman Old Style" w:hAnsi="Bookman Old Style"/>
                        <w:color w:val="14415C"/>
                        <w:sz w:val="18"/>
                        <w:szCs w:val="18"/>
                      </w:rPr>
                      <w:t>13</w:t>
                    </w:r>
                    <w:r w:rsidR="00C728F9">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2022- 1</w:t>
                    </w:r>
                    <w:r>
                      <w:rPr>
                        <w:rFonts w:ascii="Bookman Old Style" w:hAnsi="Bookman Old Style"/>
                        <w:color w:val="14415C"/>
                        <w:sz w:val="18"/>
                        <w:szCs w:val="18"/>
                      </w:rPr>
                      <w:t>9</w:t>
                    </w:r>
                    <w:r w:rsidR="00C728F9" w:rsidRPr="00136D62">
                      <w:rPr>
                        <w:rFonts w:ascii="Bookman Old Style" w:hAnsi="Bookman Old Style"/>
                        <w:color w:val="14415C"/>
                        <w:sz w:val="18"/>
                        <w:szCs w:val="18"/>
                        <w:vertAlign w:val="superscript"/>
                      </w:rPr>
                      <w:t>th</w:t>
                    </w:r>
                    <w:r w:rsidR="00C728F9">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6B292" w14:textId="77777777" w:rsidR="00FE593E" w:rsidRDefault="00FE593E" w:rsidP="008A20D1">
      <w:pPr>
        <w:spacing w:after="0" w:line="240" w:lineRule="auto"/>
      </w:pPr>
      <w:r>
        <w:separator/>
      </w:r>
    </w:p>
  </w:footnote>
  <w:footnote w:type="continuationSeparator" w:id="0">
    <w:p w14:paraId="54521BA8" w14:textId="77777777" w:rsidR="00FE593E" w:rsidRDefault="00FE593E"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50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0" name="Picture 51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3" name="Picture 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0" name="Picture 2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14" name="Picture 1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5" name="Picture 1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36" name="Picture 36"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7" name="Picture 3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3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63" name="Picture 6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13"/>
  </w:num>
  <w:num w:numId="4">
    <w:abstractNumId w:val="5"/>
  </w:num>
  <w:num w:numId="5">
    <w:abstractNumId w:val="4"/>
  </w:num>
  <w:num w:numId="6">
    <w:abstractNumId w:val="8"/>
  </w:num>
  <w:num w:numId="7">
    <w:abstractNumId w:val="1"/>
  </w:num>
  <w:num w:numId="8">
    <w:abstractNumId w:val="9"/>
  </w:num>
  <w:num w:numId="9">
    <w:abstractNumId w:val="7"/>
  </w:num>
  <w:num w:numId="10">
    <w:abstractNumId w:val="6"/>
  </w:num>
  <w:num w:numId="11">
    <w:abstractNumId w:val="11"/>
  </w:num>
  <w:num w:numId="12">
    <w:abstractNumId w:val="12"/>
  </w:num>
  <w:num w:numId="13">
    <w:abstractNumId w:val="2"/>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markup="0"/>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C91"/>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C6F"/>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99E"/>
    <w:rsid w:val="00263BE3"/>
    <w:rsid w:val="0026441B"/>
    <w:rsid w:val="00264A20"/>
    <w:rsid w:val="00265089"/>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10"/>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48"/>
    <w:rsid w:val="002F58A1"/>
    <w:rsid w:val="002F5AF9"/>
    <w:rsid w:val="002F6009"/>
    <w:rsid w:val="002F60D1"/>
    <w:rsid w:val="002F6573"/>
    <w:rsid w:val="002F67E8"/>
    <w:rsid w:val="002F6861"/>
    <w:rsid w:val="002F6A09"/>
    <w:rsid w:val="002F6CC0"/>
    <w:rsid w:val="002F6D25"/>
    <w:rsid w:val="002F6D82"/>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D0"/>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A95"/>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09B"/>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2E6"/>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30E7"/>
    <w:rsid w:val="004A320F"/>
    <w:rsid w:val="004A33E7"/>
    <w:rsid w:val="004A35D3"/>
    <w:rsid w:val="004A3B4C"/>
    <w:rsid w:val="004A3BDD"/>
    <w:rsid w:val="004A3EE5"/>
    <w:rsid w:val="004A3F6D"/>
    <w:rsid w:val="004A4199"/>
    <w:rsid w:val="004A4506"/>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A3F"/>
    <w:rsid w:val="005A3BBF"/>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eader" Target="header9.xml"/><Relationship Id="rId21" Type="http://schemas.openxmlformats.org/officeDocument/2006/relationships/hyperlink" Target="http://www.taxconnect.co.in" TargetMode="External"/><Relationship Id="rId34" Type="http://schemas.openxmlformats.org/officeDocument/2006/relationships/hyperlink" Target="https://www.taxmanagementindia.com/visitor/detail_circular.asp?ID=64831" TargetMode="External"/><Relationship Id="rId42" Type="http://schemas.openxmlformats.org/officeDocument/2006/relationships/header" Target="header11.xml"/><Relationship Id="rId47" Type="http://schemas.openxmlformats.org/officeDocument/2006/relationships/image" Target="media/image11.jpeg"/><Relationship Id="rId50" Type="http://schemas.openxmlformats.org/officeDocument/2006/relationships/hyperlink" Target="http://www.bookcorporation.com/" TargetMode="External"/><Relationship Id="rId55" Type="http://schemas.openxmlformats.org/officeDocument/2006/relationships/hyperlink" Target="http://www.bookcorporation.com/" TargetMode="External"/><Relationship Id="rId63" Type="http://schemas.openxmlformats.org/officeDocument/2006/relationships/image" Target="media/image19.png"/><Relationship Id="rId68" Type="http://schemas.openxmlformats.org/officeDocument/2006/relationships/hyperlink" Target="mailto:poonam.khemka@taxconnectdelhi.co.in" TargetMode="External"/><Relationship Id="rId76"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Case_Laws.asp?ID=382776"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www.taxmanagementindia.com/visitor/detail_circular.asp?ID=57109" TargetMode="External"/><Relationship Id="rId37" Type="http://schemas.openxmlformats.org/officeDocument/2006/relationships/hyperlink" Target="https://www.taxmanagementindia.com/visitor/detail_act.asp?ID=2004" TargetMode="External"/><Relationship Id="rId40" Type="http://schemas.openxmlformats.org/officeDocument/2006/relationships/footer" Target="footer3.xml"/><Relationship Id="rId45" Type="http://schemas.openxmlformats.org/officeDocument/2006/relationships/header" Target="header12.xml"/><Relationship Id="rId53" Type="http://schemas.openxmlformats.org/officeDocument/2006/relationships/hyperlink" Target="mailto:bookcorporation@gmail.com" TargetMode="External"/><Relationship Id="rId58" Type="http://schemas.openxmlformats.org/officeDocument/2006/relationships/image" Target="media/image14.png"/><Relationship Id="rId66" Type="http://schemas.openxmlformats.org/officeDocument/2006/relationships/hyperlink" Target="mailto:poonam.khemka@taxconnectdelhi.co.in" TargetMode="External"/><Relationship Id="rId74" Type="http://schemas.openxmlformats.org/officeDocument/2006/relationships/image" Target="media/image28.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hyperlink" Target="http://www.taxconnect.co.in" TargetMode="External"/><Relationship Id="rId31" Type="http://schemas.openxmlformats.org/officeDocument/2006/relationships/hyperlink" Target="https://www.taxmanagementindia.com/visitor/acts_rules_provisions.asp?ID=1017" TargetMode="External"/><Relationship Id="rId44" Type="http://schemas.openxmlformats.org/officeDocument/2006/relationships/hyperlink" Target="https://www.taxmanagementindia.com/visitor/detail_circular.asp?ID=60200" TargetMode="External"/><Relationship Id="rId52" Type="http://schemas.openxmlformats.org/officeDocument/2006/relationships/image" Target="media/image12.jpe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image" Target="media/image27.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yperlink" Target="https://www.taxmanagementindia.com/visitor/detail_circular.asp?ID=57109" TargetMode="External"/><Relationship Id="rId43" Type="http://schemas.openxmlformats.org/officeDocument/2006/relationships/hyperlink" Target="https://www.taxmanagementindia.com/visitor/detail_case_laws.asp?ID=371009" TargetMode="External"/><Relationship Id="rId48" Type="http://schemas.openxmlformats.org/officeDocument/2006/relationships/hyperlink" Target="mailto:bookcorporation@gmail.com" TargetMode="External"/><Relationship Id="rId56" Type="http://schemas.openxmlformats.org/officeDocument/2006/relationships/hyperlink" Target="http://www.taxconnect.co.in/" TargetMode="External"/><Relationship Id="rId64" Type="http://schemas.openxmlformats.org/officeDocument/2006/relationships/image" Target="media/image20.png"/><Relationship Id="rId69" Type="http://schemas.openxmlformats.org/officeDocument/2006/relationships/image" Target="media/image23.png"/><Relationship Id="rId77"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http://www.taxconnect.co.in/" TargetMode="External"/><Relationship Id="rId72"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circular.asp?ID=64831" TargetMode="External"/><Relationship Id="rId38" Type="http://schemas.openxmlformats.org/officeDocument/2006/relationships/hyperlink" Target="https://www.taxmanagementindia.com/visitor/acts_rules_provisions.asp?ID=162" TargetMode="External"/><Relationship Id="rId46" Type="http://schemas.openxmlformats.org/officeDocument/2006/relationships/header" Target="header13.xml"/><Relationship Id="rId59" Type="http://schemas.openxmlformats.org/officeDocument/2006/relationships/image" Target="media/image15.png"/><Relationship Id="rId67" Type="http://schemas.openxmlformats.org/officeDocument/2006/relationships/image" Target="media/image22.png"/><Relationship Id="rId20" Type="http://schemas.openxmlformats.org/officeDocument/2006/relationships/hyperlink" Target="mailto:info@taxconnect.co.in" TargetMode="External"/><Relationship Id="rId41" Type="http://schemas.openxmlformats.org/officeDocument/2006/relationships/header" Target="header10.xml"/><Relationship Id="rId54" Type="http://schemas.openxmlformats.org/officeDocument/2006/relationships/hyperlink" Target="mailto:info@taxconnect.co.in" TargetMode="External"/><Relationship Id="rId62" Type="http://schemas.openxmlformats.org/officeDocument/2006/relationships/image" Target="media/image18.png"/><Relationship Id="rId70" Type="http://schemas.openxmlformats.org/officeDocument/2006/relationships/image" Target="media/image24.png"/><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detail_act.asp?ID=2003" TargetMode="External"/><Relationship Id="rId49" Type="http://schemas.openxmlformats.org/officeDocument/2006/relationships/hyperlink" Target="mailto:info@taxconnect.co.in" TargetMode="External"/><Relationship Id="rId57"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4225</Words>
  <Characters>24086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39</cp:revision>
  <cp:lastPrinted>2021-10-22T22:05:00Z</cp:lastPrinted>
  <dcterms:created xsi:type="dcterms:W3CDTF">2022-02-11T06:46:00Z</dcterms:created>
  <dcterms:modified xsi:type="dcterms:W3CDTF">2022-02-12T07:05:00Z</dcterms:modified>
</cp:coreProperties>
</file>