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EE75552"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091B84F1"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4121E7">
                              <w:rPr>
                                <w:rFonts w:ascii="Comic Sans MS" w:hAnsi="Comic Sans MS"/>
                                <w:color w:val="FFFFFF" w:themeColor="background1"/>
                                <w:sz w:val="24"/>
                                <w:szCs w:val="24"/>
                              </w:rPr>
                              <w:t>5</w:t>
                            </w:r>
                            <w:r w:rsidR="004121E7">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136D62">
                              <w:rPr>
                                <w:rFonts w:ascii="Comic Sans MS" w:hAnsi="Comic Sans MS"/>
                                <w:color w:val="FFFFFF" w:themeColor="background1"/>
                                <w:sz w:val="24"/>
                                <w:szCs w:val="24"/>
                              </w:rPr>
                              <w:t>30th</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5</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091B84F1"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4121E7">
                        <w:rPr>
                          <w:rFonts w:ascii="Comic Sans MS" w:hAnsi="Comic Sans MS"/>
                          <w:color w:val="FFFFFF" w:themeColor="background1"/>
                          <w:sz w:val="24"/>
                          <w:szCs w:val="24"/>
                        </w:rPr>
                        <w:t>5</w:t>
                      </w:r>
                      <w:r w:rsidR="004121E7">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136D62">
                        <w:rPr>
                          <w:rFonts w:ascii="Comic Sans MS" w:hAnsi="Comic Sans MS"/>
                          <w:color w:val="FFFFFF" w:themeColor="background1"/>
                          <w:sz w:val="24"/>
                          <w:szCs w:val="24"/>
                        </w:rPr>
                        <w:t>30th</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5</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19"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0"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1"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2"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4753FF1B"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0EAB7C53" w14:textId="081A20C0" w:rsidR="00344D09" w:rsidRDefault="00CD6F7A" w:rsidP="00D02587">
      <w:pPr>
        <w:tabs>
          <w:tab w:val="left" w:pos="4820"/>
        </w:tabs>
        <w:spacing w:line="312" w:lineRule="auto"/>
        <w:contextualSpacing/>
        <w:jc w:val="both"/>
        <w:rPr>
          <w:rFonts w:asciiTheme="minorHAnsi" w:hAnsiTheme="minorHAnsi" w:cstheme="minorHAnsi"/>
          <w:bCs/>
        </w:rPr>
      </w:pPr>
      <w:r w:rsidRPr="00A06DAF">
        <w:rPr>
          <w:rFonts w:asciiTheme="minorHAnsi" w:hAnsiTheme="minorHAnsi" w:cstheme="minorHAnsi"/>
          <w:bCs/>
        </w:rPr>
        <w:t xml:space="preserve">Recently, a detailed guideline has been issued by </w:t>
      </w:r>
      <w:r w:rsidR="008E5CA8" w:rsidRPr="008E5CA8">
        <w:rPr>
          <w:rFonts w:asciiTheme="minorHAnsi" w:hAnsiTheme="minorHAnsi" w:cstheme="minorHAnsi"/>
          <w:bCs/>
        </w:rPr>
        <w:t xml:space="preserve">The Central Board of Direct Taxes </w:t>
      </w:r>
      <w:r w:rsidR="008E5CA8">
        <w:rPr>
          <w:rFonts w:asciiTheme="minorHAnsi" w:hAnsiTheme="minorHAnsi" w:cstheme="minorHAnsi"/>
          <w:bCs/>
        </w:rPr>
        <w:t>(</w:t>
      </w:r>
      <w:r w:rsidRPr="00A06DAF">
        <w:rPr>
          <w:rFonts w:asciiTheme="minorHAnsi" w:hAnsiTheme="minorHAnsi" w:cstheme="minorHAnsi"/>
          <w:bCs/>
        </w:rPr>
        <w:t>CBDT</w:t>
      </w:r>
      <w:r w:rsidR="008E5CA8">
        <w:rPr>
          <w:rFonts w:asciiTheme="minorHAnsi" w:hAnsiTheme="minorHAnsi" w:cstheme="minorHAnsi"/>
          <w:bCs/>
        </w:rPr>
        <w:t>)</w:t>
      </w:r>
      <w:r w:rsidRPr="00A06DAF">
        <w:rPr>
          <w:rFonts w:asciiTheme="minorHAnsi" w:hAnsiTheme="minorHAnsi" w:cstheme="minorHAnsi"/>
          <w:bCs/>
        </w:rPr>
        <w:t xml:space="preserve"> in the matter of how taxes would be calculated on maturity proceeds of U</w:t>
      </w:r>
      <w:r w:rsidRPr="00CD6F7A">
        <w:rPr>
          <w:rFonts w:asciiTheme="minorHAnsi" w:hAnsiTheme="minorHAnsi" w:cstheme="minorHAnsi"/>
          <w:bCs/>
        </w:rPr>
        <w:t>LIP</w:t>
      </w:r>
      <w:r w:rsidR="00344D09">
        <w:rPr>
          <w:rFonts w:asciiTheme="minorHAnsi" w:hAnsiTheme="minorHAnsi" w:cstheme="minorHAnsi"/>
          <w:bCs/>
        </w:rPr>
        <w:t>s</w:t>
      </w:r>
      <w:r>
        <w:rPr>
          <w:rFonts w:asciiTheme="minorHAnsi" w:hAnsiTheme="minorHAnsi" w:cstheme="minorHAnsi"/>
          <w:bCs/>
        </w:rPr>
        <w:t xml:space="preserve"> vide </w:t>
      </w:r>
      <w:r w:rsidRPr="00CD6F7A">
        <w:rPr>
          <w:rFonts w:asciiTheme="minorHAnsi" w:hAnsiTheme="minorHAnsi" w:cstheme="minorHAnsi"/>
          <w:bCs/>
        </w:rPr>
        <w:t>Circular No. 2 of 2022</w:t>
      </w:r>
      <w:r>
        <w:rPr>
          <w:rFonts w:asciiTheme="minorHAnsi" w:hAnsiTheme="minorHAnsi" w:cstheme="minorHAnsi"/>
          <w:bCs/>
        </w:rPr>
        <w:t xml:space="preserve"> dated </w:t>
      </w:r>
      <w:r w:rsidRPr="00CD6F7A">
        <w:rPr>
          <w:rFonts w:asciiTheme="minorHAnsi" w:hAnsiTheme="minorHAnsi" w:cstheme="minorHAnsi"/>
          <w:bCs/>
        </w:rPr>
        <w:t>19</w:t>
      </w:r>
      <w:r w:rsidRPr="00A06DAF">
        <w:rPr>
          <w:rFonts w:asciiTheme="minorHAnsi" w:hAnsiTheme="minorHAnsi" w:cstheme="minorHAnsi"/>
          <w:bCs/>
          <w:vertAlign w:val="superscript"/>
        </w:rPr>
        <w:t>th</w:t>
      </w:r>
      <w:r w:rsidRPr="00CD6F7A">
        <w:rPr>
          <w:rFonts w:asciiTheme="minorHAnsi" w:hAnsiTheme="minorHAnsi" w:cstheme="minorHAnsi"/>
          <w:bCs/>
        </w:rPr>
        <w:t xml:space="preserve"> </w:t>
      </w:r>
      <w:proofErr w:type="gramStart"/>
      <w:r w:rsidRPr="00CD6F7A">
        <w:rPr>
          <w:rFonts w:asciiTheme="minorHAnsi" w:hAnsiTheme="minorHAnsi" w:cstheme="minorHAnsi"/>
          <w:bCs/>
        </w:rPr>
        <w:t>January,</w:t>
      </w:r>
      <w:proofErr w:type="gramEnd"/>
      <w:r w:rsidRPr="00CD6F7A">
        <w:rPr>
          <w:rFonts w:asciiTheme="minorHAnsi" w:hAnsiTheme="minorHAnsi" w:cstheme="minorHAnsi"/>
          <w:bCs/>
        </w:rPr>
        <w:t xml:space="preserve"> 2022</w:t>
      </w:r>
      <w:r>
        <w:rPr>
          <w:rFonts w:asciiTheme="minorHAnsi" w:hAnsiTheme="minorHAnsi" w:cstheme="minorHAnsi"/>
          <w:bCs/>
        </w:rPr>
        <w:t>.</w:t>
      </w:r>
      <w:r w:rsidR="008E5CA8">
        <w:rPr>
          <w:rFonts w:asciiTheme="minorHAnsi" w:hAnsiTheme="minorHAnsi" w:cstheme="minorHAnsi"/>
          <w:bCs/>
        </w:rPr>
        <w:t xml:space="preserve"> </w:t>
      </w:r>
      <w:r w:rsidR="008E5CA8" w:rsidRPr="008E5CA8">
        <w:rPr>
          <w:rFonts w:asciiTheme="minorHAnsi" w:hAnsiTheme="minorHAnsi" w:cstheme="minorHAnsi"/>
          <w:bCs/>
        </w:rPr>
        <w:t xml:space="preserve">The CBDT, that frames policy for the income tax department, had on January 18 notified the rules stating the method of calculation of capital gains </w:t>
      </w:r>
      <w:proofErr w:type="gramStart"/>
      <w:r w:rsidR="008E5CA8" w:rsidRPr="008E5CA8">
        <w:rPr>
          <w:rFonts w:asciiTheme="minorHAnsi" w:hAnsiTheme="minorHAnsi" w:cstheme="minorHAnsi"/>
          <w:bCs/>
        </w:rPr>
        <w:t>with regard to</w:t>
      </w:r>
      <w:proofErr w:type="gramEnd"/>
      <w:r w:rsidR="008E5CA8" w:rsidRPr="008E5CA8">
        <w:rPr>
          <w:rFonts w:asciiTheme="minorHAnsi" w:hAnsiTheme="minorHAnsi" w:cstheme="minorHAnsi"/>
          <w:bCs/>
        </w:rPr>
        <w:t xml:space="preserve"> ULIPs with annual premium of more than Rs 2.5 lakh and subsequently issued a circular the next day charting out various aspects of their taxation.</w:t>
      </w:r>
      <w:r w:rsidR="00421C95">
        <w:rPr>
          <w:rFonts w:asciiTheme="minorHAnsi" w:hAnsiTheme="minorHAnsi" w:cstheme="minorHAnsi"/>
          <w:bCs/>
        </w:rPr>
        <w:t xml:space="preserve"> </w:t>
      </w:r>
    </w:p>
    <w:p w14:paraId="59E5CC7C" w14:textId="77777777" w:rsidR="00344D09" w:rsidRDefault="00344D09" w:rsidP="00D02587">
      <w:pPr>
        <w:tabs>
          <w:tab w:val="left" w:pos="4820"/>
        </w:tabs>
        <w:spacing w:line="312" w:lineRule="auto"/>
        <w:contextualSpacing/>
        <w:jc w:val="both"/>
        <w:rPr>
          <w:rFonts w:asciiTheme="minorHAnsi" w:hAnsiTheme="minorHAnsi" w:cstheme="minorHAnsi"/>
          <w:bCs/>
        </w:rPr>
      </w:pPr>
    </w:p>
    <w:p w14:paraId="7C6E7790" w14:textId="20ED5E65" w:rsidR="00CD6F7A" w:rsidRDefault="00421C95" w:rsidP="00D02587">
      <w:pPr>
        <w:tabs>
          <w:tab w:val="left" w:pos="4820"/>
        </w:tabs>
        <w:spacing w:line="312" w:lineRule="auto"/>
        <w:contextualSpacing/>
        <w:jc w:val="both"/>
        <w:rPr>
          <w:rFonts w:asciiTheme="minorHAnsi" w:hAnsiTheme="minorHAnsi" w:cstheme="minorHAnsi"/>
          <w:bCs/>
        </w:rPr>
      </w:pPr>
      <w:r w:rsidRPr="00421C95">
        <w:rPr>
          <w:rFonts w:asciiTheme="minorHAnsi" w:hAnsiTheme="minorHAnsi" w:cstheme="minorHAnsi"/>
          <w:bCs/>
        </w:rPr>
        <w:t xml:space="preserve">These </w:t>
      </w:r>
      <w:r>
        <w:rPr>
          <w:rFonts w:asciiTheme="minorHAnsi" w:hAnsiTheme="minorHAnsi" w:cstheme="minorHAnsi"/>
          <w:bCs/>
        </w:rPr>
        <w:t xml:space="preserve">guidelines </w:t>
      </w:r>
      <w:r w:rsidRPr="00421C95">
        <w:rPr>
          <w:rFonts w:asciiTheme="minorHAnsi" w:hAnsiTheme="minorHAnsi" w:cstheme="minorHAnsi"/>
          <w:bCs/>
        </w:rPr>
        <w:t>do not bring any new taxation provision but only clarify the method of calculation of capital gains when it comes to redeeming ULIPs in specified cases</w:t>
      </w:r>
      <w:r>
        <w:rPr>
          <w:rFonts w:asciiTheme="minorHAnsi" w:hAnsiTheme="minorHAnsi" w:cstheme="minorHAnsi"/>
          <w:bCs/>
        </w:rPr>
        <w:t>.</w:t>
      </w:r>
    </w:p>
    <w:p w14:paraId="4D4B1891" w14:textId="671B24C2" w:rsidR="00344D09" w:rsidRDefault="00344D09" w:rsidP="00D02587">
      <w:pPr>
        <w:tabs>
          <w:tab w:val="left" w:pos="4820"/>
        </w:tabs>
        <w:spacing w:line="312" w:lineRule="auto"/>
        <w:contextualSpacing/>
        <w:jc w:val="both"/>
        <w:rPr>
          <w:rFonts w:asciiTheme="minorHAnsi" w:hAnsiTheme="minorHAnsi" w:cstheme="minorHAnsi"/>
          <w:bCs/>
        </w:rPr>
      </w:pPr>
    </w:p>
    <w:p w14:paraId="2260C4AE" w14:textId="77777777" w:rsidR="00344D09" w:rsidRDefault="00344D09" w:rsidP="00344D09">
      <w:pPr>
        <w:tabs>
          <w:tab w:val="left" w:pos="4820"/>
        </w:tabs>
        <w:spacing w:line="312" w:lineRule="auto"/>
        <w:contextualSpacing/>
        <w:jc w:val="both"/>
        <w:rPr>
          <w:rFonts w:asciiTheme="minorHAnsi" w:hAnsiTheme="minorHAnsi" w:cstheme="minorHAnsi"/>
          <w:bCs/>
        </w:rPr>
      </w:pPr>
      <w:r w:rsidRPr="00CD6F7A">
        <w:rPr>
          <w:rFonts w:asciiTheme="minorHAnsi" w:hAnsiTheme="minorHAnsi" w:cstheme="minorHAnsi"/>
          <w:bCs/>
        </w:rPr>
        <w:t xml:space="preserve">The renewal premiums paid on </w:t>
      </w:r>
      <w:r w:rsidRPr="00DC0FDF">
        <w:rPr>
          <w:rFonts w:asciiTheme="minorHAnsi" w:hAnsiTheme="minorHAnsi" w:cstheme="minorHAnsi"/>
          <w:bCs/>
        </w:rPr>
        <w:t>U</w:t>
      </w:r>
      <w:r w:rsidRPr="00CD6F7A">
        <w:rPr>
          <w:rFonts w:asciiTheme="minorHAnsi" w:hAnsiTheme="minorHAnsi" w:cstheme="minorHAnsi"/>
          <w:bCs/>
        </w:rPr>
        <w:t>LIP</w:t>
      </w:r>
      <w:r>
        <w:rPr>
          <w:rFonts w:asciiTheme="minorHAnsi" w:hAnsiTheme="minorHAnsi" w:cstheme="minorHAnsi"/>
          <w:bCs/>
        </w:rPr>
        <w:t xml:space="preserve">s </w:t>
      </w:r>
      <w:r w:rsidRPr="00CD6F7A">
        <w:rPr>
          <w:rFonts w:asciiTheme="minorHAnsi" w:hAnsiTheme="minorHAnsi" w:cstheme="minorHAnsi"/>
          <w:bCs/>
        </w:rPr>
        <w:t>bought before February 1, 2021, will continue to be tax-exempt</w:t>
      </w:r>
      <w:r>
        <w:rPr>
          <w:rFonts w:asciiTheme="minorHAnsi" w:hAnsiTheme="minorHAnsi" w:cstheme="minorHAnsi"/>
          <w:bCs/>
        </w:rPr>
        <w:t xml:space="preserve">. </w:t>
      </w:r>
      <w:r w:rsidRPr="00CD6F7A">
        <w:rPr>
          <w:rFonts w:asciiTheme="minorHAnsi" w:hAnsiTheme="minorHAnsi" w:cstheme="minorHAnsi"/>
          <w:bCs/>
        </w:rPr>
        <w:t>A year after the tax exemption on maturity proceeds of ULIPS on annual premiums of over Rs 2.5 lakh was removed in Budget 2021, the Central Board of Direct Taxes (CBDT) issued detailed rules on how taxes would be calculated.</w:t>
      </w:r>
    </w:p>
    <w:p w14:paraId="7654078D" w14:textId="7D02007C" w:rsidR="00421C95" w:rsidRDefault="00421C95" w:rsidP="00D02587">
      <w:pPr>
        <w:tabs>
          <w:tab w:val="left" w:pos="4820"/>
        </w:tabs>
        <w:spacing w:line="312" w:lineRule="auto"/>
        <w:contextualSpacing/>
        <w:jc w:val="both"/>
        <w:rPr>
          <w:rFonts w:asciiTheme="minorHAnsi" w:hAnsiTheme="minorHAnsi" w:cstheme="minorHAnsi"/>
          <w:bCs/>
        </w:rPr>
      </w:pPr>
    </w:p>
    <w:p w14:paraId="50D99912" w14:textId="10A3DFF1" w:rsidR="00421C95" w:rsidRDefault="00421C95" w:rsidP="00D02587">
      <w:pPr>
        <w:tabs>
          <w:tab w:val="left" w:pos="4820"/>
        </w:tabs>
        <w:spacing w:line="312" w:lineRule="auto"/>
        <w:contextualSpacing/>
        <w:jc w:val="both"/>
        <w:rPr>
          <w:rFonts w:asciiTheme="minorHAnsi" w:hAnsiTheme="minorHAnsi" w:cstheme="minorHAnsi"/>
          <w:bCs/>
        </w:rPr>
      </w:pPr>
      <w:r w:rsidRPr="00421C95">
        <w:rPr>
          <w:rFonts w:asciiTheme="minorHAnsi" w:hAnsiTheme="minorHAnsi" w:cstheme="minorHAnsi"/>
          <w:bCs/>
        </w:rPr>
        <w:t>The Finance Act of 2021 carried out amendment in section 10(10D) of the Income-tax Act following which the sum received under ULIPs issued on or after Feb 1, 2021, shall not be exempt if the annual premium payable for any year exceeds Rs 2.50 lakh.</w:t>
      </w:r>
    </w:p>
    <w:p w14:paraId="39FFDD3F" w14:textId="1BE7BEDC" w:rsidR="00CD6F7A" w:rsidRDefault="00CD6F7A" w:rsidP="00D02587">
      <w:pPr>
        <w:tabs>
          <w:tab w:val="left" w:pos="4820"/>
        </w:tabs>
        <w:spacing w:line="312" w:lineRule="auto"/>
        <w:contextualSpacing/>
        <w:jc w:val="both"/>
        <w:rPr>
          <w:rFonts w:asciiTheme="minorHAnsi" w:hAnsiTheme="minorHAnsi" w:cstheme="minorHAnsi"/>
          <w:bCs/>
        </w:rPr>
      </w:pPr>
    </w:p>
    <w:p w14:paraId="00ED33DF" w14:textId="0C8410CA" w:rsidR="00CD6F7A" w:rsidRDefault="00CD6F7A" w:rsidP="00D02587">
      <w:pPr>
        <w:tabs>
          <w:tab w:val="left" w:pos="4820"/>
        </w:tabs>
        <w:spacing w:line="312" w:lineRule="auto"/>
        <w:contextualSpacing/>
        <w:jc w:val="both"/>
        <w:rPr>
          <w:rFonts w:asciiTheme="minorHAnsi" w:hAnsiTheme="minorHAnsi" w:cstheme="minorHAnsi"/>
          <w:bCs/>
        </w:rPr>
      </w:pPr>
      <w:r w:rsidRPr="00CD6F7A">
        <w:rPr>
          <w:rFonts w:asciiTheme="minorHAnsi" w:hAnsiTheme="minorHAnsi" w:cstheme="minorHAnsi"/>
          <w:bCs/>
        </w:rPr>
        <w:t xml:space="preserve">The CBDT recently framed rules on determining taxability of </w:t>
      </w:r>
      <w:r w:rsidR="00344D09" w:rsidRPr="00DC0FDF">
        <w:rPr>
          <w:rFonts w:asciiTheme="minorHAnsi" w:hAnsiTheme="minorHAnsi" w:cstheme="minorHAnsi"/>
          <w:bCs/>
        </w:rPr>
        <w:t>U</w:t>
      </w:r>
      <w:r w:rsidR="00344D09" w:rsidRPr="00CD6F7A">
        <w:rPr>
          <w:rFonts w:asciiTheme="minorHAnsi" w:hAnsiTheme="minorHAnsi" w:cstheme="minorHAnsi"/>
          <w:bCs/>
        </w:rPr>
        <w:t>LIP</w:t>
      </w:r>
      <w:r w:rsidR="00344D09">
        <w:rPr>
          <w:rFonts w:asciiTheme="minorHAnsi" w:hAnsiTheme="minorHAnsi" w:cstheme="minorHAnsi"/>
          <w:bCs/>
        </w:rPr>
        <w:t xml:space="preserve">s </w:t>
      </w:r>
      <w:r w:rsidRPr="00CD6F7A">
        <w:rPr>
          <w:rFonts w:asciiTheme="minorHAnsi" w:hAnsiTheme="minorHAnsi" w:cstheme="minorHAnsi"/>
          <w:bCs/>
        </w:rPr>
        <w:t xml:space="preserve">proceeds in various scenarios. There were still </w:t>
      </w:r>
      <w:r w:rsidRPr="00CD6F7A">
        <w:rPr>
          <w:rFonts w:asciiTheme="minorHAnsi" w:hAnsiTheme="minorHAnsi" w:cstheme="minorHAnsi"/>
          <w:bCs/>
        </w:rPr>
        <w:t xml:space="preserve">challenges pertaining to the methodology to be followed for the purpose of taxing such ULIP proceeds. In the circular, the </w:t>
      </w:r>
      <w:r w:rsidR="00344D09">
        <w:rPr>
          <w:rFonts w:asciiTheme="minorHAnsi" w:hAnsiTheme="minorHAnsi" w:cstheme="minorHAnsi"/>
          <w:bCs/>
        </w:rPr>
        <w:t xml:space="preserve">CBDT </w:t>
      </w:r>
      <w:r w:rsidRPr="00CD6F7A">
        <w:rPr>
          <w:rFonts w:asciiTheme="minorHAnsi" w:hAnsiTheme="minorHAnsi" w:cstheme="minorHAnsi"/>
          <w:bCs/>
        </w:rPr>
        <w:t>has provided several illustrations to clarify the taxability of ULIP</w:t>
      </w:r>
      <w:r w:rsidR="00344D09">
        <w:rPr>
          <w:rFonts w:asciiTheme="minorHAnsi" w:hAnsiTheme="minorHAnsi" w:cstheme="minorHAnsi"/>
          <w:bCs/>
        </w:rPr>
        <w:t>s</w:t>
      </w:r>
      <w:r>
        <w:rPr>
          <w:rFonts w:asciiTheme="minorHAnsi" w:hAnsiTheme="minorHAnsi" w:cstheme="minorHAnsi"/>
          <w:bCs/>
        </w:rPr>
        <w:t>.</w:t>
      </w:r>
    </w:p>
    <w:p w14:paraId="0EACA342" w14:textId="77777777" w:rsidR="00CD6F7A" w:rsidRDefault="00CD6F7A" w:rsidP="00D02587">
      <w:pPr>
        <w:tabs>
          <w:tab w:val="left" w:pos="4820"/>
        </w:tabs>
        <w:spacing w:line="312" w:lineRule="auto"/>
        <w:contextualSpacing/>
        <w:jc w:val="both"/>
        <w:rPr>
          <w:rFonts w:asciiTheme="minorHAnsi" w:hAnsiTheme="minorHAnsi" w:cstheme="minorHAnsi"/>
          <w:bCs/>
        </w:rPr>
      </w:pPr>
    </w:p>
    <w:p w14:paraId="3DA48BC7" w14:textId="7176F545" w:rsidR="00CD6F7A" w:rsidRDefault="00CD6F7A" w:rsidP="00D02587">
      <w:pPr>
        <w:tabs>
          <w:tab w:val="left" w:pos="4820"/>
        </w:tabs>
        <w:spacing w:line="312" w:lineRule="auto"/>
        <w:contextualSpacing/>
        <w:jc w:val="both"/>
        <w:rPr>
          <w:rFonts w:asciiTheme="minorHAnsi" w:hAnsiTheme="minorHAnsi" w:cstheme="minorHAnsi"/>
          <w:bCs/>
        </w:rPr>
      </w:pPr>
      <w:r w:rsidRPr="00CD6F7A">
        <w:rPr>
          <w:rFonts w:asciiTheme="minorHAnsi" w:hAnsiTheme="minorHAnsi" w:cstheme="minorHAnsi"/>
          <w:bCs/>
        </w:rPr>
        <w:t>Maturity proceeds received under such high-value ULIPS purchased after February 1, 2021, will not be tax-free under section 10(10D), as was the case earlier. If there are multiple ULIP</w:t>
      </w:r>
      <w:r w:rsidR="00344D09">
        <w:rPr>
          <w:rFonts w:asciiTheme="minorHAnsi" w:hAnsiTheme="minorHAnsi" w:cstheme="minorHAnsi"/>
          <w:bCs/>
        </w:rPr>
        <w:t>s</w:t>
      </w:r>
      <w:r w:rsidRPr="00CD6F7A">
        <w:rPr>
          <w:rFonts w:asciiTheme="minorHAnsi" w:hAnsiTheme="minorHAnsi" w:cstheme="minorHAnsi"/>
          <w:bCs/>
        </w:rPr>
        <w:t xml:space="preserve">, the aggregate premium paid will be </w:t>
      </w:r>
      <w:proofErr w:type="gramStart"/>
      <w:r w:rsidRPr="00CD6F7A">
        <w:rPr>
          <w:rFonts w:asciiTheme="minorHAnsi" w:hAnsiTheme="minorHAnsi" w:cstheme="minorHAnsi"/>
          <w:bCs/>
        </w:rPr>
        <w:t>taken into account</w:t>
      </w:r>
      <w:proofErr w:type="gramEnd"/>
      <w:r w:rsidRPr="00CD6F7A">
        <w:rPr>
          <w:rFonts w:asciiTheme="minorHAnsi" w:hAnsiTheme="minorHAnsi" w:cstheme="minorHAnsi"/>
          <w:bCs/>
        </w:rPr>
        <w:t>.</w:t>
      </w:r>
    </w:p>
    <w:p w14:paraId="296AC071" w14:textId="77777777" w:rsidR="00CD6F7A" w:rsidRDefault="00CD6F7A" w:rsidP="00D02587">
      <w:pPr>
        <w:tabs>
          <w:tab w:val="left" w:pos="4820"/>
        </w:tabs>
        <w:spacing w:line="312" w:lineRule="auto"/>
        <w:contextualSpacing/>
        <w:jc w:val="both"/>
        <w:rPr>
          <w:rFonts w:asciiTheme="minorHAnsi" w:hAnsiTheme="minorHAnsi" w:cstheme="minorHAnsi"/>
          <w:bCs/>
        </w:rPr>
      </w:pPr>
    </w:p>
    <w:p w14:paraId="34E587E9" w14:textId="77777777" w:rsidR="00344D09" w:rsidRDefault="00CD6F7A" w:rsidP="00D02587">
      <w:pPr>
        <w:tabs>
          <w:tab w:val="left" w:pos="4820"/>
        </w:tabs>
        <w:spacing w:line="312" w:lineRule="auto"/>
        <w:contextualSpacing/>
        <w:jc w:val="both"/>
        <w:rPr>
          <w:rFonts w:asciiTheme="minorHAnsi" w:hAnsiTheme="minorHAnsi" w:cstheme="minorHAnsi"/>
          <w:bCs/>
        </w:rPr>
      </w:pPr>
      <w:r w:rsidRPr="00CD6F7A">
        <w:rPr>
          <w:rFonts w:asciiTheme="minorHAnsi" w:hAnsiTheme="minorHAnsi" w:cstheme="minorHAnsi"/>
          <w:bCs/>
        </w:rPr>
        <w:t xml:space="preserve">Under the Income Tax Act, 1961, section 10(10D) allows this tax break on maturity proceeds provided the death benefit is at least 10 times the annual premium. The renewal premiums paid on </w:t>
      </w:r>
      <w:r w:rsidR="00344D09">
        <w:rPr>
          <w:rFonts w:asciiTheme="minorHAnsi" w:hAnsiTheme="minorHAnsi" w:cstheme="minorHAnsi"/>
          <w:bCs/>
        </w:rPr>
        <w:t>ULIPs</w:t>
      </w:r>
      <w:r w:rsidRPr="00CD6F7A">
        <w:rPr>
          <w:rFonts w:asciiTheme="minorHAnsi" w:hAnsiTheme="minorHAnsi" w:cstheme="minorHAnsi"/>
          <w:bCs/>
        </w:rPr>
        <w:t xml:space="preserve"> bought before February 1, 2021, will continue to be tax-exempt. </w:t>
      </w:r>
    </w:p>
    <w:p w14:paraId="246CF991" w14:textId="77777777" w:rsidR="00344D09" w:rsidRDefault="00344D09" w:rsidP="00D02587">
      <w:pPr>
        <w:tabs>
          <w:tab w:val="left" w:pos="4820"/>
        </w:tabs>
        <w:spacing w:line="312" w:lineRule="auto"/>
        <w:contextualSpacing/>
        <w:jc w:val="both"/>
        <w:rPr>
          <w:rFonts w:asciiTheme="minorHAnsi" w:hAnsiTheme="minorHAnsi" w:cstheme="minorHAnsi"/>
          <w:bCs/>
        </w:rPr>
      </w:pPr>
    </w:p>
    <w:p w14:paraId="78B21939" w14:textId="522541D7" w:rsidR="00CD6F7A" w:rsidRDefault="00CD6F7A" w:rsidP="00D02587">
      <w:pPr>
        <w:tabs>
          <w:tab w:val="left" w:pos="4820"/>
        </w:tabs>
        <w:spacing w:line="312" w:lineRule="auto"/>
        <w:contextualSpacing/>
        <w:jc w:val="both"/>
        <w:rPr>
          <w:rFonts w:asciiTheme="minorHAnsi" w:hAnsiTheme="minorHAnsi" w:cstheme="minorHAnsi"/>
          <w:bCs/>
        </w:rPr>
      </w:pPr>
      <w:r w:rsidRPr="00CD6F7A">
        <w:rPr>
          <w:rFonts w:asciiTheme="minorHAnsi" w:hAnsiTheme="minorHAnsi" w:cstheme="minorHAnsi"/>
          <w:bCs/>
        </w:rPr>
        <w:t xml:space="preserve">Similarly, dependents will not have to pay any tax on any claim amount received after policyholder’s death. The </w:t>
      </w:r>
      <w:r w:rsidR="00344D09">
        <w:rPr>
          <w:rFonts w:asciiTheme="minorHAnsi" w:hAnsiTheme="minorHAnsi" w:cstheme="minorHAnsi"/>
          <w:bCs/>
        </w:rPr>
        <w:t>circular also clarified that</w:t>
      </w:r>
      <w:r w:rsidRPr="00CD6F7A">
        <w:rPr>
          <w:rFonts w:asciiTheme="minorHAnsi" w:hAnsiTheme="minorHAnsi" w:cstheme="minorHAnsi"/>
          <w:bCs/>
        </w:rPr>
        <w:t xml:space="preserve">, in the case of multiple </w:t>
      </w:r>
      <w:r w:rsidR="00344D09" w:rsidRPr="00CD6F7A">
        <w:rPr>
          <w:rFonts w:asciiTheme="minorHAnsi" w:hAnsiTheme="minorHAnsi" w:cstheme="minorHAnsi"/>
          <w:bCs/>
        </w:rPr>
        <w:t>ULIP</w:t>
      </w:r>
      <w:r w:rsidR="00344D09">
        <w:rPr>
          <w:rFonts w:asciiTheme="minorHAnsi" w:hAnsiTheme="minorHAnsi" w:cstheme="minorHAnsi"/>
          <w:bCs/>
        </w:rPr>
        <w:t>s</w:t>
      </w:r>
      <w:r w:rsidRPr="00CD6F7A">
        <w:rPr>
          <w:rFonts w:asciiTheme="minorHAnsi" w:hAnsiTheme="minorHAnsi" w:cstheme="minorHAnsi"/>
          <w:bCs/>
        </w:rPr>
        <w:t>, the aggregate premiums paid during the year will be factored in, so you cannot bypass the limit by buying several policies with annual premium of under Rs 2.5 lakh. But, if you have multiple policies, the option most beneficial to you will be considered while computing this limit</w:t>
      </w:r>
      <w:r w:rsidR="00344D09">
        <w:rPr>
          <w:rFonts w:asciiTheme="minorHAnsi" w:hAnsiTheme="minorHAnsi" w:cstheme="minorHAnsi"/>
          <w:bCs/>
        </w:rPr>
        <w:t>.</w:t>
      </w:r>
    </w:p>
    <w:p w14:paraId="4167CF12" w14:textId="77777777" w:rsidR="00344D09" w:rsidRDefault="00344D09" w:rsidP="00D02587">
      <w:pPr>
        <w:tabs>
          <w:tab w:val="left" w:pos="4820"/>
        </w:tabs>
        <w:spacing w:line="312" w:lineRule="auto"/>
        <w:contextualSpacing/>
        <w:jc w:val="both"/>
        <w:rPr>
          <w:rFonts w:asciiTheme="minorHAnsi" w:hAnsiTheme="minorHAnsi" w:cstheme="minorHAnsi"/>
          <w:bCs/>
        </w:rPr>
      </w:pPr>
    </w:p>
    <w:p w14:paraId="45CE819C" w14:textId="64305892" w:rsidR="00984223" w:rsidRPr="00984223" w:rsidRDefault="002473DB" w:rsidP="00984223">
      <w:pPr>
        <w:tabs>
          <w:tab w:val="left" w:pos="4820"/>
        </w:tabs>
        <w:spacing w:line="312" w:lineRule="auto"/>
        <w:contextualSpacing/>
        <w:jc w:val="both"/>
        <w:rPr>
          <w:rFonts w:asciiTheme="minorHAnsi" w:hAnsiTheme="minorHAnsi" w:cstheme="minorHAnsi"/>
        </w:rPr>
      </w:pPr>
      <w:r w:rsidRPr="002467CE">
        <w:rPr>
          <w:rFonts w:asciiTheme="minorHAnsi" w:hAnsiTheme="minorHAnsi" w:cstheme="minorHAnsi"/>
          <w:b/>
        </w:rPr>
        <w:t>Just to reiterate that we remain available over telecom or e-mail.</w:t>
      </w:r>
    </w:p>
    <w:p w14:paraId="58764163" w14:textId="4D4E097B" w:rsidR="00B01267" w:rsidRPr="00984223" w:rsidRDefault="001D547F" w:rsidP="00B01267">
      <w:pPr>
        <w:pStyle w:val="NormalWeb"/>
        <w:spacing w:line="276" w:lineRule="auto"/>
        <w:jc w:val="both"/>
        <w:rPr>
          <w:rFonts w:asciiTheme="minorHAnsi" w:hAnsiTheme="minorHAnsi" w:cstheme="minorHAnsi"/>
          <w:b/>
        </w:rPr>
      </w:pPr>
      <w:r w:rsidRPr="00B01267">
        <w:rPr>
          <w:rFonts w:asciiTheme="minorHAnsi" w:hAnsiTheme="minorHAnsi" w:cstheme="minorHAnsi"/>
          <w:b/>
          <w:sz w:val="22"/>
          <w:szCs w:val="22"/>
        </w:rPr>
        <w:t>Truly Yours</w:t>
      </w:r>
    </w:p>
    <w:p w14:paraId="2560AB5C" w14:textId="5440E3F6" w:rsidR="001D547F" w:rsidRPr="00B01267" w:rsidRDefault="001D547F" w:rsidP="002467CE">
      <w:pPr>
        <w:pStyle w:val="NormalWeb"/>
        <w:spacing w:after="0" w:afterAutospacing="0" w:line="276" w:lineRule="auto"/>
        <w:jc w:val="both"/>
        <w:rPr>
          <w:rFonts w:asciiTheme="minorHAnsi" w:hAnsiTheme="minorHAnsi" w:cstheme="minorHAnsi"/>
          <w:color w:val="212529"/>
          <w:sz w:val="22"/>
          <w:szCs w:val="22"/>
          <w:shd w:val="clear" w:color="auto" w:fill="FFFFFF"/>
          <w:lang w:val="en-US" w:eastAsia="en-US"/>
        </w:rPr>
      </w:pPr>
      <w:r w:rsidRPr="00907660">
        <w:rPr>
          <w:rFonts w:asciiTheme="minorHAnsi" w:hAnsiTheme="minorHAnsi" w:cstheme="minorHAnsi"/>
          <w:b/>
        </w:rPr>
        <w:t>Editor:</w:t>
      </w:r>
    </w:p>
    <w:p w14:paraId="089AA75E" w14:textId="77777777" w:rsidR="001D547F" w:rsidRPr="00907660" w:rsidRDefault="001D547F" w:rsidP="002467CE">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Vivek Jalan</w:t>
      </w:r>
    </w:p>
    <w:p w14:paraId="6843DB95" w14:textId="77777777" w:rsid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Cs/>
        </w:rPr>
        <w:t>Partner - Tax Connect Advisory Services LLP</w:t>
      </w:r>
    </w:p>
    <w:p w14:paraId="7D526D27" w14:textId="6BD1BCC6" w:rsidR="00D02587" w:rsidRP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
        </w:rPr>
        <w:t>Co-Editors:</w:t>
      </w:r>
    </w:p>
    <w:p w14:paraId="72D2DEFA" w14:textId="77777777" w:rsidR="00984223" w:rsidRDefault="001D547F" w:rsidP="00984223">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Rohit Sharma</w:t>
      </w:r>
    </w:p>
    <w:p w14:paraId="5127D700" w14:textId="5884E5D3" w:rsidR="001D547F" w:rsidRDefault="00AA4158" w:rsidP="00984223">
      <w:pPr>
        <w:tabs>
          <w:tab w:val="left" w:pos="4820"/>
        </w:tabs>
        <w:spacing w:after="0"/>
        <w:contextualSpacing/>
        <w:jc w:val="both"/>
        <w:rPr>
          <w:rFonts w:asciiTheme="minorHAnsi" w:hAnsiTheme="minorHAnsi" w:cstheme="minorHAnsi"/>
          <w:bCs/>
        </w:rPr>
      </w:pPr>
      <w:r w:rsidRPr="00984223">
        <w:rPr>
          <w:rFonts w:asciiTheme="minorHAnsi" w:hAnsiTheme="minorHAnsi" w:cstheme="minorHAnsi"/>
          <w:bCs/>
        </w:rPr>
        <w:t>Senior Manager</w:t>
      </w:r>
      <w:r w:rsidR="001D547F" w:rsidRPr="00984223">
        <w:rPr>
          <w:rFonts w:asciiTheme="minorHAnsi" w:hAnsiTheme="minorHAnsi" w:cstheme="minorHAnsi"/>
          <w:bCs/>
        </w:rPr>
        <w:t xml:space="preserve"> – Tax Connect Advisory Services LLP</w:t>
      </w:r>
    </w:p>
    <w:p w14:paraId="7D71A54B" w14:textId="77777777" w:rsidR="00AA5DF4" w:rsidRPr="00984223" w:rsidRDefault="00AA5DF4" w:rsidP="00984223">
      <w:pPr>
        <w:tabs>
          <w:tab w:val="left" w:pos="4820"/>
        </w:tabs>
        <w:spacing w:after="0"/>
        <w:contextualSpacing/>
        <w:jc w:val="both"/>
        <w:rPr>
          <w:rFonts w:asciiTheme="minorHAnsi" w:hAnsiTheme="minorHAnsi" w:cstheme="minorHAnsi"/>
          <w:bCs/>
        </w:rPr>
      </w:pPr>
    </w:p>
    <w:p w14:paraId="00700D7F" w14:textId="192E7E26" w:rsidR="001D547F" w:rsidRPr="00907660" w:rsidRDefault="001D547F" w:rsidP="00D02587">
      <w:pPr>
        <w:tabs>
          <w:tab w:val="left" w:pos="4820"/>
        </w:tabs>
        <w:spacing w:after="0"/>
        <w:rPr>
          <w:rFonts w:asciiTheme="minorHAnsi" w:hAnsiTheme="minorHAnsi" w:cstheme="minorHAnsi"/>
          <w:b/>
        </w:rPr>
      </w:pPr>
      <w:r w:rsidRPr="00907660">
        <w:rPr>
          <w:rFonts w:asciiTheme="minorHAnsi" w:hAnsiTheme="minorHAnsi" w:cstheme="minorHAnsi"/>
          <w:b/>
        </w:rPr>
        <w:t>Rajani</w:t>
      </w:r>
      <w:r w:rsidR="00DE6EC6">
        <w:rPr>
          <w:rFonts w:asciiTheme="minorHAnsi" w:hAnsiTheme="minorHAnsi" w:cstheme="minorHAnsi"/>
          <w:b/>
        </w:rPr>
        <w:t xml:space="preserve"> </w:t>
      </w:r>
      <w:r w:rsidR="0004428B">
        <w:rPr>
          <w:rFonts w:asciiTheme="minorHAnsi" w:hAnsiTheme="minorHAnsi" w:cstheme="minorHAnsi"/>
          <w:b/>
        </w:rPr>
        <w:t>K</w:t>
      </w:r>
      <w:r w:rsidRPr="00907660">
        <w:rPr>
          <w:rFonts w:asciiTheme="minorHAnsi" w:hAnsiTheme="minorHAnsi" w:cstheme="minorHAnsi"/>
          <w:b/>
        </w:rPr>
        <w:t>ant Choudh</w:t>
      </w:r>
      <w:r w:rsidR="00C114BC">
        <w:rPr>
          <w:rFonts w:asciiTheme="minorHAnsi" w:hAnsiTheme="minorHAnsi" w:cstheme="minorHAnsi"/>
          <w:b/>
        </w:rPr>
        <w:t>a</w:t>
      </w:r>
      <w:r w:rsidRPr="00907660">
        <w:rPr>
          <w:rFonts w:asciiTheme="minorHAnsi" w:hAnsiTheme="minorHAnsi" w:cstheme="minorHAnsi"/>
          <w:b/>
        </w:rPr>
        <w:t>ry</w:t>
      </w:r>
    </w:p>
    <w:p w14:paraId="07AF3601" w14:textId="77777777" w:rsidR="004049C9" w:rsidRDefault="004D6149" w:rsidP="00D02587">
      <w:pPr>
        <w:tabs>
          <w:tab w:val="left" w:pos="4820"/>
        </w:tabs>
        <w:contextualSpacing/>
        <w:rPr>
          <w:rFonts w:asciiTheme="minorHAnsi" w:hAnsiTheme="minorHAnsi" w:cstheme="minorHAnsi"/>
          <w:bCs/>
        </w:rPr>
      </w:pPr>
      <w:r>
        <w:rPr>
          <w:rFonts w:asciiTheme="minorHAnsi" w:hAnsiTheme="minorHAnsi" w:cstheme="minorHAnsi"/>
          <w:bCs/>
        </w:rPr>
        <w:t xml:space="preserve">Senior </w:t>
      </w:r>
      <w:r w:rsidR="00AA4158">
        <w:rPr>
          <w:rFonts w:asciiTheme="minorHAnsi" w:hAnsiTheme="minorHAnsi" w:cstheme="minorHAnsi"/>
          <w:bCs/>
        </w:rPr>
        <w:t>Manager:</w:t>
      </w:r>
      <w:r w:rsidR="001D547F" w:rsidRPr="00907660">
        <w:rPr>
          <w:rFonts w:asciiTheme="minorHAnsi" w:hAnsiTheme="minorHAnsi" w:cstheme="minorHAnsi"/>
          <w:bCs/>
        </w:rPr>
        <w:t xml:space="preserve"> 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A06DAF">
        <w:trPr>
          <w:trHeight w:val="280"/>
        </w:trPr>
        <w:tc>
          <w:tcPr>
            <w:tcW w:w="1591"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A06DAF">
        <w:trPr>
          <w:trHeight w:val="411"/>
        </w:trPr>
        <w:tc>
          <w:tcPr>
            <w:tcW w:w="1591"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A06DAF">
        <w:trPr>
          <w:trHeight w:val="270"/>
        </w:trPr>
        <w:tc>
          <w:tcPr>
            <w:tcW w:w="1591"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0841D9" w:rsidRPr="00B117D4" w14:paraId="2E663F68" w14:textId="77777777" w:rsidTr="00A06DAF">
        <w:trPr>
          <w:trHeight w:hRule="exact" w:val="1008"/>
        </w:trPr>
        <w:tc>
          <w:tcPr>
            <w:tcW w:w="1591" w:type="dxa"/>
            <w:shd w:val="clear" w:color="auto" w:fill="EAF1DD"/>
            <w:vAlign w:val="center"/>
          </w:tcPr>
          <w:p w14:paraId="3D1A791B" w14:textId="188FC735" w:rsidR="000841D9" w:rsidRPr="00AF2DC7" w:rsidRDefault="002314FC"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3D6DAF19" w14:textId="44B2C5EC" w:rsidR="000841D9" w:rsidRPr="00840656" w:rsidRDefault="00460E77" w:rsidP="00344D09">
            <w:pPr>
              <w:tabs>
                <w:tab w:val="left" w:pos="4820"/>
              </w:tabs>
              <w:spacing w:after="0" w:line="240" w:lineRule="auto"/>
              <w:jc w:val="both"/>
              <w:rPr>
                <w:rFonts w:asciiTheme="minorHAnsi" w:hAnsiTheme="minorHAnsi" w:cstheme="minorHAnsi"/>
                <w:b/>
                <w:bCs/>
                <w:caps/>
                <w:lang w:val="en-IN"/>
              </w:rPr>
            </w:pPr>
            <w:r w:rsidRPr="00460E77">
              <w:rPr>
                <w:rFonts w:asciiTheme="minorHAnsi" w:hAnsiTheme="minorHAnsi" w:cstheme="minorHAnsi"/>
                <w:b/>
                <w:bCs/>
                <w:caps/>
              </w:rPr>
              <w:t>AMENDMENT IN NOTIFICATION ISSUED FOR CENTRAL GOVERNMENT SPECIFIED THE SOVEREIGN WEALTH FUND NAMELY, THE MIC REDWOOD 1 RSC LIMITED, ABU DHABI, UNITED ARAB EMIRATES</w:t>
            </w:r>
          </w:p>
        </w:tc>
        <w:tc>
          <w:tcPr>
            <w:tcW w:w="1246" w:type="dxa"/>
            <w:shd w:val="clear" w:color="auto" w:fill="EAF1DD" w:themeFill="accent3" w:themeFillTint="33"/>
            <w:vAlign w:val="center"/>
          </w:tcPr>
          <w:p w14:paraId="33E3349D" w14:textId="77777777" w:rsidR="000841D9" w:rsidRPr="00AF2DC7" w:rsidRDefault="000841D9" w:rsidP="00344D09">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A06DAF">
        <w:trPr>
          <w:trHeight w:val="194"/>
        </w:trPr>
        <w:tc>
          <w:tcPr>
            <w:tcW w:w="1591" w:type="dxa"/>
            <w:shd w:val="clear" w:color="auto" w:fill="B3D5AB"/>
            <w:noWrap/>
            <w:vAlign w:val="center"/>
            <w:hideMark/>
          </w:tcPr>
          <w:p w14:paraId="239B407D"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614BB441"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0841D9" w:rsidRPr="00B117D4" w14:paraId="0C79EE48" w14:textId="77777777" w:rsidTr="00A06DAF">
        <w:trPr>
          <w:trHeight w:hRule="exact" w:val="566"/>
        </w:trPr>
        <w:tc>
          <w:tcPr>
            <w:tcW w:w="1591" w:type="dxa"/>
            <w:shd w:val="clear" w:color="auto" w:fill="EAF1DD"/>
            <w:vAlign w:val="center"/>
          </w:tcPr>
          <w:p w14:paraId="77B5245B" w14:textId="40550ACC" w:rsidR="000841D9" w:rsidRPr="00AF2DC7" w:rsidRDefault="00316B69"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ADVISORY</w:t>
            </w:r>
          </w:p>
        </w:tc>
        <w:tc>
          <w:tcPr>
            <w:tcW w:w="7648" w:type="dxa"/>
            <w:shd w:val="clear" w:color="auto" w:fill="EAF1DD"/>
            <w:vAlign w:val="center"/>
          </w:tcPr>
          <w:p w14:paraId="7B40B695" w14:textId="0B92D616" w:rsidR="00316B69" w:rsidRPr="00316B69" w:rsidRDefault="00363CF5" w:rsidP="00344D09">
            <w:pPr>
              <w:tabs>
                <w:tab w:val="left" w:pos="4820"/>
              </w:tabs>
              <w:spacing w:after="0" w:line="240" w:lineRule="auto"/>
              <w:jc w:val="both"/>
              <w:rPr>
                <w:rFonts w:asciiTheme="minorHAnsi" w:hAnsiTheme="minorHAnsi" w:cstheme="minorHAnsi"/>
                <w:b/>
                <w:bCs/>
              </w:rPr>
            </w:pPr>
            <w:r w:rsidRPr="00363CF5">
              <w:rPr>
                <w:rFonts w:asciiTheme="minorHAnsi" w:hAnsiTheme="minorHAnsi" w:cstheme="minorHAnsi"/>
                <w:b/>
                <w:bCs/>
              </w:rPr>
              <w:t>ADVISORY ON INTEREST CALCULATOR IN GSTR-3B</w:t>
            </w:r>
          </w:p>
        </w:tc>
        <w:tc>
          <w:tcPr>
            <w:tcW w:w="1246" w:type="dxa"/>
            <w:shd w:val="clear" w:color="auto" w:fill="EAF1DD" w:themeFill="accent3" w:themeFillTint="33"/>
            <w:vAlign w:val="center"/>
          </w:tcPr>
          <w:p w14:paraId="7CA97852"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A06DAF">
        <w:trPr>
          <w:trHeight w:hRule="exact" w:val="266"/>
        </w:trPr>
        <w:tc>
          <w:tcPr>
            <w:tcW w:w="1591" w:type="dxa"/>
            <w:shd w:val="clear" w:color="auto" w:fill="B3D5AB"/>
            <w:vAlign w:val="center"/>
            <w:hideMark/>
          </w:tcPr>
          <w:p w14:paraId="3CB709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0841D9" w:rsidRPr="00AF2DC7" w:rsidRDefault="00E53E5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35E2F50C" w:rsidR="000841D9"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0841D9" w:rsidRPr="00B117D4" w14:paraId="5746D8AC" w14:textId="77777777" w:rsidTr="00A06DAF">
        <w:trPr>
          <w:trHeight w:hRule="exact" w:val="584"/>
        </w:trPr>
        <w:tc>
          <w:tcPr>
            <w:tcW w:w="1591" w:type="dxa"/>
            <w:shd w:val="clear" w:color="auto" w:fill="EAF1DD"/>
            <w:vAlign w:val="center"/>
          </w:tcPr>
          <w:p w14:paraId="6CF0692D" w14:textId="2D8CD625" w:rsidR="000841D9" w:rsidRPr="00AF2DC7" w:rsidRDefault="008A2360"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648" w:type="dxa"/>
            <w:shd w:val="clear" w:color="auto" w:fill="EAF1DD"/>
            <w:vAlign w:val="center"/>
          </w:tcPr>
          <w:p w14:paraId="13360026" w14:textId="665051B6" w:rsidR="00D7723D" w:rsidRPr="00D7723D" w:rsidRDefault="00D7723D" w:rsidP="00344D09">
            <w:pPr>
              <w:tabs>
                <w:tab w:val="left" w:pos="4820"/>
              </w:tabs>
              <w:spacing w:after="0" w:line="240" w:lineRule="auto"/>
              <w:rPr>
                <w:b/>
                <w:bCs/>
                <w:lang w:val="en-IN"/>
              </w:rPr>
            </w:pPr>
            <w:r w:rsidRPr="00D7723D">
              <w:rPr>
                <w:b/>
                <w:bCs/>
                <w:lang w:val="en-IN"/>
              </w:rPr>
              <w:t>UNDERSTANDING FOREX TRANSACTIONS WITH ASSOCIATED RISKS</w:t>
            </w:r>
          </w:p>
          <w:p w14:paraId="5DFFD649" w14:textId="37ECD1B6" w:rsidR="000841D9" w:rsidRPr="00FE1777" w:rsidRDefault="000841D9" w:rsidP="00344D09">
            <w:pPr>
              <w:tabs>
                <w:tab w:val="left" w:pos="4820"/>
              </w:tabs>
              <w:spacing w:after="0" w:line="240" w:lineRule="auto"/>
              <w:rPr>
                <w:rFonts w:asciiTheme="minorHAnsi" w:hAnsiTheme="minorHAnsi" w:cstheme="minorHAnsi"/>
                <w:b/>
                <w:bCs/>
                <w:caps/>
                <w:lang w:val="en-IN"/>
              </w:rPr>
            </w:pPr>
          </w:p>
        </w:tc>
        <w:tc>
          <w:tcPr>
            <w:tcW w:w="1246" w:type="dxa"/>
            <w:shd w:val="clear" w:color="auto" w:fill="EAF1DD"/>
            <w:vAlign w:val="center"/>
          </w:tcPr>
          <w:p w14:paraId="3ACCA0F0"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4E677B7D" w14:textId="77777777" w:rsidTr="00A06DAF">
        <w:trPr>
          <w:trHeight w:hRule="exact" w:val="289"/>
        </w:trPr>
        <w:tc>
          <w:tcPr>
            <w:tcW w:w="1591" w:type="dxa"/>
            <w:shd w:val="clear" w:color="auto" w:fill="B3D5AB"/>
            <w:vAlign w:val="center"/>
            <w:hideMark/>
          </w:tcPr>
          <w:p w14:paraId="53F3353F"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5EDFAFD0"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1528C5" w:rsidRPr="00B117D4" w14:paraId="63858588" w14:textId="77777777" w:rsidTr="00A06DAF">
        <w:trPr>
          <w:trHeight w:hRule="exact" w:val="710"/>
        </w:trPr>
        <w:tc>
          <w:tcPr>
            <w:tcW w:w="1591" w:type="dxa"/>
            <w:shd w:val="clear" w:color="auto" w:fill="EAF1DD"/>
            <w:vAlign w:val="center"/>
          </w:tcPr>
          <w:p w14:paraId="72F94BE4" w14:textId="43F4E4C7" w:rsidR="001528C5" w:rsidRPr="00AF2DC7" w:rsidRDefault="00316B69" w:rsidP="00344D09">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648" w:type="dxa"/>
            <w:shd w:val="clear" w:color="auto" w:fill="EAF1DD"/>
            <w:vAlign w:val="center"/>
          </w:tcPr>
          <w:p w14:paraId="66986BC2" w14:textId="77777777" w:rsidR="00316B69" w:rsidRPr="00316B69" w:rsidRDefault="00316B69" w:rsidP="00344D09">
            <w:pPr>
              <w:tabs>
                <w:tab w:val="left" w:pos="4820"/>
              </w:tabs>
              <w:spacing w:after="0" w:line="240" w:lineRule="auto"/>
              <w:jc w:val="both"/>
              <w:rPr>
                <w:rFonts w:asciiTheme="minorHAnsi" w:hAnsiTheme="minorHAnsi" w:cstheme="minorHAnsi"/>
                <w:b/>
                <w:bCs/>
                <w:caps/>
                <w:color w:val="000000" w:themeColor="text1"/>
                <w:lang w:val="en-IN"/>
              </w:rPr>
            </w:pPr>
            <w:r w:rsidRPr="00316B69">
              <w:rPr>
                <w:rFonts w:asciiTheme="minorHAnsi" w:hAnsiTheme="minorHAnsi" w:cstheme="minorHAnsi"/>
                <w:b/>
                <w:bCs/>
                <w:caps/>
                <w:color w:val="000000" w:themeColor="text1"/>
                <w:lang w:val="en-IN"/>
              </w:rPr>
              <w:t>Retention of ISO Containers to meet future requirements</w:t>
            </w:r>
          </w:p>
          <w:p w14:paraId="60E14FBB" w14:textId="15F3459C" w:rsidR="001528C5" w:rsidRPr="00AF2DC7" w:rsidRDefault="001528C5" w:rsidP="00344D09">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7CB16CCF" w14:textId="77777777" w:rsidTr="00A06DAF">
        <w:trPr>
          <w:trHeight w:hRule="exact" w:val="243"/>
        </w:trPr>
        <w:tc>
          <w:tcPr>
            <w:tcW w:w="1591" w:type="dxa"/>
            <w:shd w:val="clear" w:color="auto" w:fill="B3D5AB"/>
            <w:vAlign w:val="center"/>
          </w:tcPr>
          <w:p w14:paraId="14609697"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1528C5" w:rsidRPr="00AF2DC7" w:rsidRDefault="001528C5" w:rsidP="00344D09">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535213C5"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1528C5" w:rsidRPr="00B117D4" w14:paraId="4AA6BED4" w14:textId="77777777" w:rsidTr="00A06DAF">
        <w:trPr>
          <w:trHeight w:hRule="exact" w:val="604"/>
        </w:trPr>
        <w:tc>
          <w:tcPr>
            <w:tcW w:w="1591" w:type="dxa"/>
            <w:shd w:val="clear" w:color="auto" w:fill="EAF1DD"/>
            <w:vAlign w:val="center"/>
            <w:hideMark/>
          </w:tcPr>
          <w:p w14:paraId="3DA84034" w14:textId="07F1A7A6" w:rsidR="001528C5" w:rsidRPr="00AF2DC7" w:rsidRDefault="00000933"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w:t>
            </w:r>
            <w:r w:rsidR="00316B69">
              <w:rPr>
                <w:rFonts w:asciiTheme="minorHAnsi" w:hAnsiTheme="minorHAnsi" w:cstheme="minorHAnsi"/>
                <w:b/>
                <w:bCs/>
                <w:lang w:val="en-IN" w:eastAsia="en-IN"/>
              </w:rPr>
              <w:t>OLICY CIRCULAR</w:t>
            </w:r>
          </w:p>
        </w:tc>
        <w:tc>
          <w:tcPr>
            <w:tcW w:w="7648" w:type="dxa"/>
            <w:shd w:val="clear" w:color="auto" w:fill="EAF1DD"/>
            <w:vAlign w:val="center"/>
            <w:hideMark/>
          </w:tcPr>
          <w:p w14:paraId="61AE335D" w14:textId="3129CFB1" w:rsidR="001528C5" w:rsidRPr="00AF2DC7" w:rsidRDefault="00316B69" w:rsidP="00344D09">
            <w:pPr>
              <w:tabs>
                <w:tab w:val="left" w:pos="4820"/>
              </w:tabs>
              <w:spacing w:after="0" w:line="240" w:lineRule="auto"/>
              <w:rPr>
                <w:rFonts w:asciiTheme="minorHAnsi" w:hAnsiTheme="minorHAnsi" w:cstheme="minorHAnsi"/>
                <w:b/>
                <w:bCs/>
                <w:lang w:val="en-IN" w:eastAsia="en-IN"/>
              </w:rPr>
            </w:pPr>
            <w:r w:rsidRPr="00316B69">
              <w:rPr>
                <w:rFonts w:asciiTheme="minorHAnsi" w:hAnsiTheme="minorHAnsi" w:cstheme="minorHAnsi"/>
                <w:b/>
                <w:bCs/>
                <w:lang w:val="en-IN" w:eastAsia="en-IN"/>
              </w:rPr>
              <w:t>CLARIFICATION REGARDING SIMS</w:t>
            </w:r>
          </w:p>
        </w:tc>
        <w:tc>
          <w:tcPr>
            <w:tcW w:w="1246" w:type="dxa"/>
            <w:shd w:val="clear" w:color="auto" w:fill="EAF1DD"/>
            <w:vAlign w:val="center"/>
            <w:hideMark/>
          </w:tcPr>
          <w:p w14:paraId="72F56168"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3CE519D2" w14:textId="77777777" w:rsidTr="00A06DAF">
        <w:trPr>
          <w:trHeight w:hRule="exact" w:val="598"/>
        </w:trPr>
        <w:tc>
          <w:tcPr>
            <w:tcW w:w="1591" w:type="dxa"/>
            <w:shd w:val="clear" w:color="auto" w:fill="B3D5AB"/>
            <w:vAlign w:val="center"/>
          </w:tcPr>
          <w:p w14:paraId="58AC86C0" w14:textId="0EAF1326"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6D7E4024" w14:textId="77777777" w:rsidR="001528C5" w:rsidRPr="00AF2DC7" w:rsidRDefault="001528C5" w:rsidP="00344D09">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1528C5" w:rsidRPr="000F74CD" w:rsidRDefault="001528C5" w:rsidP="00344D09">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0ECD41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C2232F">
              <w:rPr>
                <w:rFonts w:asciiTheme="minorHAnsi" w:hAnsiTheme="minorHAnsi" w:cstheme="minorHAnsi"/>
                <w:b/>
                <w:lang w:val="en-IN" w:eastAsia="en-IN"/>
              </w:rPr>
              <w:t>0</w:t>
            </w:r>
          </w:p>
        </w:tc>
      </w:tr>
      <w:tr w:rsidR="001528C5" w:rsidRPr="00B117D4" w14:paraId="36608CFD" w14:textId="77777777" w:rsidTr="00A06DAF">
        <w:trPr>
          <w:trHeight w:hRule="exact" w:val="389"/>
        </w:trPr>
        <w:tc>
          <w:tcPr>
            <w:tcW w:w="1591" w:type="dxa"/>
            <w:shd w:val="clear" w:color="auto" w:fill="B3D5AB"/>
            <w:vAlign w:val="center"/>
          </w:tcPr>
          <w:p w14:paraId="79F3A227" w14:textId="5F45805B"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1528C5" w:rsidRPr="00AF2DC7" w:rsidRDefault="001528C5" w:rsidP="00344D09">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73551DFC"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C2232F">
              <w:rPr>
                <w:rFonts w:asciiTheme="minorHAnsi" w:hAnsiTheme="minorHAnsi" w:cstheme="minorHAnsi"/>
                <w:b/>
                <w:lang w:val="en-IN" w:eastAsia="en-IN"/>
              </w:rPr>
              <w:t>1</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31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4407A3" w:rsidRPr="00D27A53" w14:paraId="65E3E476" w14:textId="77777777" w:rsidTr="00D26635">
        <w:trPr>
          <w:trHeight w:val="689"/>
        </w:trPr>
        <w:tc>
          <w:tcPr>
            <w:tcW w:w="1628" w:type="dxa"/>
            <w:shd w:val="clear" w:color="auto" w:fill="4E8542"/>
            <w:noWrap/>
            <w:vAlign w:val="center"/>
            <w:hideMark/>
          </w:tcPr>
          <w:p w14:paraId="21B7345D" w14:textId="33D838A4"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sidR="00027262">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0C6085FE" w14:textId="77777777" w:rsidR="004407A3" w:rsidRPr="00045F66" w:rsidRDefault="004407A3" w:rsidP="002C3A5D">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6E010935" w14:textId="77777777"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38CB2F57" w14:textId="77777777"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5E1E68" w:rsidRPr="00D27A53" w14:paraId="0547EB1D" w14:textId="77777777" w:rsidTr="0094074B">
        <w:trPr>
          <w:trHeight w:val="791"/>
        </w:trPr>
        <w:tc>
          <w:tcPr>
            <w:tcW w:w="1628" w:type="dxa"/>
            <w:shd w:val="clear" w:color="auto" w:fill="4E8542"/>
            <w:noWrap/>
            <w:vAlign w:val="center"/>
          </w:tcPr>
          <w:p w14:paraId="70C62359" w14:textId="78F3C3FB" w:rsidR="005E1E68" w:rsidRDefault="005E1E68" w:rsidP="005E1E6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7C46F16F" w14:textId="3E6568EE" w:rsidR="005E1E68" w:rsidRPr="00DC40CE" w:rsidRDefault="005E1E68" w:rsidP="005E1E68">
            <w:pPr>
              <w:pStyle w:val="ListParagraph"/>
              <w:ind w:left="43"/>
              <w:jc w:val="center"/>
              <w:rPr>
                <w:rFonts w:asciiTheme="minorHAnsi" w:hAnsiTheme="minorHAnsi" w:cstheme="minorHAnsi"/>
                <w:b/>
                <w:bCs/>
              </w:rPr>
            </w:pPr>
            <w:r w:rsidRPr="002258E7">
              <w:rPr>
                <w:b/>
                <w:bCs/>
              </w:rPr>
              <w:t>TDS Certificate (Form 16B)</w:t>
            </w:r>
          </w:p>
        </w:tc>
        <w:tc>
          <w:tcPr>
            <w:tcW w:w="1559" w:type="dxa"/>
            <w:shd w:val="clear" w:color="auto" w:fill="D6E3BC" w:themeFill="accent3" w:themeFillTint="66"/>
          </w:tcPr>
          <w:p w14:paraId="48A922F0" w14:textId="77ED9892" w:rsidR="005E1E68" w:rsidRDefault="005E1E68" w:rsidP="005E1E68">
            <w:pPr>
              <w:tabs>
                <w:tab w:val="left" w:pos="4820"/>
              </w:tabs>
              <w:spacing w:after="0" w:line="240" w:lineRule="auto"/>
              <w:jc w:val="center"/>
              <w:rPr>
                <w:rFonts w:asciiTheme="minorHAnsi" w:hAnsiTheme="minorHAnsi" w:cstheme="minorHAnsi"/>
                <w:bCs/>
              </w:rPr>
            </w:pPr>
            <w:r w:rsidRPr="00613ACF">
              <w:rPr>
                <w:rFonts w:asciiTheme="minorHAnsi" w:hAnsiTheme="minorHAnsi" w:cstheme="minorHAnsi"/>
                <w:bCs/>
              </w:rPr>
              <w:t>December 2021</w:t>
            </w:r>
          </w:p>
        </w:tc>
        <w:tc>
          <w:tcPr>
            <w:tcW w:w="4796" w:type="dxa"/>
            <w:shd w:val="clear" w:color="auto" w:fill="D6E3BC" w:themeFill="accent3" w:themeFillTint="66"/>
            <w:noWrap/>
            <w:vAlign w:val="center"/>
          </w:tcPr>
          <w:p w14:paraId="1BAE3585" w14:textId="5553D2DA" w:rsidR="005E1E68" w:rsidRPr="00F91123" w:rsidRDefault="005E1E68" w:rsidP="005E1E68">
            <w:pPr>
              <w:pStyle w:val="ListParagraph"/>
              <w:ind w:left="43"/>
              <w:jc w:val="both"/>
              <w:rPr>
                <w:rFonts w:asciiTheme="minorHAnsi" w:hAnsiTheme="minorHAnsi" w:cstheme="minorHAnsi"/>
              </w:rPr>
            </w:pPr>
            <w:r w:rsidRPr="00F91123">
              <w:rPr>
                <w:rFonts w:asciiTheme="minorHAnsi" w:hAnsiTheme="minorHAnsi" w:cstheme="minorHAnsi"/>
              </w:rPr>
              <w:t xml:space="preserve">Due date for furnishing of challan-cum-statement in respect of tax deducted under section 194-IA in the month of </w:t>
            </w:r>
            <w:proofErr w:type="gramStart"/>
            <w:r w:rsidRPr="00F91123">
              <w:rPr>
                <w:rFonts w:asciiTheme="minorHAnsi" w:hAnsiTheme="minorHAnsi" w:cstheme="minorHAnsi"/>
              </w:rPr>
              <w:t>December,</w:t>
            </w:r>
            <w:proofErr w:type="gramEnd"/>
            <w:r w:rsidRPr="00F91123">
              <w:rPr>
                <w:rFonts w:asciiTheme="minorHAnsi" w:hAnsiTheme="minorHAnsi" w:cstheme="minorHAnsi"/>
              </w:rPr>
              <w:t xml:space="preserve"> 2021.</w:t>
            </w:r>
          </w:p>
        </w:tc>
      </w:tr>
      <w:tr w:rsidR="005E1E68" w:rsidRPr="00D27A53" w14:paraId="292E147A" w14:textId="77777777" w:rsidTr="0094074B">
        <w:trPr>
          <w:trHeight w:val="791"/>
        </w:trPr>
        <w:tc>
          <w:tcPr>
            <w:tcW w:w="1628" w:type="dxa"/>
            <w:shd w:val="clear" w:color="auto" w:fill="4E8542"/>
            <w:noWrap/>
            <w:vAlign w:val="center"/>
          </w:tcPr>
          <w:p w14:paraId="513693A4" w14:textId="3AB274FC" w:rsidR="005E1E68" w:rsidRDefault="005E1E68" w:rsidP="005E1E6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35CAE43A" w14:textId="1B5A1858" w:rsidR="005E1E68" w:rsidRPr="00DC40CE" w:rsidRDefault="005E1E68" w:rsidP="005E1E68">
            <w:pPr>
              <w:pStyle w:val="ListParagraph"/>
              <w:ind w:left="43"/>
              <w:jc w:val="center"/>
              <w:rPr>
                <w:rFonts w:asciiTheme="minorHAnsi" w:hAnsiTheme="minorHAnsi" w:cstheme="minorHAnsi"/>
                <w:b/>
                <w:bCs/>
              </w:rPr>
            </w:pPr>
            <w:r w:rsidRPr="002258E7">
              <w:rPr>
                <w:b/>
                <w:bCs/>
              </w:rPr>
              <w:t>TDS Certificate (Form 16C)</w:t>
            </w:r>
          </w:p>
        </w:tc>
        <w:tc>
          <w:tcPr>
            <w:tcW w:w="1559" w:type="dxa"/>
            <w:shd w:val="clear" w:color="auto" w:fill="D6E3BC" w:themeFill="accent3" w:themeFillTint="66"/>
          </w:tcPr>
          <w:p w14:paraId="43A26341" w14:textId="71031A5D" w:rsidR="005E1E68" w:rsidRDefault="005E1E68" w:rsidP="005E1E68">
            <w:pPr>
              <w:tabs>
                <w:tab w:val="left" w:pos="4820"/>
              </w:tabs>
              <w:spacing w:after="0" w:line="240" w:lineRule="auto"/>
              <w:jc w:val="center"/>
              <w:rPr>
                <w:rFonts w:asciiTheme="minorHAnsi" w:hAnsiTheme="minorHAnsi" w:cstheme="minorHAnsi"/>
                <w:bCs/>
              </w:rPr>
            </w:pPr>
            <w:r w:rsidRPr="00613ACF">
              <w:rPr>
                <w:rFonts w:asciiTheme="minorHAnsi" w:hAnsiTheme="minorHAnsi" w:cstheme="minorHAnsi"/>
                <w:bCs/>
              </w:rPr>
              <w:t>December 2021</w:t>
            </w:r>
          </w:p>
        </w:tc>
        <w:tc>
          <w:tcPr>
            <w:tcW w:w="4796" w:type="dxa"/>
            <w:shd w:val="clear" w:color="auto" w:fill="D6E3BC" w:themeFill="accent3" w:themeFillTint="66"/>
            <w:noWrap/>
            <w:vAlign w:val="center"/>
          </w:tcPr>
          <w:p w14:paraId="47C69AD1" w14:textId="4DE1846A" w:rsidR="005E1E68" w:rsidRPr="00F91123" w:rsidRDefault="005E1E68" w:rsidP="005E1E68">
            <w:pPr>
              <w:pStyle w:val="ListParagraph"/>
              <w:ind w:left="43"/>
              <w:jc w:val="both"/>
              <w:rPr>
                <w:rFonts w:asciiTheme="minorHAnsi" w:hAnsiTheme="minorHAnsi" w:cstheme="minorHAnsi"/>
              </w:rPr>
            </w:pPr>
            <w:r w:rsidRPr="00F91123">
              <w:rPr>
                <w:rFonts w:asciiTheme="minorHAnsi" w:hAnsiTheme="minorHAnsi" w:cstheme="minorHAnsi"/>
              </w:rPr>
              <w:t xml:space="preserve">Due date for furnishing of challan-cum-statement in respect of tax deducted under section 194-IB in the month of </w:t>
            </w:r>
            <w:proofErr w:type="gramStart"/>
            <w:r w:rsidRPr="00F91123">
              <w:rPr>
                <w:rFonts w:asciiTheme="minorHAnsi" w:hAnsiTheme="minorHAnsi" w:cstheme="minorHAnsi"/>
              </w:rPr>
              <w:t>December,</w:t>
            </w:r>
            <w:proofErr w:type="gramEnd"/>
            <w:r w:rsidRPr="00F91123">
              <w:rPr>
                <w:rFonts w:asciiTheme="minorHAnsi" w:hAnsiTheme="minorHAnsi" w:cstheme="minorHAnsi"/>
              </w:rPr>
              <w:t xml:space="preserve"> 2021.</w:t>
            </w:r>
          </w:p>
        </w:tc>
      </w:tr>
      <w:tr w:rsidR="005E1E68" w:rsidRPr="00D27A53" w14:paraId="4A771744" w14:textId="77777777" w:rsidTr="0094074B">
        <w:trPr>
          <w:trHeight w:val="791"/>
        </w:trPr>
        <w:tc>
          <w:tcPr>
            <w:tcW w:w="1628" w:type="dxa"/>
            <w:shd w:val="clear" w:color="auto" w:fill="4E8542"/>
            <w:noWrap/>
            <w:vAlign w:val="center"/>
          </w:tcPr>
          <w:p w14:paraId="304C2635" w14:textId="61DECDAD" w:rsidR="005E1E68" w:rsidRDefault="005E1E68" w:rsidP="005E1E6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746286BC" w14:textId="451B5E1C" w:rsidR="005E1E68" w:rsidRPr="002258E7" w:rsidRDefault="005E1E68" w:rsidP="005E1E68">
            <w:pPr>
              <w:pStyle w:val="ListParagraph"/>
              <w:ind w:left="43"/>
              <w:jc w:val="center"/>
              <w:rPr>
                <w:b/>
                <w:bCs/>
              </w:rPr>
            </w:pPr>
            <w:r w:rsidRPr="002258E7">
              <w:rPr>
                <w:b/>
                <w:bCs/>
              </w:rPr>
              <w:t>TDS Certificate (Form 16D)</w:t>
            </w:r>
          </w:p>
        </w:tc>
        <w:tc>
          <w:tcPr>
            <w:tcW w:w="1559" w:type="dxa"/>
            <w:shd w:val="clear" w:color="auto" w:fill="D6E3BC" w:themeFill="accent3" w:themeFillTint="66"/>
          </w:tcPr>
          <w:p w14:paraId="02D7BF14" w14:textId="066F807F" w:rsidR="005E1E68" w:rsidRPr="00613ACF" w:rsidRDefault="005E1E68" w:rsidP="005E1E68">
            <w:pPr>
              <w:tabs>
                <w:tab w:val="left" w:pos="4820"/>
              </w:tabs>
              <w:spacing w:after="0" w:line="240" w:lineRule="auto"/>
              <w:jc w:val="center"/>
              <w:rPr>
                <w:rFonts w:asciiTheme="minorHAnsi" w:hAnsiTheme="minorHAnsi" w:cstheme="minorHAnsi"/>
                <w:bCs/>
              </w:rPr>
            </w:pPr>
            <w:r w:rsidRPr="00613ACF">
              <w:rPr>
                <w:rFonts w:asciiTheme="minorHAnsi" w:hAnsiTheme="minorHAnsi" w:cstheme="minorHAnsi"/>
                <w:bCs/>
              </w:rPr>
              <w:t>December 2021</w:t>
            </w:r>
          </w:p>
        </w:tc>
        <w:tc>
          <w:tcPr>
            <w:tcW w:w="4796" w:type="dxa"/>
            <w:shd w:val="clear" w:color="auto" w:fill="D6E3BC" w:themeFill="accent3" w:themeFillTint="66"/>
            <w:noWrap/>
            <w:vAlign w:val="center"/>
          </w:tcPr>
          <w:p w14:paraId="29CA2195" w14:textId="11F0272B" w:rsidR="005E1E68" w:rsidRPr="00F91123" w:rsidRDefault="005E1E68" w:rsidP="005E1E68">
            <w:pPr>
              <w:pStyle w:val="ListParagraph"/>
              <w:ind w:left="43"/>
              <w:jc w:val="both"/>
              <w:rPr>
                <w:rFonts w:asciiTheme="minorHAnsi" w:hAnsiTheme="minorHAnsi" w:cstheme="minorHAnsi"/>
              </w:rPr>
            </w:pPr>
            <w:r w:rsidRPr="00F91123">
              <w:rPr>
                <w:rFonts w:asciiTheme="minorHAnsi" w:hAnsiTheme="minorHAnsi" w:cstheme="minorHAnsi"/>
              </w:rPr>
              <w:t>Due date for furnishing of challan-cum-statement in respect of tax deducted under section 194-I</w:t>
            </w:r>
            <w:r>
              <w:rPr>
                <w:rFonts w:asciiTheme="minorHAnsi" w:hAnsiTheme="minorHAnsi" w:cstheme="minorHAnsi"/>
              </w:rPr>
              <w:t>M</w:t>
            </w:r>
            <w:r w:rsidRPr="00F91123">
              <w:rPr>
                <w:rFonts w:asciiTheme="minorHAnsi" w:hAnsiTheme="minorHAnsi" w:cstheme="minorHAnsi"/>
              </w:rPr>
              <w:t xml:space="preserve"> in the month of </w:t>
            </w:r>
            <w:proofErr w:type="gramStart"/>
            <w:r w:rsidRPr="00F91123">
              <w:rPr>
                <w:rFonts w:asciiTheme="minorHAnsi" w:hAnsiTheme="minorHAnsi" w:cstheme="minorHAnsi"/>
              </w:rPr>
              <w:t>December,</w:t>
            </w:r>
            <w:proofErr w:type="gramEnd"/>
            <w:r w:rsidRPr="00F91123">
              <w:rPr>
                <w:rFonts w:asciiTheme="minorHAnsi" w:hAnsiTheme="minorHAnsi" w:cstheme="minorHAnsi"/>
              </w:rPr>
              <w:t xml:space="preserve"> 2021.</w:t>
            </w:r>
          </w:p>
        </w:tc>
      </w:tr>
      <w:tr w:rsidR="00A0717F" w:rsidRPr="00D27A53" w14:paraId="3E0E9A42" w14:textId="77777777" w:rsidTr="00DC0FDF">
        <w:trPr>
          <w:trHeight w:val="791"/>
        </w:trPr>
        <w:tc>
          <w:tcPr>
            <w:tcW w:w="1628" w:type="dxa"/>
            <w:shd w:val="clear" w:color="auto" w:fill="4E8542"/>
            <w:noWrap/>
            <w:vAlign w:val="center"/>
          </w:tcPr>
          <w:p w14:paraId="56D199AC" w14:textId="77777777" w:rsidR="00A0717F" w:rsidRPr="00321D36" w:rsidRDefault="00A0717F" w:rsidP="00A0717F">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w:t>
            </w:r>
            <w:r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4201516C" w14:textId="77777777" w:rsidR="00A0717F" w:rsidRPr="00DC40CE" w:rsidRDefault="00A0717F" w:rsidP="00A0717F">
            <w:pPr>
              <w:pStyle w:val="ListParagraph"/>
              <w:ind w:left="43"/>
              <w:jc w:val="center"/>
              <w:rPr>
                <w:rFonts w:asciiTheme="minorHAnsi" w:hAnsiTheme="minorHAnsi" w:cstheme="minorHAnsi"/>
                <w:b/>
                <w:bCs/>
              </w:rPr>
            </w:pPr>
          </w:p>
        </w:tc>
        <w:tc>
          <w:tcPr>
            <w:tcW w:w="1559" w:type="dxa"/>
            <w:shd w:val="clear" w:color="auto" w:fill="D6E3BC" w:themeFill="accent3" w:themeFillTint="66"/>
            <w:vAlign w:val="center"/>
          </w:tcPr>
          <w:p w14:paraId="479D7254" w14:textId="77777777" w:rsidR="00A0717F" w:rsidRDefault="00A0717F" w:rsidP="00A0717F">
            <w:pPr>
              <w:tabs>
                <w:tab w:val="left" w:pos="4820"/>
              </w:tabs>
              <w:spacing w:after="0" w:line="240" w:lineRule="auto"/>
              <w:jc w:val="center"/>
              <w:rPr>
                <w:rFonts w:asciiTheme="minorHAnsi" w:hAnsiTheme="minorHAnsi" w:cstheme="minorHAnsi"/>
                <w:bCs/>
              </w:rPr>
            </w:pPr>
            <w:r>
              <w:rPr>
                <w:rFonts w:asciiTheme="minorHAnsi" w:hAnsiTheme="minorHAnsi" w:cstheme="minorHAnsi"/>
                <w:bCs/>
              </w:rPr>
              <w:t>December 2021</w:t>
            </w:r>
          </w:p>
        </w:tc>
        <w:tc>
          <w:tcPr>
            <w:tcW w:w="4796" w:type="dxa"/>
            <w:shd w:val="clear" w:color="auto" w:fill="D6E3BC" w:themeFill="accent3" w:themeFillTint="66"/>
            <w:noWrap/>
            <w:vAlign w:val="center"/>
          </w:tcPr>
          <w:p w14:paraId="7E37CF09" w14:textId="77777777" w:rsidR="00A0717F" w:rsidRPr="0019155E" w:rsidRDefault="00A0717F" w:rsidP="00A0717F">
            <w:pPr>
              <w:pStyle w:val="ListParagraph"/>
              <w:ind w:left="43"/>
              <w:jc w:val="both"/>
              <w:rPr>
                <w:rFonts w:asciiTheme="minorHAnsi" w:hAnsiTheme="minorHAnsi" w:cstheme="minorHAnsi"/>
              </w:rPr>
            </w:pPr>
            <w:r w:rsidRPr="00F91123">
              <w:rPr>
                <w:rFonts w:asciiTheme="minorHAnsi" w:hAnsiTheme="minorHAnsi" w:cstheme="minorHAnsi"/>
              </w:rPr>
              <w:t>Quarterly TCS certificate in respect of quarter ending December 31, 2021.</w:t>
            </w:r>
          </w:p>
        </w:tc>
      </w:tr>
      <w:tr w:rsidR="005E1E68" w:rsidRPr="00D27A53" w14:paraId="71DE4B76" w14:textId="77777777" w:rsidTr="0094074B">
        <w:trPr>
          <w:trHeight w:val="791"/>
        </w:trPr>
        <w:tc>
          <w:tcPr>
            <w:tcW w:w="1628" w:type="dxa"/>
            <w:shd w:val="clear" w:color="auto" w:fill="4E8542"/>
            <w:noWrap/>
            <w:vAlign w:val="center"/>
          </w:tcPr>
          <w:p w14:paraId="6AFBA86E" w14:textId="2CF18D55" w:rsidR="005E1E68" w:rsidRDefault="005E1E68" w:rsidP="005E1E6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Pr>
                <w:rFonts w:asciiTheme="minorHAnsi" w:hAnsiTheme="minorHAnsi" w:cstheme="minorHAnsi"/>
                <w:b/>
                <w:color w:val="FFFFFF" w:themeColor="background1"/>
                <w:vertAlign w:val="superscript"/>
              </w:rPr>
              <w:t xml:space="preserve">st </w:t>
            </w:r>
            <w:r>
              <w:rPr>
                <w:rFonts w:asciiTheme="minorHAnsi" w:hAnsiTheme="minorHAnsi" w:cstheme="minorHAnsi"/>
                <w:b/>
                <w:color w:val="FFFFFF" w:themeColor="background1"/>
              </w:rPr>
              <w:t>January</w:t>
            </w:r>
          </w:p>
        </w:tc>
        <w:tc>
          <w:tcPr>
            <w:tcW w:w="1623" w:type="dxa"/>
            <w:shd w:val="clear" w:color="auto" w:fill="D6E3BC" w:themeFill="accent3" w:themeFillTint="66"/>
            <w:vAlign w:val="center"/>
          </w:tcPr>
          <w:p w14:paraId="53797673" w14:textId="0D52905A" w:rsidR="005E1E68" w:rsidRPr="00DC40CE" w:rsidRDefault="007E1900" w:rsidP="005E1E68">
            <w:pPr>
              <w:pStyle w:val="ListParagraph"/>
              <w:ind w:left="43"/>
              <w:jc w:val="center"/>
              <w:rPr>
                <w:rFonts w:asciiTheme="minorHAnsi" w:hAnsiTheme="minorHAnsi" w:cstheme="minorHAnsi"/>
                <w:b/>
                <w:bCs/>
              </w:rPr>
            </w:pPr>
            <w:r>
              <w:rPr>
                <w:rFonts w:asciiTheme="minorHAnsi" w:hAnsiTheme="minorHAnsi" w:cstheme="minorHAnsi"/>
                <w:b/>
                <w:bCs/>
              </w:rPr>
              <w:t>FORM-16A</w:t>
            </w:r>
          </w:p>
        </w:tc>
        <w:tc>
          <w:tcPr>
            <w:tcW w:w="1559" w:type="dxa"/>
            <w:shd w:val="clear" w:color="auto" w:fill="D6E3BC" w:themeFill="accent3" w:themeFillTint="66"/>
          </w:tcPr>
          <w:p w14:paraId="75C20898" w14:textId="73293FEF" w:rsidR="005E1E68" w:rsidRDefault="009A7FD0" w:rsidP="005E1E68">
            <w:pPr>
              <w:tabs>
                <w:tab w:val="left" w:pos="4820"/>
              </w:tabs>
              <w:spacing w:after="0" w:line="240" w:lineRule="auto"/>
              <w:jc w:val="center"/>
              <w:rPr>
                <w:rFonts w:asciiTheme="minorHAnsi" w:hAnsiTheme="minorHAnsi" w:cstheme="minorHAnsi"/>
                <w:bCs/>
              </w:rPr>
            </w:pPr>
            <w:r>
              <w:rPr>
                <w:rFonts w:asciiTheme="minorHAnsi" w:hAnsiTheme="minorHAnsi" w:cstheme="minorHAnsi"/>
                <w:bCs/>
              </w:rPr>
              <w:t xml:space="preserve">October to </w:t>
            </w:r>
            <w:r w:rsidR="005E1E68" w:rsidRPr="00613ACF">
              <w:rPr>
                <w:rFonts w:asciiTheme="minorHAnsi" w:hAnsiTheme="minorHAnsi" w:cstheme="minorHAnsi"/>
                <w:bCs/>
              </w:rPr>
              <w:t>December 2021</w:t>
            </w:r>
          </w:p>
        </w:tc>
        <w:tc>
          <w:tcPr>
            <w:tcW w:w="4796" w:type="dxa"/>
            <w:shd w:val="clear" w:color="auto" w:fill="D6E3BC" w:themeFill="accent3" w:themeFillTint="66"/>
            <w:noWrap/>
            <w:vAlign w:val="center"/>
          </w:tcPr>
          <w:p w14:paraId="2FD0A1DC" w14:textId="7CE128A4" w:rsidR="005E1E68" w:rsidRPr="00F91123" w:rsidRDefault="005E1E68" w:rsidP="005E1E68">
            <w:pPr>
              <w:pStyle w:val="ListParagraph"/>
              <w:ind w:left="43"/>
              <w:jc w:val="both"/>
              <w:rPr>
                <w:rFonts w:asciiTheme="minorHAnsi" w:hAnsiTheme="minorHAnsi" w:cstheme="minorHAnsi"/>
              </w:rPr>
            </w:pPr>
            <w:r w:rsidRPr="00F91123">
              <w:rPr>
                <w:rFonts w:asciiTheme="minorHAnsi" w:hAnsiTheme="minorHAnsi" w:cstheme="minorHAnsi"/>
              </w:rPr>
              <w:t>Quarterly statement of TDS for the quarter ending December 31, 2021.</w:t>
            </w:r>
          </w:p>
        </w:tc>
      </w:tr>
      <w:tr w:rsidR="009A7FD0" w:rsidRPr="00D27A53" w14:paraId="550A9FA3" w14:textId="77777777" w:rsidTr="0094074B">
        <w:trPr>
          <w:trHeight w:val="791"/>
        </w:trPr>
        <w:tc>
          <w:tcPr>
            <w:tcW w:w="1628" w:type="dxa"/>
            <w:shd w:val="clear" w:color="auto" w:fill="4E8542"/>
            <w:noWrap/>
            <w:vAlign w:val="center"/>
          </w:tcPr>
          <w:p w14:paraId="437BF942" w14:textId="1A20B8F4" w:rsidR="009A7FD0" w:rsidRDefault="009A7FD0" w:rsidP="009A7FD0">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Pr>
                <w:rFonts w:asciiTheme="minorHAnsi" w:hAnsiTheme="minorHAnsi" w:cstheme="minorHAnsi"/>
                <w:b/>
                <w:color w:val="FFFFFF" w:themeColor="background1"/>
                <w:vertAlign w:val="superscript"/>
              </w:rPr>
              <w:t xml:space="preserve">st </w:t>
            </w:r>
            <w:r>
              <w:rPr>
                <w:rFonts w:asciiTheme="minorHAnsi" w:hAnsiTheme="minorHAnsi" w:cstheme="minorHAnsi"/>
                <w:b/>
                <w:color w:val="FFFFFF" w:themeColor="background1"/>
              </w:rPr>
              <w:t>January</w:t>
            </w:r>
          </w:p>
        </w:tc>
        <w:tc>
          <w:tcPr>
            <w:tcW w:w="1623" w:type="dxa"/>
            <w:shd w:val="clear" w:color="auto" w:fill="D6E3BC" w:themeFill="accent3" w:themeFillTint="66"/>
            <w:vAlign w:val="center"/>
          </w:tcPr>
          <w:p w14:paraId="06162C27" w14:textId="1345BEE9" w:rsidR="009A7FD0" w:rsidRPr="00DC40CE" w:rsidRDefault="009A7FD0" w:rsidP="009A7FD0">
            <w:pPr>
              <w:pStyle w:val="ListParagraph"/>
              <w:ind w:left="43"/>
              <w:jc w:val="center"/>
              <w:rPr>
                <w:rFonts w:asciiTheme="minorHAnsi" w:hAnsiTheme="minorHAnsi" w:cstheme="minorHAnsi"/>
                <w:b/>
                <w:bCs/>
              </w:rPr>
            </w:pPr>
            <w:r>
              <w:rPr>
                <w:rFonts w:asciiTheme="minorHAnsi" w:hAnsiTheme="minorHAnsi" w:cstheme="minorHAnsi"/>
                <w:b/>
                <w:bCs/>
              </w:rPr>
              <w:t>FORM 15G/FORM 15H</w:t>
            </w:r>
          </w:p>
        </w:tc>
        <w:tc>
          <w:tcPr>
            <w:tcW w:w="1559" w:type="dxa"/>
            <w:shd w:val="clear" w:color="auto" w:fill="D6E3BC" w:themeFill="accent3" w:themeFillTint="66"/>
          </w:tcPr>
          <w:p w14:paraId="1BA8791C" w14:textId="53773DB0" w:rsidR="009A7FD0" w:rsidRDefault="009A7FD0" w:rsidP="009A7FD0">
            <w:pPr>
              <w:tabs>
                <w:tab w:val="left" w:pos="4820"/>
              </w:tabs>
              <w:spacing w:after="0" w:line="240" w:lineRule="auto"/>
              <w:jc w:val="center"/>
              <w:rPr>
                <w:rFonts w:asciiTheme="minorHAnsi" w:hAnsiTheme="minorHAnsi" w:cstheme="minorHAnsi"/>
                <w:bCs/>
              </w:rPr>
            </w:pPr>
            <w:r>
              <w:rPr>
                <w:rFonts w:asciiTheme="minorHAnsi" w:hAnsiTheme="minorHAnsi" w:cstheme="minorHAnsi"/>
                <w:bCs/>
              </w:rPr>
              <w:t xml:space="preserve">October to </w:t>
            </w:r>
            <w:r w:rsidRPr="00613ACF">
              <w:rPr>
                <w:rFonts w:asciiTheme="minorHAnsi" w:hAnsiTheme="minorHAnsi" w:cstheme="minorHAnsi"/>
                <w:bCs/>
              </w:rPr>
              <w:t>December 2021</w:t>
            </w:r>
          </w:p>
        </w:tc>
        <w:tc>
          <w:tcPr>
            <w:tcW w:w="4796" w:type="dxa"/>
            <w:shd w:val="clear" w:color="auto" w:fill="D6E3BC" w:themeFill="accent3" w:themeFillTint="66"/>
            <w:noWrap/>
            <w:vAlign w:val="center"/>
          </w:tcPr>
          <w:p w14:paraId="293AEFB4" w14:textId="4877CFC6" w:rsidR="009A7FD0" w:rsidRPr="0019155E" w:rsidRDefault="009A7FD0" w:rsidP="009A7FD0">
            <w:pPr>
              <w:pStyle w:val="ListParagraph"/>
              <w:ind w:left="43"/>
              <w:jc w:val="both"/>
              <w:rPr>
                <w:rFonts w:asciiTheme="minorHAnsi" w:hAnsiTheme="minorHAnsi" w:cstheme="minorHAnsi"/>
              </w:rPr>
            </w:pPr>
            <w:r w:rsidRPr="00F91123">
              <w:rPr>
                <w:rFonts w:asciiTheme="minorHAnsi" w:hAnsiTheme="minorHAnsi" w:cstheme="minorHAnsi"/>
              </w:rPr>
              <w:t>Quarterly return of non-deduction at source by a banking company from interest on time deposit in respect of the quarter ending December 31, 2021.</w:t>
            </w:r>
          </w:p>
        </w:tc>
      </w:tr>
      <w:tr w:rsidR="005E1E68" w:rsidRPr="00D27A53" w14:paraId="3F96CEBA" w14:textId="77777777" w:rsidTr="0094074B">
        <w:trPr>
          <w:trHeight w:val="791"/>
        </w:trPr>
        <w:tc>
          <w:tcPr>
            <w:tcW w:w="1628" w:type="dxa"/>
            <w:shd w:val="clear" w:color="auto" w:fill="4E8542"/>
            <w:noWrap/>
            <w:vAlign w:val="center"/>
          </w:tcPr>
          <w:p w14:paraId="28020139" w14:textId="74643776" w:rsidR="005E1E68" w:rsidRDefault="005E1E68" w:rsidP="005E1E6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Pr>
                <w:rFonts w:asciiTheme="minorHAnsi" w:hAnsiTheme="minorHAnsi" w:cstheme="minorHAnsi"/>
                <w:b/>
                <w:color w:val="FFFFFF" w:themeColor="background1"/>
                <w:vertAlign w:val="superscript"/>
              </w:rPr>
              <w:t xml:space="preserve">st </w:t>
            </w:r>
            <w:r>
              <w:rPr>
                <w:rFonts w:asciiTheme="minorHAnsi" w:hAnsiTheme="minorHAnsi" w:cstheme="minorHAnsi"/>
                <w:b/>
                <w:color w:val="FFFFFF" w:themeColor="background1"/>
              </w:rPr>
              <w:t>January</w:t>
            </w:r>
          </w:p>
        </w:tc>
        <w:tc>
          <w:tcPr>
            <w:tcW w:w="1623" w:type="dxa"/>
            <w:shd w:val="clear" w:color="auto" w:fill="D6E3BC" w:themeFill="accent3" w:themeFillTint="66"/>
            <w:vAlign w:val="center"/>
          </w:tcPr>
          <w:p w14:paraId="6FF5A260" w14:textId="76F2BBD4" w:rsidR="005E1E68" w:rsidRPr="00AC01DF" w:rsidRDefault="00AC01DF" w:rsidP="005E1E68">
            <w:pPr>
              <w:pStyle w:val="ListParagraph"/>
              <w:ind w:left="43"/>
              <w:jc w:val="center"/>
              <w:rPr>
                <w:rFonts w:asciiTheme="minorHAnsi" w:hAnsiTheme="minorHAnsi" w:cstheme="minorHAnsi"/>
                <w:b/>
                <w:bCs/>
              </w:rPr>
            </w:pPr>
            <w:r w:rsidRPr="00AC01DF">
              <w:rPr>
                <w:rFonts w:asciiTheme="minorHAnsi" w:hAnsiTheme="minorHAnsi" w:cstheme="minorHAnsi"/>
                <w:b/>
                <w:bCs/>
              </w:rPr>
              <w:t>Form No</w:t>
            </w:r>
            <w:r>
              <w:rPr>
                <w:rFonts w:asciiTheme="minorHAnsi" w:hAnsiTheme="minorHAnsi" w:cstheme="minorHAnsi"/>
                <w:b/>
                <w:bCs/>
              </w:rPr>
              <w:t>-</w:t>
            </w:r>
            <w:r w:rsidRPr="00AC01DF">
              <w:rPr>
                <w:rFonts w:asciiTheme="minorHAnsi" w:hAnsiTheme="minorHAnsi" w:cstheme="minorHAnsi"/>
                <w:b/>
                <w:bCs/>
              </w:rPr>
              <w:t xml:space="preserve"> 3CEAC</w:t>
            </w:r>
          </w:p>
        </w:tc>
        <w:tc>
          <w:tcPr>
            <w:tcW w:w="1559" w:type="dxa"/>
            <w:shd w:val="clear" w:color="auto" w:fill="D6E3BC" w:themeFill="accent3" w:themeFillTint="66"/>
          </w:tcPr>
          <w:p w14:paraId="3D631F55" w14:textId="3B179081" w:rsidR="005E1E68" w:rsidRDefault="005E1E68" w:rsidP="005E1E68">
            <w:pPr>
              <w:tabs>
                <w:tab w:val="left" w:pos="4820"/>
              </w:tabs>
              <w:spacing w:after="0" w:line="240" w:lineRule="auto"/>
              <w:jc w:val="center"/>
              <w:rPr>
                <w:rFonts w:asciiTheme="minorHAnsi" w:hAnsiTheme="minorHAnsi" w:cstheme="minorHAnsi"/>
                <w:bCs/>
              </w:rPr>
            </w:pPr>
            <w:r w:rsidRPr="00613ACF">
              <w:rPr>
                <w:rFonts w:asciiTheme="minorHAnsi" w:hAnsiTheme="minorHAnsi" w:cstheme="minorHAnsi"/>
                <w:bCs/>
              </w:rPr>
              <w:t>December 2021</w:t>
            </w:r>
          </w:p>
        </w:tc>
        <w:tc>
          <w:tcPr>
            <w:tcW w:w="4796" w:type="dxa"/>
            <w:shd w:val="clear" w:color="auto" w:fill="D6E3BC" w:themeFill="accent3" w:themeFillTint="66"/>
            <w:noWrap/>
            <w:vAlign w:val="center"/>
          </w:tcPr>
          <w:p w14:paraId="1EB5CD6F" w14:textId="208670DE" w:rsidR="005E1E68" w:rsidRPr="0019155E" w:rsidRDefault="005E1E68" w:rsidP="005E1E68">
            <w:pPr>
              <w:pStyle w:val="ListParagraph"/>
              <w:ind w:left="43"/>
              <w:jc w:val="both"/>
              <w:rPr>
                <w:rFonts w:asciiTheme="minorHAnsi" w:hAnsiTheme="minorHAnsi" w:cstheme="minorHAnsi"/>
              </w:rPr>
            </w:pPr>
            <w:r w:rsidRPr="00F91123">
              <w:rPr>
                <w:rFonts w:asciiTheme="minorHAnsi" w:hAnsiTheme="minorHAnsi" w:cstheme="minorHAnsi"/>
              </w:rPr>
              <w:t xml:space="preserve">Intimation under section 286(1) in </w:t>
            </w:r>
            <w:r w:rsidR="00AC01DF" w:rsidRPr="00F91123">
              <w:rPr>
                <w:rFonts w:asciiTheme="minorHAnsi" w:hAnsiTheme="minorHAnsi" w:cstheme="minorHAnsi"/>
              </w:rPr>
              <w:t>Form No. 3</w:t>
            </w:r>
            <w:proofErr w:type="gramStart"/>
            <w:r w:rsidR="00AC01DF" w:rsidRPr="00F91123">
              <w:rPr>
                <w:rFonts w:asciiTheme="minorHAnsi" w:hAnsiTheme="minorHAnsi" w:cstheme="minorHAnsi"/>
              </w:rPr>
              <w:t xml:space="preserve">CEAC </w:t>
            </w:r>
            <w:r w:rsidRPr="00F91123">
              <w:rPr>
                <w:rFonts w:asciiTheme="minorHAnsi" w:hAnsiTheme="minorHAnsi" w:cstheme="minorHAnsi"/>
              </w:rPr>
              <w:t>,</w:t>
            </w:r>
            <w:proofErr w:type="gramEnd"/>
            <w:r w:rsidRPr="00F91123">
              <w:rPr>
                <w:rFonts w:asciiTheme="minorHAnsi" w:hAnsiTheme="minorHAnsi" w:cstheme="minorHAnsi"/>
              </w:rPr>
              <w:t xml:space="preserve"> by a resident constituent entity of an international group whose parent is non-resident.</w:t>
            </w:r>
          </w:p>
        </w:tc>
      </w:tr>
    </w:tbl>
    <w:p w14:paraId="7ADC501C" w14:textId="2207A9D4" w:rsidR="00843461" w:rsidRPr="00EC357C" w:rsidRDefault="00843461" w:rsidP="00F474C8">
      <w:pPr>
        <w:tabs>
          <w:tab w:val="left" w:pos="3039"/>
          <w:tab w:val="left" w:pos="4820"/>
        </w:tabs>
        <w:rPr>
          <w:rFonts w:cstheme="minorHAnsi"/>
          <w:b/>
          <w:sz w:val="32"/>
          <w:lang w:val="en-GB"/>
        </w:rPr>
      </w:pPr>
    </w:p>
    <w:p w14:paraId="70FA4B96" w14:textId="384C0E6A" w:rsidR="00710EAF" w:rsidRDefault="00710EAF"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45141362" w:rsidR="001D39A9" w:rsidRPr="0072359D" w:rsidRDefault="003B3507"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674B1AE" w14:textId="60A4A5A6" w:rsidR="00182149" w:rsidRPr="00580D66" w:rsidRDefault="00460E77" w:rsidP="002218F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rPr>
        <w:t xml:space="preserve">AMENDMENT IN NOTIFICATION ISSUED FOR </w:t>
      </w:r>
      <w:r w:rsidRPr="00460E77">
        <w:rPr>
          <w:rFonts w:asciiTheme="minorHAnsi" w:hAnsiTheme="minorHAnsi" w:cstheme="minorHAnsi"/>
          <w:b/>
          <w:bCs/>
          <w:caps/>
        </w:rPr>
        <w:t>Central Government specifie</w:t>
      </w:r>
      <w:r>
        <w:rPr>
          <w:rFonts w:asciiTheme="minorHAnsi" w:hAnsiTheme="minorHAnsi" w:cstheme="minorHAnsi"/>
          <w:b/>
          <w:bCs/>
          <w:caps/>
        </w:rPr>
        <w:t>D</w:t>
      </w:r>
      <w:r w:rsidRPr="00460E77">
        <w:rPr>
          <w:rFonts w:asciiTheme="minorHAnsi" w:hAnsiTheme="minorHAnsi" w:cstheme="minorHAnsi"/>
          <w:b/>
          <w:bCs/>
          <w:caps/>
        </w:rPr>
        <w:t xml:space="preserve"> the sovereign wealth fund namely, the MIC Redwood 1 RSC Limited, Abu Dhabi, United Arab Emirates</w:t>
      </w:r>
    </w:p>
    <w:p w14:paraId="08323F6B" w14:textId="2773C991" w:rsidR="00CA5A4F" w:rsidRPr="00226580"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rPr>
      </w:pPr>
      <w:r w:rsidRPr="00226580">
        <w:rPr>
          <w:rFonts w:asciiTheme="minorHAnsi" w:hAnsiTheme="minorHAnsi" w:cstheme="minorHAnsi"/>
          <w:b/>
          <w:bCs/>
          <w:color w:val="000000" w:themeColor="text1"/>
          <w:sz w:val="22"/>
          <w:szCs w:val="22"/>
          <w:shd w:val="clear" w:color="auto" w:fill="FFFFFF"/>
          <w:lang w:val="en-IN"/>
        </w:rPr>
        <w:t>OUR COMMENTS:</w:t>
      </w:r>
      <w:r>
        <w:rPr>
          <w:rFonts w:asciiTheme="minorHAnsi" w:hAnsiTheme="minorHAnsi" w:cstheme="minorHAnsi"/>
          <w:b/>
          <w:bCs/>
          <w:color w:val="000000" w:themeColor="text1"/>
          <w:shd w:val="clear" w:color="auto" w:fill="FFFFFF"/>
          <w:lang w:val="en-IN"/>
        </w:rPr>
        <w:t xml:space="preserve"> </w:t>
      </w:r>
      <w:r w:rsidRPr="00226580">
        <w:rPr>
          <w:rFonts w:asciiTheme="minorHAnsi" w:hAnsiTheme="minorHAnsi" w:cstheme="minorHAnsi"/>
          <w:color w:val="000000" w:themeColor="text1"/>
          <w:sz w:val="22"/>
          <w:szCs w:val="22"/>
          <w:shd w:val="clear" w:color="auto" w:fill="FFFFFF"/>
        </w:rPr>
        <w:t>Central Government vide notification number 11/2022 dated 25</w:t>
      </w:r>
      <w:r w:rsidRPr="00226580">
        <w:rPr>
          <w:rFonts w:asciiTheme="minorHAnsi" w:hAnsiTheme="minorHAnsi" w:cstheme="minorHAnsi"/>
          <w:color w:val="000000" w:themeColor="text1"/>
          <w:sz w:val="22"/>
          <w:szCs w:val="22"/>
          <w:shd w:val="clear" w:color="auto" w:fill="FFFFFF"/>
          <w:vertAlign w:val="superscript"/>
        </w:rPr>
        <w:t>th</w:t>
      </w:r>
      <w:r w:rsidRPr="00226580">
        <w:rPr>
          <w:rFonts w:asciiTheme="minorHAnsi" w:hAnsiTheme="minorHAnsi" w:cstheme="minorHAnsi"/>
          <w:color w:val="000000" w:themeColor="text1"/>
          <w:sz w:val="22"/>
          <w:szCs w:val="22"/>
          <w:shd w:val="clear" w:color="auto" w:fill="FFFFFF"/>
        </w:rPr>
        <w:t xml:space="preserve"> January 2022, hereby </w:t>
      </w:r>
      <w:r w:rsidR="00653959">
        <w:rPr>
          <w:rFonts w:asciiTheme="minorHAnsi" w:hAnsiTheme="minorHAnsi" w:cstheme="minorHAnsi"/>
          <w:color w:val="000000" w:themeColor="text1"/>
          <w:sz w:val="22"/>
          <w:szCs w:val="22"/>
          <w:shd w:val="clear" w:color="auto" w:fill="FFFFFF"/>
        </w:rPr>
        <w:t xml:space="preserve">made </w:t>
      </w:r>
      <w:r w:rsidRPr="00226580">
        <w:rPr>
          <w:rFonts w:asciiTheme="minorHAnsi" w:hAnsiTheme="minorHAnsi" w:cstheme="minorHAnsi"/>
          <w:color w:val="000000" w:themeColor="text1"/>
          <w:sz w:val="22"/>
          <w:szCs w:val="22"/>
          <w:shd w:val="clear" w:color="auto" w:fill="FFFFFF"/>
        </w:rPr>
        <w:t>the following amendment in the notification of the Government of India, Ministry of Finance (Department of Revenue), Number 89 of 2020, published in the Gazette of India, Extraordinary, Part-II, Section 3, Sub-section (ii), vide number S.O. 3952(E), dated the 2nd November, 2020, </w:t>
      </w:r>
      <w:proofErr w:type="gramStart"/>
      <w:r w:rsidRPr="00226580">
        <w:rPr>
          <w:rFonts w:asciiTheme="minorHAnsi" w:hAnsiTheme="minorHAnsi" w:cstheme="minorHAnsi"/>
          <w:color w:val="000000" w:themeColor="text1"/>
          <w:sz w:val="22"/>
          <w:szCs w:val="22"/>
          <w:shd w:val="clear" w:color="auto" w:fill="FFFFFF"/>
        </w:rPr>
        <w:t>namely:-</w:t>
      </w:r>
      <w:proofErr w:type="gramEnd"/>
    </w:p>
    <w:p w14:paraId="0AB7960F" w14:textId="77777777" w:rsidR="00CA5A4F" w:rsidRPr="00226580"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40047B0A" w14:textId="77777777" w:rsidR="00CA5A4F" w:rsidRPr="00226580"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r w:rsidRPr="00226580">
        <w:rPr>
          <w:rFonts w:asciiTheme="minorHAnsi" w:hAnsiTheme="minorHAnsi" w:cstheme="minorHAnsi"/>
          <w:color w:val="000000" w:themeColor="text1"/>
          <w:sz w:val="22"/>
          <w:szCs w:val="22"/>
          <w:shd w:val="clear" w:color="auto" w:fill="FFFFFF"/>
          <w:lang w:val="en-IN"/>
        </w:rPr>
        <w:t xml:space="preserve">In the said </w:t>
      </w:r>
      <w:proofErr w:type="gramStart"/>
      <w:r w:rsidRPr="00226580">
        <w:rPr>
          <w:rFonts w:asciiTheme="minorHAnsi" w:hAnsiTheme="minorHAnsi" w:cstheme="minorHAnsi"/>
          <w:color w:val="000000" w:themeColor="text1"/>
          <w:sz w:val="22"/>
          <w:szCs w:val="22"/>
          <w:shd w:val="clear" w:color="auto" w:fill="FFFFFF"/>
          <w:lang w:val="en-IN"/>
        </w:rPr>
        <w:t>notification,-</w:t>
      </w:r>
      <w:proofErr w:type="gramEnd"/>
    </w:p>
    <w:p w14:paraId="06F11450" w14:textId="531C033A" w:rsidR="00CA5A4F"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r w:rsidRPr="00226580">
        <w:rPr>
          <w:rFonts w:asciiTheme="minorHAnsi" w:hAnsiTheme="minorHAnsi" w:cstheme="minorHAnsi"/>
          <w:color w:val="000000" w:themeColor="text1"/>
          <w:sz w:val="22"/>
          <w:szCs w:val="22"/>
          <w:shd w:val="clear" w:color="auto" w:fill="FFFFFF"/>
          <w:lang w:val="en-IN"/>
        </w:rPr>
        <w:t xml:space="preserve">(I) for clauses (vii), (viii), (ix), (x), (xi) and (xii), the following clauses shall be substituted, </w:t>
      </w:r>
      <w:proofErr w:type="gramStart"/>
      <w:r w:rsidRPr="00226580">
        <w:rPr>
          <w:rFonts w:asciiTheme="minorHAnsi" w:hAnsiTheme="minorHAnsi" w:cstheme="minorHAnsi"/>
          <w:color w:val="000000" w:themeColor="text1"/>
          <w:sz w:val="22"/>
          <w:szCs w:val="22"/>
          <w:shd w:val="clear" w:color="auto" w:fill="FFFFFF"/>
          <w:lang w:val="en-IN"/>
        </w:rPr>
        <w:t>namely:-</w:t>
      </w:r>
      <w:proofErr w:type="gramEnd"/>
    </w:p>
    <w:p w14:paraId="74B4B0E4" w14:textId="77777777" w:rsidR="00653959" w:rsidRPr="00226580" w:rsidRDefault="00653959"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69A50731" w14:textId="0F9D0A35" w:rsidR="00CA5A4F"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r w:rsidRPr="00226580">
        <w:rPr>
          <w:rFonts w:asciiTheme="minorHAnsi" w:hAnsiTheme="minorHAnsi" w:cstheme="minorHAnsi"/>
          <w:color w:val="000000" w:themeColor="text1"/>
          <w:sz w:val="22"/>
          <w:szCs w:val="22"/>
          <w:shd w:val="clear" w:color="auto" w:fill="FFFFFF"/>
          <w:lang w:val="en-IN"/>
        </w:rPr>
        <w:t xml:space="preserve">“(vii) the earnings of the assessee shall be credited either to the account of the Government of Abu Dhabi or to any other account designated by that Government so that no portion of the earnings inures to any private person barring any payment made to creditors or depositors for loan or borrowing [as defined in sub-clause (a) of clause (ii) of Explanation 2 to clause (23FE) of section 10 of the Act] taken for the purposes other than for making investment in </w:t>
      </w:r>
      <w:proofErr w:type="gramStart"/>
      <w:r w:rsidRPr="00226580">
        <w:rPr>
          <w:rFonts w:asciiTheme="minorHAnsi" w:hAnsiTheme="minorHAnsi" w:cstheme="minorHAnsi"/>
          <w:color w:val="000000" w:themeColor="text1"/>
          <w:sz w:val="22"/>
          <w:szCs w:val="22"/>
          <w:shd w:val="clear" w:color="auto" w:fill="FFFFFF"/>
          <w:lang w:val="en-IN"/>
        </w:rPr>
        <w:t>India;</w:t>
      </w:r>
      <w:proofErr w:type="gramEnd"/>
    </w:p>
    <w:p w14:paraId="169D5EEF" w14:textId="77777777" w:rsidR="00653959" w:rsidRPr="00226580" w:rsidRDefault="00653959"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7B11E399" w14:textId="38FC5279" w:rsidR="00CA5A4F"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r w:rsidRPr="00226580">
        <w:rPr>
          <w:rFonts w:asciiTheme="minorHAnsi" w:hAnsiTheme="minorHAnsi" w:cstheme="minorHAnsi"/>
          <w:color w:val="000000" w:themeColor="text1"/>
          <w:sz w:val="22"/>
          <w:szCs w:val="22"/>
          <w:shd w:val="clear" w:color="auto" w:fill="FFFFFF"/>
          <w:lang w:val="en-IN"/>
        </w:rPr>
        <w:t>(viii) the assessee shall not have any loans or borrowings [as defined in sub-clause(a) of clause (ii) of Explanation 2 to clause (23FE) of section 10 of the Act</w:t>
      </w:r>
      <w:proofErr w:type="gramStart"/>
      <w:r w:rsidRPr="00226580">
        <w:rPr>
          <w:rFonts w:asciiTheme="minorHAnsi" w:hAnsiTheme="minorHAnsi" w:cstheme="minorHAnsi"/>
          <w:color w:val="000000" w:themeColor="text1"/>
          <w:sz w:val="22"/>
          <w:szCs w:val="22"/>
          <w:shd w:val="clear" w:color="auto" w:fill="FFFFFF"/>
          <w:lang w:val="en-IN"/>
        </w:rPr>
        <w:t>] ,</w:t>
      </w:r>
      <w:proofErr w:type="gramEnd"/>
      <w:r w:rsidRPr="00226580">
        <w:rPr>
          <w:rFonts w:asciiTheme="minorHAnsi" w:hAnsiTheme="minorHAnsi" w:cstheme="minorHAnsi"/>
          <w:color w:val="000000" w:themeColor="text1"/>
          <w:sz w:val="22"/>
          <w:szCs w:val="22"/>
          <w:shd w:val="clear" w:color="auto" w:fill="FFFFFF"/>
          <w:lang w:val="en-IN"/>
        </w:rPr>
        <w:t xml:space="preserve"> directly or indirectly, for the purposes of making investment in India;</w:t>
      </w:r>
    </w:p>
    <w:p w14:paraId="42F4BDC7" w14:textId="77777777" w:rsidR="00653959" w:rsidRPr="00226580" w:rsidRDefault="00653959"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78556DFF" w14:textId="77BFC8A3" w:rsidR="00CA5A4F"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r w:rsidRPr="00226580">
        <w:rPr>
          <w:rFonts w:asciiTheme="minorHAnsi" w:hAnsiTheme="minorHAnsi" w:cstheme="minorHAnsi"/>
          <w:color w:val="000000" w:themeColor="text1"/>
          <w:sz w:val="22"/>
          <w:szCs w:val="22"/>
          <w:shd w:val="clear" w:color="auto" w:fill="FFFFFF"/>
          <w:lang w:val="en-IN"/>
        </w:rPr>
        <w:t xml:space="preserve">(ix) the asset of the assessee shall vest in the Government of Abu Dhabi upon dissolution barring any payment made to creditors or depositors for loan or borrowing taken for the purposes other than for making investment in </w:t>
      </w:r>
      <w:proofErr w:type="gramStart"/>
      <w:r w:rsidRPr="00226580">
        <w:rPr>
          <w:rFonts w:asciiTheme="minorHAnsi" w:hAnsiTheme="minorHAnsi" w:cstheme="minorHAnsi"/>
          <w:color w:val="000000" w:themeColor="text1"/>
          <w:sz w:val="22"/>
          <w:szCs w:val="22"/>
          <w:shd w:val="clear" w:color="auto" w:fill="FFFFFF"/>
          <w:lang w:val="en-IN"/>
        </w:rPr>
        <w:t>India;</w:t>
      </w:r>
      <w:proofErr w:type="gramEnd"/>
    </w:p>
    <w:p w14:paraId="1381145F" w14:textId="77777777" w:rsidR="00653959" w:rsidRPr="00226580" w:rsidRDefault="00653959"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0069D4F0" w14:textId="54F91A33" w:rsidR="00CA5A4F"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r w:rsidRPr="00226580">
        <w:rPr>
          <w:rFonts w:asciiTheme="minorHAnsi" w:hAnsiTheme="minorHAnsi" w:cstheme="minorHAnsi"/>
          <w:color w:val="000000" w:themeColor="text1"/>
          <w:sz w:val="22"/>
          <w:szCs w:val="22"/>
          <w:shd w:val="clear" w:color="auto" w:fill="FFFFFF"/>
          <w:lang w:val="en-IN"/>
        </w:rPr>
        <w:t>(x) the assessee shall not participate in the day to day operations of investee (as defined in clause (</w:t>
      </w:r>
      <w:proofErr w:type="spellStart"/>
      <w:r w:rsidRPr="00226580">
        <w:rPr>
          <w:rFonts w:asciiTheme="minorHAnsi" w:hAnsiTheme="minorHAnsi" w:cstheme="minorHAnsi"/>
          <w:color w:val="000000" w:themeColor="text1"/>
          <w:sz w:val="22"/>
          <w:szCs w:val="22"/>
          <w:shd w:val="clear" w:color="auto" w:fill="FFFFFF"/>
          <w:lang w:val="en-IN"/>
        </w:rPr>
        <w:t>i</w:t>
      </w:r>
      <w:proofErr w:type="spellEnd"/>
      <w:r w:rsidRPr="00226580">
        <w:rPr>
          <w:rFonts w:asciiTheme="minorHAnsi" w:hAnsiTheme="minorHAnsi" w:cstheme="minorHAnsi"/>
          <w:color w:val="000000" w:themeColor="text1"/>
          <w:sz w:val="22"/>
          <w:szCs w:val="22"/>
          <w:shd w:val="clear" w:color="auto" w:fill="FFFFFF"/>
          <w:lang w:val="en-IN"/>
        </w:rPr>
        <w:t>) of Explanation 2 clause (23FE) of section 10 of the Act) but the monitoring mechanism to protect the investment with the investee including the right to appoint directors or executive director shall not be considered as participation in the day to day operations of the investee.</w:t>
      </w:r>
      <w:proofErr w:type="gramStart"/>
      <w:r w:rsidRPr="00226580">
        <w:rPr>
          <w:rFonts w:asciiTheme="minorHAnsi" w:hAnsiTheme="minorHAnsi" w:cstheme="minorHAnsi"/>
          <w:color w:val="000000" w:themeColor="text1"/>
          <w:sz w:val="22"/>
          <w:szCs w:val="22"/>
          <w:shd w:val="clear" w:color="auto" w:fill="FFFFFF"/>
          <w:lang w:val="en-IN"/>
        </w:rPr>
        <w:t>”;</w:t>
      </w:r>
      <w:proofErr w:type="gramEnd"/>
    </w:p>
    <w:p w14:paraId="736EF982" w14:textId="77777777" w:rsidR="00653959" w:rsidRPr="00226580" w:rsidRDefault="00653959"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771AB40E" w14:textId="2008879C" w:rsidR="00CA5A4F" w:rsidRPr="00226580"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r w:rsidRPr="00226580">
        <w:rPr>
          <w:rFonts w:asciiTheme="minorHAnsi" w:hAnsiTheme="minorHAnsi" w:cstheme="minorHAnsi"/>
          <w:color w:val="000000" w:themeColor="text1"/>
          <w:sz w:val="22"/>
          <w:szCs w:val="22"/>
          <w:shd w:val="clear" w:color="auto" w:fill="FFFFFF"/>
          <w:lang w:val="en-IN"/>
        </w:rPr>
        <w:t>(II) for the Annexure, the substitut</w:t>
      </w:r>
      <w:r w:rsidR="00653959">
        <w:rPr>
          <w:rFonts w:asciiTheme="minorHAnsi" w:hAnsiTheme="minorHAnsi" w:cstheme="minorHAnsi"/>
          <w:color w:val="000000" w:themeColor="text1"/>
          <w:sz w:val="22"/>
          <w:szCs w:val="22"/>
          <w:shd w:val="clear" w:color="auto" w:fill="FFFFFF"/>
          <w:lang w:val="en-IN"/>
        </w:rPr>
        <w:t>ed</w:t>
      </w:r>
      <w:r w:rsidRPr="00226580">
        <w:rPr>
          <w:rFonts w:asciiTheme="minorHAnsi" w:hAnsiTheme="minorHAnsi" w:cstheme="minorHAnsi"/>
          <w:color w:val="000000" w:themeColor="text1"/>
          <w:sz w:val="22"/>
          <w:szCs w:val="22"/>
          <w:shd w:val="clear" w:color="auto" w:fill="FFFFFF"/>
          <w:lang w:val="en-IN"/>
        </w:rPr>
        <w:t xml:space="preserve"> Annexure is mentioned in the notification</w:t>
      </w:r>
      <w:r w:rsidR="00653959">
        <w:rPr>
          <w:rFonts w:asciiTheme="minorHAnsi" w:hAnsiTheme="minorHAnsi" w:cstheme="minorHAnsi"/>
          <w:color w:val="000000" w:themeColor="text1"/>
          <w:sz w:val="22"/>
          <w:szCs w:val="22"/>
          <w:shd w:val="clear" w:color="auto" w:fill="FFFFFF"/>
          <w:lang w:val="en-IN"/>
        </w:rPr>
        <w:t>.</w:t>
      </w:r>
    </w:p>
    <w:p w14:paraId="567A781E" w14:textId="77777777" w:rsidR="00CA5A4F" w:rsidRPr="00B24A8E" w:rsidRDefault="00CA5A4F" w:rsidP="00CA5A4F">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3B046096" w14:textId="5D27000F" w:rsidR="005E6733" w:rsidRDefault="00CA5A4F" w:rsidP="00CA5A4F">
      <w:pPr>
        <w:pStyle w:val="Default"/>
        <w:spacing w:line="276" w:lineRule="auto"/>
        <w:jc w:val="both"/>
        <w:rPr>
          <w:rFonts w:asciiTheme="minorHAnsi" w:hAnsiTheme="minorHAnsi" w:cstheme="minorHAnsi"/>
          <w:b/>
          <w:bCs/>
          <w:sz w:val="22"/>
          <w:szCs w:val="22"/>
          <w:shd w:val="clear" w:color="auto" w:fill="FFFFFF"/>
        </w:rPr>
      </w:pPr>
      <w:r w:rsidRPr="00B24A8E">
        <w:rPr>
          <w:rFonts w:asciiTheme="minorHAnsi" w:hAnsiTheme="minorHAnsi" w:cstheme="minorHAnsi"/>
          <w:b/>
          <w:bCs/>
          <w:sz w:val="22"/>
          <w:szCs w:val="22"/>
          <w:shd w:val="clear" w:color="auto" w:fill="FFFFFF"/>
        </w:rPr>
        <w:t>[For further details please refer to the Notification]</w:t>
      </w:r>
    </w:p>
    <w:p w14:paraId="1FB771B7" w14:textId="77777777" w:rsidR="00B24A8E" w:rsidRDefault="00B24A8E" w:rsidP="00CA5A4F">
      <w:pPr>
        <w:pStyle w:val="Default"/>
        <w:spacing w:line="276" w:lineRule="auto"/>
        <w:jc w:val="both"/>
        <w:rPr>
          <w:rFonts w:asciiTheme="minorHAnsi" w:hAnsiTheme="minorHAnsi" w:cstheme="minorHAnsi"/>
          <w:b/>
          <w:bCs/>
          <w:sz w:val="22"/>
          <w:szCs w:val="22"/>
          <w:shd w:val="clear" w:color="auto" w:fill="FFFFFF"/>
        </w:rPr>
        <w:sectPr w:rsidR="00B24A8E" w:rsidSect="006245F0">
          <w:headerReference w:type="default" r:id="rId28"/>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002D4FEE" w14:textId="6916B20D" w:rsidR="00954B32" w:rsidRPr="0072359D" w:rsidRDefault="00CD0298"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071794B6" w14:textId="3E1B0B8A" w:rsidR="00A343B6" w:rsidRPr="00765611" w:rsidRDefault="00363CF5" w:rsidP="00A06DAF">
      <w:pPr>
        <w:shd w:val="clear" w:color="auto" w:fill="8DC182"/>
        <w:tabs>
          <w:tab w:val="left" w:pos="4820"/>
        </w:tabs>
        <w:autoSpaceDE w:val="0"/>
        <w:autoSpaceDN w:val="0"/>
        <w:adjustRightInd w:val="0"/>
        <w:ind w:right="11"/>
        <w:jc w:val="center"/>
        <w:rPr>
          <w:rFonts w:asciiTheme="minorHAnsi" w:hAnsiTheme="minorHAnsi" w:cstheme="minorHAnsi"/>
          <w:b/>
          <w:bCs/>
        </w:rPr>
      </w:pPr>
      <w:r>
        <w:rPr>
          <w:rFonts w:asciiTheme="minorHAnsi" w:hAnsiTheme="minorHAnsi" w:cstheme="minorHAnsi"/>
          <w:b/>
          <w:bCs/>
        </w:rPr>
        <w:t xml:space="preserve">ADVISORY ON </w:t>
      </w:r>
      <w:r w:rsidR="00226580" w:rsidRPr="00226580">
        <w:rPr>
          <w:rFonts w:asciiTheme="minorHAnsi" w:hAnsiTheme="minorHAnsi" w:cstheme="minorHAnsi"/>
          <w:b/>
          <w:bCs/>
        </w:rPr>
        <w:t>INTEREST CALCULATOR IN GSTR-3B</w:t>
      </w:r>
    </w:p>
    <w:p w14:paraId="6D4D3564" w14:textId="25C42177" w:rsidR="00460E77" w:rsidRDefault="00226580" w:rsidP="00FF3529">
      <w:pPr>
        <w:pStyle w:val="Default"/>
        <w:spacing w:line="360" w:lineRule="auto"/>
        <w:jc w:val="both"/>
        <w:rPr>
          <w:rFonts w:asciiTheme="minorHAnsi" w:hAnsiTheme="minorHAnsi" w:cstheme="minorHAnsi"/>
          <w:bCs/>
          <w:color w:val="auto"/>
          <w:sz w:val="22"/>
          <w:szCs w:val="22"/>
        </w:rPr>
      </w:pPr>
      <w:bookmarkStart w:id="1" w:name="_Hlk87051410"/>
      <w:r>
        <w:rPr>
          <w:rFonts w:asciiTheme="minorHAnsi" w:hAnsiTheme="minorHAnsi" w:cstheme="minorHAnsi"/>
          <w:b/>
          <w:sz w:val="22"/>
          <w:szCs w:val="22"/>
        </w:rPr>
        <w:t>Our Comments</w:t>
      </w:r>
      <w:r w:rsidR="00304B4A" w:rsidRPr="00174A24">
        <w:rPr>
          <w:rFonts w:asciiTheme="minorHAnsi" w:hAnsiTheme="minorHAnsi" w:cstheme="minorHAnsi"/>
          <w:b/>
          <w:sz w:val="22"/>
          <w:szCs w:val="22"/>
        </w:rPr>
        <w:t>:</w:t>
      </w:r>
      <w:r w:rsidR="00304B4A" w:rsidRPr="00384C3E">
        <w:rPr>
          <w:rFonts w:asciiTheme="minorHAnsi" w:hAnsiTheme="minorHAnsi" w:cstheme="minorHAnsi"/>
          <w:bCs/>
          <w:color w:val="auto"/>
          <w:sz w:val="22"/>
          <w:szCs w:val="22"/>
        </w:rPr>
        <w:t xml:space="preserve"> </w:t>
      </w:r>
      <w:bookmarkEnd w:id="1"/>
      <w:r>
        <w:rPr>
          <w:rFonts w:asciiTheme="minorHAnsi" w:hAnsiTheme="minorHAnsi" w:cstheme="minorHAnsi"/>
          <w:bCs/>
          <w:color w:val="auto"/>
          <w:sz w:val="22"/>
          <w:szCs w:val="22"/>
        </w:rPr>
        <w:t xml:space="preserve">The </w:t>
      </w:r>
      <w:r w:rsidR="00CD0298">
        <w:rPr>
          <w:rFonts w:asciiTheme="minorHAnsi" w:hAnsiTheme="minorHAnsi" w:cstheme="minorHAnsi"/>
          <w:bCs/>
          <w:color w:val="auto"/>
          <w:sz w:val="22"/>
          <w:szCs w:val="22"/>
        </w:rPr>
        <w:t xml:space="preserve">GST portal introduced </w:t>
      </w:r>
      <w:r w:rsidRPr="00226580">
        <w:rPr>
          <w:rFonts w:asciiTheme="minorHAnsi" w:hAnsiTheme="minorHAnsi" w:cstheme="minorHAnsi"/>
          <w:bCs/>
          <w:color w:val="auto"/>
          <w:sz w:val="22"/>
          <w:szCs w:val="22"/>
        </w:rPr>
        <w:t>Interest calculator</w:t>
      </w:r>
      <w:r w:rsidR="00CD0298">
        <w:rPr>
          <w:rFonts w:asciiTheme="minorHAnsi" w:hAnsiTheme="minorHAnsi" w:cstheme="minorHAnsi"/>
          <w:bCs/>
          <w:color w:val="auto"/>
          <w:sz w:val="22"/>
          <w:szCs w:val="22"/>
        </w:rPr>
        <w:t xml:space="preserve"> on 26</w:t>
      </w:r>
      <w:r w:rsidR="00CD0298" w:rsidRPr="00CD0298">
        <w:rPr>
          <w:rFonts w:asciiTheme="minorHAnsi" w:hAnsiTheme="minorHAnsi" w:cstheme="minorHAnsi"/>
          <w:bCs/>
          <w:color w:val="auto"/>
          <w:sz w:val="22"/>
          <w:szCs w:val="22"/>
          <w:vertAlign w:val="superscript"/>
        </w:rPr>
        <w:t>th</w:t>
      </w:r>
      <w:r w:rsidR="00CD0298">
        <w:rPr>
          <w:rFonts w:asciiTheme="minorHAnsi" w:hAnsiTheme="minorHAnsi" w:cstheme="minorHAnsi"/>
          <w:bCs/>
          <w:color w:val="auto"/>
          <w:sz w:val="22"/>
          <w:szCs w:val="22"/>
        </w:rPr>
        <w:t xml:space="preserve"> January 2022 vide their latest Advisory</w:t>
      </w:r>
      <w:r>
        <w:rPr>
          <w:rFonts w:asciiTheme="minorHAnsi" w:hAnsiTheme="minorHAnsi" w:cstheme="minorHAnsi"/>
          <w:bCs/>
          <w:color w:val="auto"/>
          <w:sz w:val="22"/>
          <w:szCs w:val="22"/>
        </w:rPr>
        <w:t>:</w:t>
      </w:r>
    </w:p>
    <w:p w14:paraId="7979EA62" w14:textId="64066D0A" w:rsidR="007F1811" w:rsidRDefault="00FF3529" w:rsidP="00FF3529">
      <w:pPr>
        <w:pStyle w:val="Default"/>
        <w:spacing w:line="360" w:lineRule="auto"/>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1. </w:t>
      </w:r>
      <w:r w:rsidR="00226580" w:rsidRPr="00226580">
        <w:rPr>
          <w:rFonts w:asciiTheme="minorHAnsi" w:hAnsiTheme="minorHAnsi" w:cstheme="minorHAnsi"/>
          <w:bCs/>
          <w:color w:val="auto"/>
          <w:sz w:val="22"/>
          <w:szCs w:val="22"/>
        </w:rPr>
        <w:t>To facilitate taxpayers in doing self-assessment, the new functionality of interest calculator is being released in GSTR-3B. This functionality will assist taxpayers in calculating the interest applicable for delayed filing of returns. Taxpayers will have to verify and discharge the correct interest liability as per law, as payment of interest is a statutory compliance.</w:t>
      </w:r>
    </w:p>
    <w:p w14:paraId="24FFAB53" w14:textId="77777777" w:rsidR="007F1811" w:rsidRDefault="007F1811" w:rsidP="00FF3529">
      <w:pPr>
        <w:pStyle w:val="Default"/>
        <w:spacing w:line="360" w:lineRule="auto"/>
        <w:jc w:val="both"/>
        <w:rPr>
          <w:rFonts w:asciiTheme="minorHAnsi" w:hAnsiTheme="minorHAnsi" w:cstheme="minorHAnsi"/>
          <w:bCs/>
          <w:color w:val="auto"/>
          <w:sz w:val="22"/>
          <w:szCs w:val="22"/>
        </w:rPr>
      </w:pPr>
    </w:p>
    <w:p w14:paraId="6D818FD9" w14:textId="6DCE78DD" w:rsidR="00226580" w:rsidRPr="00A06DAF" w:rsidRDefault="00226580" w:rsidP="00FF3529">
      <w:pPr>
        <w:pStyle w:val="Default"/>
        <w:spacing w:line="360" w:lineRule="auto"/>
        <w:jc w:val="both"/>
        <w:rPr>
          <w:rFonts w:asciiTheme="minorHAnsi" w:hAnsiTheme="minorHAnsi" w:cstheme="minorHAnsi"/>
          <w:b/>
          <w:color w:val="auto"/>
          <w:sz w:val="22"/>
          <w:szCs w:val="22"/>
        </w:rPr>
      </w:pPr>
      <w:r w:rsidRPr="00A06DAF">
        <w:rPr>
          <w:rFonts w:asciiTheme="minorHAnsi" w:hAnsiTheme="minorHAnsi" w:cstheme="minorHAnsi"/>
          <w:b/>
          <w:color w:val="auto"/>
          <w:sz w:val="22"/>
          <w:szCs w:val="22"/>
        </w:rPr>
        <w:t>Interest computation</w:t>
      </w:r>
      <w:r w:rsidR="00FF3529" w:rsidRPr="00A06DAF">
        <w:rPr>
          <w:rFonts w:asciiTheme="minorHAnsi" w:hAnsiTheme="minorHAnsi" w:cstheme="minorHAnsi"/>
          <w:b/>
          <w:color w:val="auto"/>
          <w:sz w:val="22"/>
          <w:szCs w:val="22"/>
        </w:rPr>
        <w:t>.</w:t>
      </w:r>
    </w:p>
    <w:p w14:paraId="63B750FF" w14:textId="77777777" w:rsidR="007F1811" w:rsidRDefault="00226580" w:rsidP="00226580">
      <w:pPr>
        <w:pStyle w:val="Default"/>
        <w:spacing w:line="276" w:lineRule="auto"/>
        <w:jc w:val="both"/>
        <w:rPr>
          <w:rFonts w:asciiTheme="minorHAnsi" w:hAnsiTheme="minorHAnsi" w:cstheme="minorHAnsi"/>
          <w:bCs/>
          <w:color w:val="auto"/>
          <w:sz w:val="22"/>
          <w:szCs w:val="22"/>
        </w:rPr>
      </w:pPr>
      <w:r w:rsidRPr="00226580">
        <w:rPr>
          <w:rFonts w:asciiTheme="minorHAnsi" w:hAnsiTheme="minorHAnsi" w:cstheme="minorHAnsi"/>
          <w:bCs/>
          <w:color w:val="auto"/>
          <w:sz w:val="22"/>
          <w:szCs w:val="22"/>
        </w:rPr>
        <w:t xml:space="preserve">2. The interest computed by the system has been aligned with the Section-50 of the CGST Act, 2017, as amended. Consequently, interest liability for respect of supplies made during the tax-period pertaining to the GSTR-3B being filed will be calculated only on that portion of the </w:t>
      </w:r>
      <w:proofErr w:type="gramStart"/>
      <w:r w:rsidRPr="00226580">
        <w:rPr>
          <w:rFonts w:asciiTheme="minorHAnsi" w:hAnsiTheme="minorHAnsi" w:cstheme="minorHAnsi"/>
          <w:bCs/>
          <w:color w:val="auto"/>
          <w:sz w:val="22"/>
          <w:szCs w:val="22"/>
        </w:rPr>
        <w:t>tax</w:t>
      </w:r>
      <w:proofErr w:type="gramEnd"/>
      <w:r w:rsidRPr="00226580">
        <w:rPr>
          <w:rFonts w:asciiTheme="minorHAnsi" w:hAnsiTheme="minorHAnsi" w:cstheme="minorHAnsi"/>
          <w:bCs/>
          <w:color w:val="auto"/>
          <w:sz w:val="22"/>
          <w:szCs w:val="22"/>
        </w:rPr>
        <w:t xml:space="preserve"> which is paid by debiting the electronic cash ledger, i.e., net tax paid in cash. However, with respect to the supplies pertaining to the previous </w:t>
      </w:r>
      <w:proofErr w:type="spellStart"/>
      <w:r w:rsidRPr="00226580">
        <w:rPr>
          <w:rFonts w:asciiTheme="minorHAnsi" w:hAnsiTheme="minorHAnsi" w:cstheme="minorHAnsi"/>
          <w:bCs/>
          <w:color w:val="auto"/>
          <w:sz w:val="22"/>
          <w:szCs w:val="22"/>
        </w:rPr>
        <w:t>taxperiod</w:t>
      </w:r>
      <w:proofErr w:type="spellEnd"/>
      <w:r w:rsidRPr="00226580">
        <w:rPr>
          <w:rFonts w:asciiTheme="minorHAnsi" w:hAnsiTheme="minorHAnsi" w:cstheme="minorHAnsi"/>
          <w:bCs/>
          <w:color w:val="auto"/>
          <w:sz w:val="22"/>
          <w:szCs w:val="22"/>
        </w:rPr>
        <w:t xml:space="preserve">(s) being declared in later GSTR-3B, the interest will be computed for the entire liability. </w:t>
      </w:r>
    </w:p>
    <w:p w14:paraId="2F8BFB28" w14:textId="77777777" w:rsidR="007F1811" w:rsidRDefault="007F1811" w:rsidP="00226580">
      <w:pPr>
        <w:pStyle w:val="Default"/>
        <w:spacing w:line="276" w:lineRule="auto"/>
        <w:jc w:val="both"/>
        <w:rPr>
          <w:rFonts w:asciiTheme="minorHAnsi" w:hAnsiTheme="minorHAnsi" w:cstheme="minorHAnsi"/>
          <w:bCs/>
          <w:color w:val="auto"/>
          <w:sz w:val="22"/>
          <w:szCs w:val="22"/>
        </w:rPr>
      </w:pPr>
    </w:p>
    <w:p w14:paraId="5BDE94E8" w14:textId="659200C8" w:rsidR="00FF3529" w:rsidRPr="00A06DAF" w:rsidRDefault="00226580" w:rsidP="00226580">
      <w:pPr>
        <w:pStyle w:val="Default"/>
        <w:spacing w:line="276" w:lineRule="auto"/>
        <w:jc w:val="both"/>
        <w:rPr>
          <w:rFonts w:asciiTheme="minorHAnsi" w:hAnsiTheme="minorHAnsi" w:cstheme="minorHAnsi"/>
          <w:b/>
          <w:color w:val="auto"/>
          <w:sz w:val="22"/>
          <w:szCs w:val="22"/>
        </w:rPr>
      </w:pPr>
      <w:r w:rsidRPr="00A06DAF">
        <w:rPr>
          <w:rFonts w:asciiTheme="minorHAnsi" w:hAnsiTheme="minorHAnsi" w:cstheme="minorHAnsi"/>
          <w:b/>
          <w:color w:val="auto"/>
          <w:sz w:val="22"/>
          <w:szCs w:val="22"/>
        </w:rPr>
        <w:t>Auto-population of system computed interest</w:t>
      </w:r>
      <w:r w:rsidR="00363CF5">
        <w:rPr>
          <w:rFonts w:asciiTheme="minorHAnsi" w:hAnsiTheme="minorHAnsi" w:cstheme="minorHAnsi"/>
          <w:b/>
          <w:color w:val="auto"/>
          <w:sz w:val="22"/>
          <w:szCs w:val="22"/>
        </w:rPr>
        <w:t>:</w:t>
      </w:r>
    </w:p>
    <w:p w14:paraId="278F1484" w14:textId="613F43FE" w:rsidR="00226580" w:rsidRDefault="00226580" w:rsidP="00226580">
      <w:pPr>
        <w:pStyle w:val="Default"/>
        <w:spacing w:line="276" w:lineRule="auto"/>
        <w:jc w:val="both"/>
        <w:rPr>
          <w:rFonts w:asciiTheme="minorHAnsi" w:hAnsiTheme="minorHAnsi" w:cstheme="minorHAnsi"/>
          <w:bCs/>
          <w:color w:val="auto"/>
          <w:sz w:val="22"/>
          <w:szCs w:val="22"/>
        </w:rPr>
      </w:pPr>
      <w:r w:rsidRPr="00226580">
        <w:rPr>
          <w:rFonts w:asciiTheme="minorHAnsi" w:hAnsiTheme="minorHAnsi" w:cstheme="minorHAnsi"/>
          <w:bCs/>
          <w:color w:val="auto"/>
          <w:sz w:val="22"/>
          <w:szCs w:val="22"/>
        </w:rPr>
        <w:t xml:space="preserve"> 3. Furnishing tax-period wise break-up in GSTR-3B: The return in FORM GSTR-3B allows taxpayers to discharge tax liability for previous tax-periods also, in addition to the tax liability for the present period. However, the tax-period wise break-up of the tax liability is not available in GSTR-3B.</w:t>
      </w:r>
    </w:p>
    <w:p w14:paraId="12D53F54" w14:textId="77777777" w:rsidR="00FF3529" w:rsidRDefault="00FF3529" w:rsidP="00226580">
      <w:pPr>
        <w:pStyle w:val="Default"/>
        <w:spacing w:line="276" w:lineRule="auto"/>
        <w:jc w:val="both"/>
        <w:rPr>
          <w:rFonts w:asciiTheme="minorHAnsi" w:hAnsiTheme="minorHAnsi" w:cstheme="minorHAnsi"/>
          <w:bCs/>
          <w:color w:val="auto"/>
          <w:sz w:val="22"/>
          <w:szCs w:val="22"/>
        </w:rPr>
      </w:pPr>
    </w:p>
    <w:p w14:paraId="6968810A" w14:textId="0BE820A3" w:rsidR="00226580" w:rsidRDefault="00226580" w:rsidP="00226580">
      <w:pPr>
        <w:pStyle w:val="Default"/>
        <w:spacing w:line="276" w:lineRule="auto"/>
        <w:jc w:val="both"/>
        <w:rPr>
          <w:rFonts w:asciiTheme="minorHAnsi" w:hAnsiTheme="minorHAnsi" w:cstheme="minorHAnsi"/>
          <w:bCs/>
          <w:color w:val="auto"/>
          <w:sz w:val="22"/>
          <w:szCs w:val="22"/>
        </w:rPr>
      </w:pPr>
      <w:r w:rsidRPr="00226580">
        <w:rPr>
          <w:rFonts w:asciiTheme="minorHAnsi" w:hAnsiTheme="minorHAnsi" w:cstheme="minorHAnsi"/>
          <w:bCs/>
          <w:color w:val="auto"/>
          <w:sz w:val="22"/>
          <w:szCs w:val="22"/>
        </w:rPr>
        <w:t xml:space="preserve">4. This new functionality will compute the interest applicable </w:t>
      </w:r>
      <w:proofErr w:type="gramStart"/>
      <w:r w:rsidRPr="00226580">
        <w:rPr>
          <w:rFonts w:asciiTheme="minorHAnsi" w:hAnsiTheme="minorHAnsi" w:cstheme="minorHAnsi"/>
          <w:bCs/>
          <w:color w:val="auto"/>
          <w:sz w:val="22"/>
          <w:szCs w:val="22"/>
        </w:rPr>
        <w:t>on the basis of</w:t>
      </w:r>
      <w:proofErr w:type="gramEnd"/>
      <w:r w:rsidRPr="00226580">
        <w:rPr>
          <w:rFonts w:asciiTheme="minorHAnsi" w:hAnsiTheme="minorHAnsi" w:cstheme="minorHAnsi"/>
          <w:bCs/>
          <w:color w:val="auto"/>
          <w:sz w:val="22"/>
          <w:szCs w:val="22"/>
        </w:rPr>
        <w:t xml:space="preserve"> the values declared by the taxpayers in GSTR-3B for a particular tax-period assuming that entire liability belongs to that tax period. This system computed interest will be auto-populated in Table-5.1 of</w:t>
      </w:r>
      <w:r>
        <w:rPr>
          <w:rFonts w:asciiTheme="minorHAnsi" w:hAnsiTheme="minorHAnsi" w:cstheme="minorHAnsi"/>
          <w:bCs/>
          <w:color w:val="auto"/>
          <w:sz w:val="22"/>
          <w:szCs w:val="22"/>
        </w:rPr>
        <w:t xml:space="preserve"> </w:t>
      </w:r>
      <w:r w:rsidRPr="00226580">
        <w:rPr>
          <w:rFonts w:asciiTheme="minorHAnsi" w:hAnsiTheme="minorHAnsi" w:cstheme="minorHAnsi"/>
          <w:bCs/>
          <w:color w:val="auto"/>
          <w:sz w:val="22"/>
          <w:szCs w:val="22"/>
        </w:rPr>
        <w:t xml:space="preserve">GSTR-3B for the next tax-period, the way it is done for the Late fees at present. </w:t>
      </w:r>
    </w:p>
    <w:p w14:paraId="3C76335E" w14:textId="532056B1" w:rsidR="00226580" w:rsidRDefault="00226580" w:rsidP="00226580">
      <w:pPr>
        <w:pStyle w:val="Default"/>
        <w:spacing w:line="276" w:lineRule="auto"/>
        <w:jc w:val="both"/>
        <w:rPr>
          <w:rFonts w:asciiTheme="minorHAnsi" w:hAnsiTheme="minorHAnsi" w:cstheme="minorHAnsi"/>
          <w:bCs/>
          <w:color w:val="auto"/>
          <w:sz w:val="22"/>
          <w:szCs w:val="22"/>
        </w:rPr>
      </w:pPr>
      <w:r w:rsidRPr="00226580">
        <w:rPr>
          <w:rFonts w:asciiTheme="minorHAnsi" w:hAnsiTheme="minorHAnsi" w:cstheme="minorHAnsi"/>
          <w:bCs/>
          <w:color w:val="auto"/>
          <w:sz w:val="22"/>
          <w:szCs w:val="22"/>
        </w:rPr>
        <w:t>5. The system computed interest values auto-populated in next GSTR-3B return will be kept editable. However, the system generated PDF of filed GSTR-3B will contain both values: the System computed interest, and the user paid interest values.</w:t>
      </w:r>
    </w:p>
    <w:p w14:paraId="7B73FBD4" w14:textId="77777777" w:rsidR="00FF3529" w:rsidRDefault="00FF3529" w:rsidP="00226580">
      <w:pPr>
        <w:pStyle w:val="Default"/>
        <w:spacing w:line="276" w:lineRule="auto"/>
        <w:jc w:val="both"/>
        <w:rPr>
          <w:rFonts w:asciiTheme="minorHAnsi" w:hAnsiTheme="minorHAnsi" w:cstheme="minorHAnsi"/>
          <w:bCs/>
          <w:color w:val="auto"/>
          <w:sz w:val="22"/>
          <w:szCs w:val="22"/>
        </w:rPr>
      </w:pPr>
    </w:p>
    <w:p w14:paraId="55A08051" w14:textId="1AAAA1F7" w:rsidR="00363CF5" w:rsidRDefault="00226580" w:rsidP="00226580">
      <w:pPr>
        <w:pStyle w:val="Default"/>
        <w:spacing w:line="276" w:lineRule="auto"/>
        <w:jc w:val="both"/>
        <w:rPr>
          <w:rFonts w:asciiTheme="minorHAnsi" w:hAnsiTheme="minorHAnsi" w:cstheme="minorHAnsi"/>
          <w:bCs/>
          <w:color w:val="auto"/>
          <w:sz w:val="22"/>
          <w:szCs w:val="22"/>
        </w:rPr>
      </w:pPr>
      <w:r w:rsidRPr="00226580">
        <w:rPr>
          <w:rFonts w:asciiTheme="minorHAnsi" w:hAnsiTheme="minorHAnsi" w:cstheme="minorHAnsi"/>
          <w:bCs/>
          <w:color w:val="auto"/>
          <w:sz w:val="22"/>
          <w:szCs w:val="22"/>
        </w:rPr>
        <w:t>6. To enable taxpayers to pay interest on supplies of past periods declared in a GSTR-3B, if any, a new button has been added in GSTR-3B, called ‘Tax Liability Breakup, as applicable’, and data is to be entered by clicking this button only by those taxpayers who are making payment for liability pertaining to earlier tax-periods in the present GSTR-3B. In cases where the present GSTR-3B consists of liability only for the present period, the taxpayers can ignore this button, and continue filing their return as usual.</w:t>
      </w:r>
    </w:p>
    <w:p w14:paraId="7168CADB" w14:textId="1F143628" w:rsidR="00363CF5" w:rsidRDefault="00363CF5" w:rsidP="00226580">
      <w:pPr>
        <w:pStyle w:val="Default"/>
        <w:spacing w:line="276" w:lineRule="auto"/>
        <w:jc w:val="both"/>
        <w:rPr>
          <w:rFonts w:asciiTheme="minorHAnsi" w:hAnsiTheme="minorHAnsi" w:cstheme="minorHAnsi"/>
          <w:bCs/>
          <w:color w:val="auto"/>
          <w:sz w:val="22"/>
          <w:szCs w:val="22"/>
        </w:rPr>
      </w:pPr>
    </w:p>
    <w:p w14:paraId="2AF93354" w14:textId="13CACDE9" w:rsidR="00FF3529" w:rsidRPr="00A06DAF" w:rsidRDefault="00226580" w:rsidP="00226580">
      <w:pPr>
        <w:pStyle w:val="Default"/>
        <w:spacing w:line="276" w:lineRule="auto"/>
        <w:jc w:val="both"/>
        <w:rPr>
          <w:rFonts w:asciiTheme="minorHAnsi" w:hAnsiTheme="minorHAnsi" w:cstheme="minorHAnsi"/>
          <w:b/>
          <w:color w:val="auto"/>
          <w:sz w:val="22"/>
          <w:szCs w:val="22"/>
        </w:rPr>
      </w:pPr>
      <w:r w:rsidRPr="00A06DAF">
        <w:rPr>
          <w:rFonts w:asciiTheme="minorHAnsi" w:hAnsiTheme="minorHAnsi" w:cstheme="minorHAnsi"/>
          <w:b/>
        </w:rPr>
        <w:t>Changes in user experience</w:t>
      </w:r>
      <w:r w:rsidR="00363CF5" w:rsidRPr="00A06DAF">
        <w:rPr>
          <w:rFonts w:asciiTheme="minorHAnsi" w:hAnsiTheme="minorHAnsi" w:cstheme="minorHAnsi"/>
          <w:b/>
        </w:rPr>
        <w:t>:</w:t>
      </w:r>
    </w:p>
    <w:p w14:paraId="63156721" w14:textId="664A208F" w:rsidR="00226580" w:rsidRDefault="00226580" w:rsidP="00226580">
      <w:pPr>
        <w:pStyle w:val="Default"/>
        <w:spacing w:line="276" w:lineRule="auto"/>
        <w:jc w:val="both"/>
        <w:rPr>
          <w:rFonts w:asciiTheme="minorHAnsi" w:hAnsiTheme="minorHAnsi" w:cstheme="minorHAnsi"/>
          <w:bCs/>
          <w:color w:val="auto"/>
          <w:sz w:val="22"/>
          <w:szCs w:val="22"/>
        </w:rPr>
      </w:pPr>
      <w:r w:rsidRPr="00226580">
        <w:rPr>
          <w:rFonts w:asciiTheme="minorHAnsi" w:hAnsiTheme="minorHAnsi" w:cstheme="minorHAnsi"/>
          <w:bCs/>
          <w:color w:val="auto"/>
          <w:sz w:val="22"/>
          <w:szCs w:val="22"/>
        </w:rPr>
        <w:t xml:space="preserve">7. After the interest calculator is enabled on the GST Portal, there will be no change in the user experience for the taxpayers. For those who have filed the previous return after due date, the interest would be </w:t>
      </w:r>
      <w:proofErr w:type="gramStart"/>
      <w:r w:rsidRPr="00226580">
        <w:rPr>
          <w:rFonts w:asciiTheme="minorHAnsi" w:hAnsiTheme="minorHAnsi" w:cstheme="minorHAnsi"/>
          <w:bCs/>
          <w:color w:val="auto"/>
          <w:sz w:val="22"/>
          <w:szCs w:val="22"/>
        </w:rPr>
        <w:t>auto-calculated</w:t>
      </w:r>
      <w:proofErr w:type="gramEnd"/>
      <w:r w:rsidRPr="00226580">
        <w:rPr>
          <w:rFonts w:asciiTheme="minorHAnsi" w:hAnsiTheme="minorHAnsi" w:cstheme="minorHAnsi"/>
          <w:bCs/>
          <w:color w:val="auto"/>
          <w:sz w:val="22"/>
          <w:szCs w:val="22"/>
        </w:rPr>
        <w:t xml:space="preserve"> and populated assuming that the entire liability pertained to that tax period. The taxpayer would still have the facility to provide the break-up of liability of the past period(s) to pay the correct interest using the ‘Tax Liability Breakup, as applicable’ button. For details of declaring tax-period wise tax liability, please refer to the Annexure</w:t>
      </w:r>
      <w:r>
        <w:rPr>
          <w:rFonts w:asciiTheme="minorHAnsi" w:hAnsiTheme="minorHAnsi" w:cstheme="minorHAnsi"/>
          <w:bCs/>
          <w:color w:val="auto"/>
          <w:sz w:val="22"/>
          <w:szCs w:val="22"/>
        </w:rPr>
        <w:t xml:space="preserve"> in the portal</w:t>
      </w:r>
      <w:r w:rsidR="00363CF5">
        <w:rPr>
          <w:rFonts w:asciiTheme="minorHAnsi" w:hAnsiTheme="minorHAnsi" w:cstheme="minorHAnsi"/>
          <w:bCs/>
          <w:color w:val="auto"/>
          <w:sz w:val="22"/>
          <w:szCs w:val="22"/>
        </w:rPr>
        <w:t xml:space="preserve"> www.gst.gov.in</w:t>
      </w:r>
      <w:r w:rsidRPr="00226580">
        <w:rPr>
          <w:rFonts w:asciiTheme="minorHAnsi" w:hAnsiTheme="minorHAnsi" w:cstheme="minorHAnsi"/>
          <w:bCs/>
          <w:color w:val="auto"/>
          <w:sz w:val="22"/>
          <w:szCs w:val="22"/>
        </w:rPr>
        <w:t>.</w:t>
      </w:r>
    </w:p>
    <w:p w14:paraId="71125C72" w14:textId="77777777" w:rsidR="00FF3529" w:rsidRDefault="00FF3529" w:rsidP="00226580">
      <w:pPr>
        <w:pStyle w:val="Default"/>
        <w:spacing w:line="276" w:lineRule="auto"/>
        <w:jc w:val="both"/>
        <w:rPr>
          <w:rFonts w:asciiTheme="minorHAnsi" w:hAnsiTheme="minorHAnsi" w:cstheme="minorHAnsi"/>
          <w:bCs/>
          <w:color w:val="auto"/>
          <w:sz w:val="22"/>
          <w:szCs w:val="22"/>
        </w:rPr>
      </w:pPr>
    </w:p>
    <w:p w14:paraId="47A03C76" w14:textId="44D001A3" w:rsidR="00226580" w:rsidRDefault="00226580" w:rsidP="00226580">
      <w:pPr>
        <w:pStyle w:val="Default"/>
        <w:spacing w:line="276" w:lineRule="auto"/>
        <w:jc w:val="both"/>
        <w:rPr>
          <w:rFonts w:asciiTheme="minorHAnsi" w:hAnsiTheme="minorHAnsi" w:cstheme="minorHAnsi"/>
          <w:bCs/>
          <w:color w:val="auto"/>
          <w:sz w:val="22"/>
          <w:szCs w:val="22"/>
        </w:rPr>
      </w:pPr>
      <w:r w:rsidRPr="00226580">
        <w:rPr>
          <w:rFonts w:asciiTheme="minorHAnsi" w:hAnsiTheme="minorHAnsi" w:cstheme="minorHAnsi"/>
          <w:bCs/>
          <w:color w:val="auto"/>
          <w:sz w:val="22"/>
          <w:szCs w:val="22"/>
        </w:rPr>
        <w:t>8. This facilitation measure is expected to assist the taxpayers by helping them with calculation of correct interest while filing of GSTR-3B and will thus improve ease in filing return under GST.</w:t>
      </w:r>
    </w:p>
    <w:p w14:paraId="667AB113" w14:textId="77777777" w:rsidR="00FF3529" w:rsidRDefault="00FF3529" w:rsidP="00226580">
      <w:pPr>
        <w:pStyle w:val="Default"/>
        <w:spacing w:line="276" w:lineRule="auto"/>
        <w:jc w:val="both"/>
        <w:rPr>
          <w:rFonts w:asciiTheme="minorHAnsi" w:hAnsiTheme="minorHAnsi" w:cstheme="minorHAnsi"/>
          <w:bCs/>
          <w:color w:val="auto"/>
          <w:sz w:val="22"/>
          <w:szCs w:val="22"/>
        </w:rPr>
      </w:pPr>
    </w:p>
    <w:p w14:paraId="5C985713" w14:textId="59CC60C1" w:rsidR="00363CF5" w:rsidRPr="00765611" w:rsidRDefault="00226580" w:rsidP="00226580">
      <w:pPr>
        <w:pStyle w:val="Default"/>
        <w:spacing w:line="276" w:lineRule="auto"/>
        <w:jc w:val="both"/>
        <w:rPr>
          <w:rFonts w:asciiTheme="minorHAnsi" w:hAnsiTheme="minorHAnsi" w:cstheme="minorHAnsi"/>
          <w:bCs/>
          <w:lang w:val="en-IN"/>
        </w:rPr>
      </w:pPr>
      <w:r w:rsidRPr="00226580">
        <w:rPr>
          <w:rFonts w:asciiTheme="minorHAnsi" w:hAnsiTheme="minorHAnsi" w:cstheme="minorHAnsi"/>
          <w:bCs/>
          <w:color w:val="auto"/>
          <w:sz w:val="22"/>
          <w:szCs w:val="22"/>
        </w:rPr>
        <w:t>9. This functionality will be made available on the GST Portal shortly, and the same will be intimated to the taxpayers.</w:t>
      </w:r>
      <w:r w:rsidR="00363CF5">
        <w:rPr>
          <w:rFonts w:asciiTheme="minorHAnsi" w:hAnsiTheme="minorHAnsi" w:cstheme="minorHAnsi"/>
          <w:bCs/>
          <w:color w:val="auto"/>
          <w:sz w:val="22"/>
          <w:szCs w:val="22"/>
        </w:rPr>
        <w:t xml:space="preserve"> </w:t>
      </w:r>
      <w:r w:rsidRPr="00226580">
        <w:rPr>
          <w:rFonts w:asciiTheme="minorHAnsi" w:hAnsiTheme="minorHAnsi" w:cstheme="minorHAnsi"/>
          <w:bCs/>
          <w:color w:val="auto"/>
          <w:sz w:val="22"/>
          <w:szCs w:val="22"/>
        </w:rPr>
        <w:t>The details about functionality on computation of the interest, along with sample screenshots, are as per the Annexur</w:t>
      </w:r>
      <w:r w:rsidR="00371BE7">
        <w:rPr>
          <w:rFonts w:asciiTheme="minorHAnsi" w:hAnsiTheme="minorHAnsi" w:cstheme="minorHAnsi"/>
          <w:bCs/>
          <w:color w:val="auto"/>
          <w:sz w:val="22"/>
          <w:szCs w:val="22"/>
        </w:rPr>
        <w:t>e</w:t>
      </w:r>
      <w:r w:rsidR="00363CF5">
        <w:rPr>
          <w:rFonts w:asciiTheme="minorHAnsi" w:hAnsiTheme="minorHAnsi" w:cstheme="minorHAnsi"/>
          <w:bCs/>
          <w:color w:val="auto"/>
          <w:sz w:val="22"/>
          <w:szCs w:val="22"/>
        </w:rPr>
        <w:t xml:space="preserve"> provided in the Advisory</w:t>
      </w:r>
      <w:r w:rsidRPr="00226580">
        <w:rPr>
          <w:rFonts w:asciiTheme="minorHAnsi" w:hAnsiTheme="minorHAnsi" w:cstheme="minorHAnsi"/>
          <w:bCs/>
          <w:color w:val="auto"/>
          <w:sz w:val="22"/>
          <w:szCs w:val="22"/>
        </w:rPr>
        <w:t>.</w:t>
      </w:r>
    </w:p>
    <w:p w14:paraId="4935EBC9" w14:textId="77777777" w:rsidR="00613F61" w:rsidRDefault="00613F61" w:rsidP="00A06DAF">
      <w:pPr>
        <w:pStyle w:val="Default"/>
        <w:spacing w:line="276" w:lineRule="auto"/>
        <w:jc w:val="both"/>
        <w:rPr>
          <w:shd w:val="clear" w:color="auto" w:fill="FFFFFF"/>
          <w:lang w:val="en-IN"/>
        </w:rPr>
      </w:pPr>
    </w:p>
    <w:p w14:paraId="34A35503" w14:textId="153268A6" w:rsidR="00371BE7" w:rsidRDefault="00371BE7" w:rsidP="00371BE7">
      <w:pPr>
        <w:pStyle w:val="Default"/>
        <w:spacing w:line="276" w:lineRule="auto"/>
        <w:jc w:val="both"/>
        <w:rPr>
          <w:rFonts w:asciiTheme="minorHAnsi" w:hAnsiTheme="minorHAnsi" w:cstheme="minorHAnsi"/>
          <w:b/>
          <w:bCs/>
          <w:sz w:val="22"/>
          <w:szCs w:val="22"/>
          <w:shd w:val="clear" w:color="auto" w:fill="FFFFFF"/>
        </w:rPr>
      </w:pPr>
      <w:r w:rsidRPr="00B24A8E">
        <w:rPr>
          <w:rFonts w:asciiTheme="minorHAnsi" w:hAnsiTheme="minorHAnsi" w:cstheme="minorHAnsi"/>
          <w:b/>
          <w:bCs/>
          <w:sz w:val="22"/>
          <w:szCs w:val="22"/>
          <w:shd w:val="clear" w:color="auto" w:fill="FFFFFF"/>
        </w:rPr>
        <w:t xml:space="preserve">[For further details please refer to the </w:t>
      </w:r>
      <w:r>
        <w:rPr>
          <w:rFonts w:asciiTheme="minorHAnsi" w:hAnsiTheme="minorHAnsi" w:cstheme="minorHAnsi"/>
          <w:b/>
          <w:bCs/>
          <w:sz w:val="22"/>
          <w:szCs w:val="22"/>
          <w:shd w:val="clear" w:color="auto" w:fill="FFFFFF"/>
        </w:rPr>
        <w:t>Advisory</w:t>
      </w:r>
      <w:r w:rsidRPr="00B24A8E">
        <w:rPr>
          <w:rFonts w:asciiTheme="minorHAnsi" w:hAnsiTheme="minorHAnsi" w:cstheme="minorHAnsi"/>
          <w:b/>
          <w:bCs/>
          <w:sz w:val="22"/>
          <w:szCs w:val="22"/>
          <w:shd w:val="clear" w:color="auto" w:fill="FFFFFF"/>
        </w:rPr>
        <w:t>]</w:t>
      </w:r>
    </w:p>
    <w:p w14:paraId="0125B374" w14:textId="7AF5F7F2" w:rsidR="00371BE7" w:rsidRPr="00613F61" w:rsidRDefault="00371BE7" w:rsidP="00D26635">
      <w:pPr>
        <w:pStyle w:val="Default"/>
        <w:spacing w:line="360" w:lineRule="auto"/>
        <w:jc w:val="both"/>
        <w:rPr>
          <w:shd w:val="clear" w:color="auto" w:fill="FFFFFF"/>
          <w:lang w:val="en-IN"/>
        </w:rPr>
        <w:sectPr w:rsidR="00371BE7" w:rsidRPr="00613F61" w:rsidSect="006245F0">
          <w:headerReference w:type="default" r:id="rId29"/>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520A4D72" w:rsidR="00D14461" w:rsidRPr="008A2360" w:rsidRDefault="00D14461" w:rsidP="00D14461">
      <w:pPr>
        <w:pStyle w:val="highlight"/>
        <w:tabs>
          <w:tab w:val="left" w:pos="4820"/>
        </w:tabs>
        <w:spacing w:line="360" w:lineRule="auto"/>
        <w:ind w:left="0" w:right="0"/>
        <w:rPr>
          <w:b/>
          <w:noProof/>
          <w:color w:val="000000" w:themeColor="text1"/>
          <w:sz w:val="22"/>
          <w:szCs w:val="22"/>
          <w:u w:val="none"/>
          <w:lang w:val="en-US"/>
        </w:rPr>
      </w:pPr>
      <w:r>
        <w:rPr>
          <w:b/>
          <w:bCs/>
          <w:noProof/>
          <w:color w:val="FFFFFF" w:themeColor="background1"/>
          <w:sz w:val="22"/>
          <w:szCs w:val="22"/>
          <w:u w:val="none"/>
          <w:lang w:val="en-US"/>
        </w:rPr>
        <w:lastRenderedPageBreak/>
        <w:t xml:space="preserve">                                     </w:t>
      </w:r>
      <w:r w:rsidR="008A2360">
        <w:rPr>
          <w:b/>
          <w:bCs/>
          <w:noProof/>
          <w:color w:val="FFFFFF" w:themeColor="background1"/>
          <w:sz w:val="22"/>
          <w:szCs w:val="22"/>
          <w:u w:val="none"/>
          <w:lang w:val="en-US"/>
        </w:rPr>
        <w:t>DISCUSSION</w:t>
      </w:r>
    </w:p>
    <w:p w14:paraId="3DAD17B4" w14:textId="0AA624F6" w:rsidR="00B71F42" w:rsidRPr="002314FC" w:rsidRDefault="00D7723D" w:rsidP="00A06DAF">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D7723D">
        <w:rPr>
          <w:rFonts w:asciiTheme="minorHAnsi" w:hAnsiTheme="minorHAnsi" w:cstheme="minorHAnsi"/>
          <w:b/>
          <w:bCs/>
          <w:caps/>
          <w:color w:val="000000" w:themeColor="text1"/>
          <w:lang w:val="en-IN"/>
        </w:rPr>
        <w:t>Understanding Forex Transactions with Associated Risks</w:t>
      </w:r>
    </w:p>
    <w:p w14:paraId="4534EAE4" w14:textId="49D082A2" w:rsidR="00425B18" w:rsidRDefault="00C52DE1" w:rsidP="00425B18">
      <w:pPr>
        <w:pStyle w:val="NormalWeb"/>
        <w:shd w:val="clear" w:color="auto" w:fill="FFFFFF"/>
        <w:spacing w:after="150" w:line="276" w:lineRule="auto"/>
        <w:jc w:val="both"/>
        <w:rPr>
          <w:rFonts w:asciiTheme="minorHAnsi" w:hAnsiTheme="minorHAnsi" w:cstheme="minorHAnsi"/>
          <w:sz w:val="22"/>
          <w:szCs w:val="22"/>
        </w:rPr>
      </w:pPr>
      <w:r w:rsidRPr="00C3664A">
        <w:rPr>
          <w:rFonts w:asciiTheme="minorHAnsi" w:hAnsiTheme="minorHAnsi" w:cstheme="minorHAnsi"/>
          <w:b/>
          <w:sz w:val="22"/>
          <w:szCs w:val="22"/>
        </w:rPr>
        <w:t>OUR COMMENTS</w:t>
      </w:r>
      <w:r w:rsidR="00D7723D">
        <w:rPr>
          <w:rFonts w:asciiTheme="minorHAnsi" w:hAnsiTheme="minorHAnsi" w:cstheme="minorHAnsi"/>
          <w:b/>
          <w:sz w:val="22"/>
          <w:szCs w:val="22"/>
        </w:rPr>
        <w:t>:</w:t>
      </w:r>
      <w:r w:rsidR="0067309F">
        <w:rPr>
          <w:rFonts w:asciiTheme="minorHAnsi" w:hAnsiTheme="minorHAnsi" w:cstheme="minorHAnsi"/>
          <w:b/>
          <w:sz w:val="22"/>
          <w:szCs w:val="22"/>
        </w:rPr>
        <w:t xml:space="preserve"> </w:t>
      </w:r>
      <w:r w:rsidR="009D29D8" w:rsidRPr="009D29D8">
        <w:rPr>
          <w:rFonts w:asciiTheme="minorHAnsi" w:hAnsiTheme="minorHAnsi" w:cstheme="minorHAnsi"/>
          <w:sz w:val="22"/>
          <w:szCs w:val="22"/>
        </w:rPr>
        <w:t xml:space="preserve">Foreign exchange transaction refers to converting currency of one country to that of the other to settle payments. Risk is an integral part of every forex transaction. </w:t>
      </w:r>
      <w:proofErr w:type="gramStart"/>
      <w:r w:rsidR="009D29D8" w:rsidRPr="009D29D8">
        <w:rPr>
          <w:rFonts w:asciiTheme="minorHAnsi" w:hAnsiTheme="minorHAnsi" w:cstheme="minorHAnsi"/>
          <w:sz w:val="22"/>
          <w:szCs w:val="22"/>
        </w:rPr>
        <w:t>But,</w:t>
      </w:r>
      <w:proofErr w:type="gramEnd"/>
      <w:r w:rsidR="009D29D8" w:rsidRPr="009D29D8">
        <w:rPr>
          <w:rFonts w:asciiTheme="minorHAnsi" w:hAnsiTheme="minorHAnsi" w:cstheme="minorHAnsi"/>
          <w:sz w:val="22"/>
          <w:szCs w:val="22"/>
        </w:rPr>
        <w:t xml:space="preserve"> it can be minimised and the investor can gain greater control over the profits and losses of the trade if a strategic and planned approach is followed.</w:t>
      </w:r>
      <w:r w:rsidR="009D29D8">
        <w:rPr>
          <w:rFonts w:asciiTheme="minorHAnsi" w:hAnsiTheme="minorHAnsi" w:cstheme="minorHAnsi"/>
          <w:sz w:val="22"/>
          <w:szCs w:val="22"/>
        </w:rPr>
        <w:t xml:space="preserve"> </w:t>
      </w:r>
      <w:r w:rsidR="009D29D8" w:rsidRPr="00D7723D">
        <w:rPr>
          <w:rFonts w:asciiTheme="minorHAnsi" w:hAnsiTheme="minorHAnsi" w:cstheme="minorHAnsi"/>
          <w:sz w:val="22"/>
          <w:szCs w:val="22"/>
        </w:rPr>
        <w:t>Forex Transactions indicate the sale and purchase of foreign currencies. It is an agreement of exchanging currency of one country for the currency of the other at an agreed exchange rate on a pre-determined date.</w:t>
      </w:r>
    </w:p>
    <w:p w14:paraId="43AB0BDD" w14:textId="7AD62C2A" w:rsidR="00D7723D" w:rsidRPr="00D7723D" w:rsidRDefault="00D7723D" w:rsidP="00D7723D">
      <w:pPr>
        <w:pStyle w:val="NormalWeb"/>
        <w:shd w:val="clear" w:color="auto" w:fill="FFFFFF"/>
        <w:spacing w:after="150" w:line="360" w:lineRule="auto"/>
        <w:jc w:val="both"/>
        <w:rPr>
          <w:rFonts w:asciiTheme="minorHAnsi" w:hAnsiTheme="minorHAnsi" w:cstheme="minorHAnsi"/>
          <w:sz w:val="22"/>
          <w:szCs w:val="22"/>
        </w:rPr>
      </w:pPr>
      <w:r w:rsidRPr="00D7723D">
        <w:rPr>
          <w:rFonts w:asciiTheme="minorHAnsi" w:hAnsiTheme="minorHAnsi" w:cstheme="minorHAnsi"/>
          <w:b/>
          <w:bCs/>
          <w:sz w:val="22"/>
          <w:szCs w:val="22"/>
          <w:u w:val="single"/>
        </w:rPr>
        <w:t>Different types of foreign exchange transactions</w:t>
      </w:r>
      <w:r w:rsidR="009D29D8">
        <w:rPr>
          <w:rFonts w:asciiTheme="minorHAnsi" w:hAnsiTheme="minorHAnsi" w:cstheme="minorHAnsi"/>
          <w:b/>
          <w:bCs/>
          <w:sz w:val="22"/>
          <w:szCs w:val="22"/>
          <w:u w:val="single"/>
        </w:rPr>
        <w:t>:</w:t>
      </w:r>
    </w:p>
    <w:p w14:paraId="1C34BF22" w14:textId="77777777" w:rsidR="009D29D8" w:rsidRPr="00DC0FDF" w:rsidRDefault="009D29D8" w:rsidP="009D29D8">
      <w:pPr>
        <w:pStyle w:val="NormalWeb"/>
        <w:numPr>
          <w:ilvl w:val="1"/>
          <w:numId w:val="2"/>
        </w:numPr>
        <w:spacing w:before="0" w:beforeAutospacing="0" w:after="0" w:afterAutospacing="0" w:line="360" w:lineRule="auto"/>
        <w:ind w:left="284" w:hanging="284"/>
        <w:jc w:val="both"/>
        <w:rPr>
          <w:rFonts w:asciiTheme="minorHAnsi" w:hAnsiTheme="minorHAnsi" w:cstheme="minorHAnsi"/>
          <w:b/>
          <w:bCs/>
          <w:sz w:val="22"/>
          <w:szCs w:val="22"/>
        </w:rPr>
      </w:pPr>
      <w:r w:rsidRPr="00DC0FDF">
        <w:rPr>
          <w:rFonts w:asciiTheme="minorHAnsi" w:hAnsiTheme="minorHAnsi" w:cstheme="minorHAnsi"/>
          <w:b/>
          <w:bCs/>
          <w:sz w:val="22"/>
          <w:szCs w:val="22"/>
        </w:rPr>
        <w:t>Forward Transaction</w:t>
      </w:r>
    </w:p>
    <w:p w14:paraId="2E953C64" w14:textId="09D10377" w:rsidR="009D29D8" w:rsidRDefault="009D29D8" w:rsidP="009D29D8">
      <w:pPr>
        <w:pStyle w:val="NormalWeb"/>
        <w:spacing w:before="0" w:beforeAutospacing="0" w:after="0" w:afterAutospacing="0" w:line="360" w:lineRule="auto"/>
        <w:jc w:val="both"/>
        <w:rPr>
          <w:rFonts w:asciiTheme="minorHAnsi" w:hAnsiTheme="minorHAnsi" w:cstheme="minorHAnsi"/>
          <w:sz w:val="22"/>
          <w:szCs w:val="22"/>
        </w:rPr>
      </w:pPr>
      <w:r w:rsidRPr="00D7723D">
        <w:rPr>
          <w:rFonts w:asciiTheme="minorHAnsi" w:hAnsiTheme="minorHAnsi" w:cstheme="minorHAnsi"/>
          <w:sz w:val="22"/>
          <w:szCs w:val="22"/>
        </w:rPr>
        <w:t>In forward transactions, the buyer and seller agree to sell and purchase currency after 90 days of the agreement at a fixed exchange rate called </w:t>
      </w:r>
      <w:r w:rsidRPr="00DC0FDF">
        <w:rPr>
          <w:rFonts w:asciiTheme="minorHAnsi" w:hAnsiTheme="minorHAnsi" w:cstheme="minorHAnsi"/>
          <w:sz w:val="22"/>
          <w:szCs w:val="22"/>
        </w:rPr>
        <w:t>Forward Exchange Rate</w:t>
      </w:r>
      <w:r w:rsidRPr="00D7723D">
        <w:rPr>
          <w:rFonts w:asciiTheme="minorHAnsi" w:hAnsiTheme="minorHAnsi" w:cstheme="minorHAnsi"/>
          <w:sz w:val="22"/>
          <w:szCs w:val="22"/>
        </w:rPr>
        <w:t> on a pre-determined date. Forward transactions take place in Forward Market.</w:t>
      </w:r>
      <w:r>
        <w:rPr>
          <w:rFonts w:asciiTheme="minorHAnsi" w:hAnsiTheme="minorHAnsi" w:cstheme="minorHAnsi"/>
          <w:sz w:val="22"/>
          <w:szCs w:val="22"/>
        </w:rPr>
        <w:t xml:space="preserve"> </w:t>
      </w:r>
    </w:p>
    <w:p w14:paraId="23651D97" w14:textId="77777777" w:rsidR="009D29D8" w:rsidRPr="00D7723D" w:rsidRDefault="009D29D8" w:rsidP="009D29D8">
      <w:pPr>
        <w:pStyle w:val="NormalWeb"/>
        <w:spacing w:before="0" w:beforeAutospacing="0" w:after="0" w:afterAutospacing="0" w:line="360" w:lineRule="auto"/>
        <w:jc w:val="both"/>
        <w:rPr>
          <w:rFonts w:asciiTheme="minorHAnsi" w:hAnsiTheme="minorHAnsi" w:cstheme="minorHAnsi"/>
          <w:sz w:val="22"/>
          <w:szCs w:val="22"/>
        </w:rPr>
      </w:pPr>
    </w:p>
    <w:p w14:paraId="719F62C8" w14:textId="3B74E2FD" w:rsidR="00D7723D" w:rsidRPr="00A06DAF" w:rsidRDefault="00D7723D" w:rsidP="00A06DAF">
      <w:pPr>
        <w:pStyle w:val="NormalWeb"/>
        <w:numPr>
          <w:ilvl w:val="1"/>
          <w:numId w:val="2"/>
        </w:numPr>
        <w:spacing w:before="0" w:beforeAutospacing="0" w:after="0" w:afterAutospacing="0" w:line="360" w:lineRule="auto"/>
        <w:ind w:left="284" w:hanging="284"/>
        <w:jc w:val="both"/>
        <w:rPr>
          <w:rFonts w:asciiTheme="minorHAnsi" w:hAnsiTheme="minorHAnsi" w:cstheme="minorHAnsi"/>
          <w:b/>
          <w:bCs/>
          <w:sz w:val="22"/>
          <w:szCs w:val="22"/>
        </w:rPr>
      </w:pPr>
      <w:r w:rsidRPr="00A06DAF">
        <w:rPr>
          <w:rFonts w:asciiTheme="minorHAnsi" w:hAnsiTheme="minorHAnsi" w:cstheme="minorHAnsi"/>
          <w:b/>
          <w:bCs/>
          <w:sz w:val="22"/>
          <w:szCs w:val="22"/>
        </w:rPr>
        <w:t>Future Transaction</w:t>
      </w:r>
    </w:p>
    <w:p w14:paraId="7FB0F298" w14:textId="4A721143" w:rsidR="00872C61" w:rsidRDefault="00D7723D" w:rsidP="00872C61">
      <w:pPr>
        <w:pStyle w:val="NormalWeb"/>
        <w:spacing w:before="0" w:beforeAutospacing="0" w:after="0" w:afterAutospacing="0" w:line="360" w:lineRule="auto"/>
        <w:jc w:val="both"/>
        <w:rPr>
          <w:rFonts w:asciiTheme="minorHAnsi" w:hAnsiTheme="minorHAnsi" w:cstheme="minorHAnsi"/>
          <w:sz w:val="22"/>
          <w:szCs w:val="22"/>
        </w:rPr>
      </w:pPr>
      <w:r w:rsidRPr="00D7723D">
        <w:rPr>
          <w:rFonts w:asciiTheme="minorHAnsi" w:hAnsiTheme="minorHAnsi" w:cstheme="minorHAnsi"/>
          <w:sz w:val="22"/>
          <w:szCs w:val="22"/>
        </w:rPr>
        <w:t xml:space="preserve">The primary mechanism of future transactions is </w:t>
      </w:r>
      <w:proofErr w:type="gramStart"/>
      <w:r w:rsidRPr="00D7723D">
        <w:rPr>
          <w:rFonts w:asciiTheme="minorHAnsi" w:hAnsiTheme="minorHAnsi" w:cstheme="minorHAnsi"/>
          <w:sz w:val="22"/>
          <w:szCs w:val="22"/>
        </w:rPr>
        <w:t>similar to</w:t>
      </w:r>
      <w:proofErr w:type="gramEnd"/>
      <w:r w:rsidRPr="00D7723D">
        <w:rPr>
          <w:rFonts w:asciiTheme="minorHAnsi" w:hAnsiTheme="minorHAnsi" w:cstheme="minorHAnsi"/>
          <w:sz w:val="22"/>
          <w:szCs w:val="22"/>
        </w:rPr>
        <w:t xml:space="preserve"> that of forward transactions. However, future transactions are more rigid and standardized as compared to forward transactions in terms of features, </w:t>
      </w:r>
      <w:proofErr w:type="gramStart"/>
      <w:r w:rsidRPr="00D7723D">
        <w:rPr>
          <w:rFonts w:asciiTheme="minorHAnsi" w:hAnsiTheme="minorHAnsi" w:cstheme="minorHAnsi"/>
          <w:sz w:val="22"/>
          <w:szCs w:val="22"/>
        </w:rPr>
        <w:t>date</w:t>
      </w:r>
      <w:proofErr w:type="gramEnd"/>
      <w:r w:rsidRPr="00D7723D">
        <w:rPr>
          <w:rFonts w:asciiTheme="minorHAnsi" w:hAnsiTheme="minorHAnsi" w:cstheme="minorHAnsi"/>
          <w:sz w:val="22"/>
          <w:szCs w:val="22"/>
        </w:rPr>
        <w:t xml:space="preserve"> and size. Also, an opening margin is fixed in future transactions and kept as collateral to establish a future position.</w:t>
      </w:r>
    </w:p>
    <w:p w14:paraId="2194990D" w14:textId="77777777" w:rsidR="00872C61" w:rsidRPr="00A06DAF" w:rsidRDefault="00872C61" w:rsidP="00A06DAF">
      <w:pPr>
        <w:pStyle w:val="NormalWeb"/>
        <w:spacing w:before="0" w:beforeAutospacing="0" w:after="0" w:afterAutospacing="0" w:line="360" w:lineRule="auto"/>
        <w:ind w:left="284"/>
        <w:jc w:val="both"/>
        <w:rPr>
          <w:rFonts w:asciiTheme="minorHAnsi" w:hAnsiTheme="minorHAnsi" w:cstheme="minorHAnsi"/>
          <w:b/>
          <w:bCs/>
          <w:sz w:val="22"/>
          <w:szCs w:val="22"/>
        </w:rPr>
      </w:pPr>
    </w:p>
    <w:p w14:paraId="59659BB0" w14:textId="77777777" w:rsidR="00D7723D" w:rsidRPr="00A06DAF" w:rsidRDefault="00D7723D" w:rsidP="00A06DAF">
      <w:pPr>
        <w:pStyle w:val="NormalWeb"/>
        <w:numPr>
          <w:ilvl w:val="1"/>
          <w:numId w:val="2"/>
        </w:numPr>
        <w:spacing w:before="0" w:beforeAutospacing="0" w:after="0" w:afterAutospacing="0" w:line="360" w:lineRule="auto"/>
        <w:ind w:left="284" w:hanging="284"/>
        <w:jc w:val="both"/>
        <w:rPr>
          <w:rFonts w:asciiTheme="minorHAnsi" w:hAnsiTheme="minorHAnsi" w:cstheme="minorHAnsi"/>
          <w:b/>
          <w:bCs/>
          <w:sz w:val="22"/>
          <w:szCs w:val="22"/>
        </w:rPr>
      </w:pPr>
      <w:r w:rsidRPr="00A06DAF">
        <w:rPr>
          <w:rFonts w:asciiTheme="minorHAnsi" w:hAnsiTheme="minorHAnsi" w:cstheme="minorHAnsi"/>
          <w:b/>
          <w:bCs/>
          <w:sz w:val="22"/>
          <w:szCs w:val="22"/>
        </w:rPr>
        <w:t>Option Transactions</w:t>
      </w:r>
    </w:p>
    <w:p w14:paraId="6783B57B" w14:textId="57635DF9" w:rsidR="00D7723D" w:rsidRDefault="00D7723D" w:rsidP="00872C61">
      <w:pPr>
        <w:pStyle w:val="NormalWeb"/>
        <w:spacing w:before="0" w:beforeAutospacing="0" w:after="0" w:afterAutospacing="0" w:line="360" w:lineRule="auto"/>
        <w:jc w:val="both"/>
        <w:rPr>
          <w:rFonts w:asciiTheme="minorHAnsi" w:hAnsiTheme="minorHAnsi" w:cstheme="minorHAnsi"/>
          <w:sz w:val="22"/>
          <w:szCs w:val="22"/>
        </w:rPr>
      </w:pPr>
      <w:r w:rsidRPr="00D7723D">
        <w:rPr>
          <w:rFonts w:asciiTheme="minorHAnsi" w:hAnsiTheme="minorHAnsi" w:cstheme="minorHAnsi"/>
          <w:sz w:val="22"/>
          <w:szCs w:val="22"/>
        </w:rPr>
        <w:t xml:space="preserve">Under option transactions, an investor acquires the right to exchange the currency in one denomination to another at a fixed exchange rate on a pre-determined date. However, he is not obligated to exercise the option. An </w:t>
      </w:r>
      <w:r w:rsidRPr="00D7723D">
        <w:rPr>
          <w:rFonts w:asciiTheme="minorHAnsi" w:hAnsiTheme="minorHAnsi" w:cstheme="minorHAnsi"/>
          <w:sz w:val="22"/>
          <w:szCs w:val="22"/>
        </w:rPr>
        <w:t>option to buy the currency is called a Call Option, while selling the currency is called a Put Option.</w:t>
      </w:r>
    </w:p>
    <w:p w14:paraId="1A18F9D2" w14:textId="77777777" w:rsidR="00872C61" w:rsidRDefault="00872C61" w:rsidP="00A06DAF">
      <w:pPr>
        <w:pStyle w:val="NormalWeb"/>
        <w:spacing w:before="0" w:beforeAutospacing="0" w:after="0" w:afterAutospacing="0" w:line="360" w:lineRule="auto"/>
        <w:jc w:val="both"/>
        <w:rPr>
          <w:rFonts w:asciiTheme="minorHAnsi" w:hAnsiTheme="minorHAnsi" w:cstheme="minorHAnsi"/>
          <w:sz w:val="22"/>
          <w:szCs w:val="22"/>
        </w:rPr>
      </w:pPr>
    </w:p>
    <w:p w14:paraId="231BF738" w14:textId="543EB04E" w:rsidR="00D7723D" w:rsidRPr="00A06DAF" w:rsidRDefault="00D7723D" w:rsidP="00A06DAF">
      <w:pPr>
        <w:pStyle w:val="NormalWeb"/>
        <w:numPr>
          <w:ilvl w:val="1"/>
          <w:numId w:val="2"/>
        </w:numPr>
        <w:spacing w:before="0" w:beforeAutospacing="0" w:after="0" w:afterAutospacing="0" w:line="360" w:lineRule="auto"/>
        <w:ind w:left="284" w:hanging="284"/>
        <w:jc w:val="both"/>
        <w:rPr>
          <w:rFonts w:asciiTheme="minorHAnsi" w:hAnsiTheme="minorHAnsi" w:cstheme="minorHAnsi"/>
          <w:b/>
          <w:bCs/>
          <w:sz w:val="22"/>
          <w:szCs w:val="22"/>
        </w:rPr>
      </w:pPr>
      <w:r w:rsidRPr="00A06DAF">
        <w:rPr>
          <w:rFonts w:asciiTheme="minorHAnsi" w:hAnsiTheme="minorHAnsi" w:cstheme="minorHAnsi"/>
          <w:b/>
          <w:bCs/>
          <w:sz w:val="22"/>
          <w:szCs w:val="22"/>
        </w:rPr>
        <w:t>Swap Transactions</w:t>
      </w:r>
    </w:p>
    <w:p w14:paraId="147B1DD9" w14:textId="4354E61A" w:rsidR="00D7723D" w:rsidRPr="00D7723D" w:rsidRDefault="00D7723D" w:rsidP="00D7723D">
      <w:pPr>
        <w:pStyle w:val="NormalWeb"/>
        <w:spacing w:after="150" w:line="360" w:lineRule="auto"/>
        <w:jc w:val="both"/>
        <w:rPr>
          <w:rFonts w:asciiTheme="minorHAnsi" w:hAnsiTheme="minorHAnsi" w:cstheme="minorHAnsi"/>
          <w:sz w:val="22"/>
          <w:szCs w:val="22"/>
        </w:rPr>
      </w:pPr>
      <w:r w:rsidRPr="00D7723D">
        <w:rPr>
          <w:rFonts w:asciiTheme="minorHAnsi" w:hAnsiTheme="minorHAnsi" w:cstheme="minorHAnsi"/>
          <w:sz w:val="22"/>
          <w:szCs w:val="22"/>
        </w:rPr>
        <w:t>Synchronous borrowing and lending of two different currencies between two investors come under the definition of swap transactions. Here, the agreement consists of exchanging principal and interest payments on a loan made in one currency for principal and interest payments of a loan of equal value in another currency.</w:t>
      </w:r>
      <w:r w:rsidR="00872C61">
        <w:rPr>
          <w:rFonts w:asciiTheme="minorHAnsi" w:hAnsiTheme="minorHAnsi" w:cstheme="minorHAnsi"/>
          <w:sz w:val="22"/>
          <w:szCs w:val="22"/>
        </w:rPr>
        <w:t xml:space="preserve"> </w:t>
      </w:r>
      <w:r w:rsidRPr="00D7723D">
        <w:rPr>
          <w:rFonts w:asciiTheme="minorHAnsi" w:hAnsiTheme="minorHAnsi" w:cstheme="minorHAnsi"/>
          <w:sz w:val="22"/>
          <w:szCs w:val="22"/>
        </w:rPr>
        <w:t>The obligation to refund the currencies is used as collateral, and the amount is repaid at a forward rate.</w:t>
      </w:r>
    </w:p>
    <w:p w14:paraId="5234D910" w14:textId="2320A948" w:rsidR="00D7723D" w:rsidRPr="00A06DAF" w:rsidRDefault="00D7723D" w:rsidP="00A06DAF">
      <w:pPr>
        <w:pStyle w:val="NormalWeb"/>
        <w:numPr>
          <w:ilvl w:val="1"/>
          <w:numId w:val="2"/>
        </w:numPr>
        <w:spacing w:before="0" w:beforeAutospacing="0" w:after="0" w:afterAutospacing="0" w:line="360" w:lineRule="auto"/>
        <w:ind w:left="284" w:hanging="284"/>
        <w:jc w:val="both"/>
        <w:rPr>
          <w:rFonts w:asciiTheme="minorHAnsi" w:hAnsiTheme="minorHAnsi" w:cstheme="minorHAnsi"/>
          <w:b/>
          <w:bCs/>
          <w:sz w:val="22"/>
          <w:szCs w:val="22"/>
        </w:rPr>
      </w:pPr>
      <w:r w:rsidRPr="00A06DAF">
        <w:rPr>
          <w:rFonts w:asciiTheme="minorHAnsi" w:hAnsiTheme="minorHAnsi" w:cstheme="minorHAnsi"/>
          <w:b/>
          <w:bCs/>
          <w:sz w:val="22"/>
          <w:szCs w:val="22"/>
        </w:rPr>
        <w:t>Arbitrage</w:t>
      </w:r>
    </w:p>
    <w:p w14:paraId="50781361" w14:textId="3A8D8F51" w:rsidR="00D7723D" w:rsidRDefault="00D7723D" w:rsidP="00872C61">
      <w:pPr>
        <w:pStyle w:val="NormalWeb"/>
        <w:spacing w:before="0" w:beforeAutospacing="0" w:after="0" w:afterAutospacing="0" w:line="360" w:lineRule="auto"/>
        <w:jc w:val="both"/>
        <w:rPr>
          <w:rFonts w:asciiTheme="minorHAnsi" w:hAnsiTheme="minorHAnsi" w:cstheme="minorHAnsi"/>
          <w:sz w:val="22"/>
          <w:szCs w:val="22"/>
        </w:rPr>
      </w:pPr>
      <w:r w:rsidRPr="00D7723D">
        <w:rPr>
          <w:rFonts w:asciiTheme="minorHAnsi" w:hAnsiTheme="minorHAnsi" w:cstheme="minorHAnsi"/>
          <w:sz w:val="22"/>
          <w:szCs w:val="22"/>
        </w:rPr>
        <w:t>Arbitrage refers to buying a foreign currency in one market and simultaneously selling it in the other at a higher price, thereby allowing investors to make profits from the difference in the exchange rate prevailing simultaneously in different markets.</w:t>
      </w:r>
    </w:p>
    <w:p w14:paraId="63BFF402" w14:textId="77777777" w:rsidR="00872C61" w:rsidRDefault="00872C61" w:rsidP="00872C61">
      <w:pPr>
        <w:pStyle w:val="NormalWeb"/>
        <w:spacing w:before="0" w:beforeAutospacing="0" w:after="0" w:afterAutospacing="0" w:line="360" w:lineRule="auto"/>
        <w:jc w:val="both"/>
        <w:rPr>
          <w:rFonts w:asciiTheme="minorHAnsi" w:hAnsiTheme="minorHAnsi" w:cstheme="minorHAnsi"/>
          <w:sz w:val="22"/>
          <w:szCs w:val="22"/>
        </w:rPr>
      </w:pPr>
    </w:p>
    <w:p w14:paraId="7A998865" w14:textId="77777777" w:rsidR="00872C61" w:rsidRPr="00DC0FDF" w:rsidRDefault="00872C61" w:rsidP="00872C61">
      <w:pPr>
        <w:pStyle w:val="NormalWeb"/>
        <w:numPr>
          <w:ilvl w:val="1"/>
          <w:numId w:val="2"/>
        </w:numPr>
        <w:spacing w:before="0" w:beforeAutospacing="0" w:after="0" w:afterAutospacing="0" w:line="360" w:lineRule="auto"/>
        <w:ind w:left="284" w:hanging="284"/>
        <w:jc w:val="both"/>
        <w:rPr>
          <w:rFonts w:asciiTheme="minorHAnsi" w:hAnsiTheme="minorHAnsi" w:cstheme="minorHAnsi"/>
          <w:b/>
          <w:bCs/>
          <w:sz w:val="22"/>
          <w:szCs w:val="22"/>
        </w:rPr>
      </w:pPr>
      <w:r w:rsidRPr="00DC0FDF">
        <w:rPr>
          <w:rFonts w:asciiTheme="minorHAnsi" w:hAnsiTheme="minorHAnsi" w:cstheme="minorHAnsi"/>
          <w:b/>
          <w:bCs/>
          <w:sz w:val="22"/>
          <w:szCs w:val="22"/>
        </w:rPr>
        <w:t>Spot Transaction</w:t>
      </w:r>
    </w:p>
    <w:p w14:paraId="6F128978" w14:textId="5D86B066" w:rsidR="00872C61" w:rsidRDefault="00872C61" w:rsidP="00872C61">
      <w:pPr>
        <w:pStyle w:val="NormalWeb"/>
        <w:spacing w:before="0" w:beforeAutospacing="0" w:after="0" w:afterAutospacing="0" w:line="360" w:lineRule="auto"/>
        <w:jc w:val="both"/>
        <w:rPr>
          <w:rFonts w:asciiTheme="minorHAnsi" w:hAnsiTheme="minorHAnsi" w:cstheme="minorHAnsi"/>
          <w:sz w:val="22"/>
          <w:szCs w:val="22"/>
        </w:rPr>
      </w:pPr>
      <w:r w:rsidRPr="00D7723D">
        <w:rPr>
          <w:rFonts w:asciiTheme="minorHAnsi" w:hAnsiTheme="minorHAnsi" w:cstheme="minorHAnsi"/>
          <w:sz w:val="22"/>
          <w:szCs w:val="22"/>
        </w:rPr>
        <w:t xml:space="preserve">The fastest way of exchanging currencies is transacting in Spot Market. Under spot transactions, the exchange of currencies is settled between buyer and seller within two days of the deal to </w:t>
      </w:r>
      <w:proofErr w:type="gramStart"/>
      <w:r w:rsidRPr="00D7723D">
        <w:rPr>
          <w:rFonts w:asciiTheme="minorHAnsi" w:hAnsiTheme="minorHAnsi" w:cstheme="minorHAnsi"/>
          <w:sz w:val="22"/>
          <w:szCs w:val="22"/>
        </w:rPr>
        <w:t>enter into</w:t>
      </w:r>
      <w:proofErr w:type="gramEnd"/>
      <w:r w:rsidRPr="00D7723D">
        <w:rPr>
          <w:rFonts w:asciiTheme="minorHAnsi" w:hAnsiTheme="minorHAnsi" w:cstheme="minorHAnsi"/>
          <w:sz w:val="22"/>
          <w:szCs w:val="22"/>
        </w:rPr>
        <w:t xml:space="preserve"> such transaction. In spot transactions, the currencies are exchanged at the prevailing rate known as Spot Exchange Rate.</w:t>
      </w:r>
    </w:p>
    <w:p w14:paraId="132A2C13" w14:textId="77777777" w:rsidR="00872C61" w:rsidRPr="00D7723D" w:rsidRDefault="00872C61" w:rsidP="00872C61">
      <w:pPr>
        <w:pStyle w:val="NormalWeb"/>
        <w:spacing w:before="0" w:beforeAutospacing="0" w:after="0" w:afterAutospacing="0" w:line="360" w:lineRule="auto"/>
        <w:jc w:val="both"/>
        <w:rPr>
          <w:rFonts w:asciiTheme="minorHAnsi" w:hAnsiTheme="minorHAnsi" w:cstheme="minorHAnsi"/>
          <w:sz w:val="22"/>
          <w:szCs w:val="22"/>
        </w:rPr>
      </w:pPr>
    </w:p>
    <w:p w14:paraId="73D89D34" w14:textId="0C1FCE1D" w:rsidR="00D7723D" w:rsidRDefault="00D7723D" w:rsidP="00D7723D">
      <w:pPr>
        <w:pStyle w:val="NormalWeb"/>
        <w:spacing w:after="150" w:line="276" w:lineRule="auto"/>
        <w:jc w:val="both"/>
        <w:rPr>
          <w:rFonts w:asciiTheme="minorHAnsi" w:hAnsiTheme="minorHAnsi" w:cstheme="minorHAnsi"/>
          <w:sz w:val="22"/>
          <w:szCs w:val="22"/>
        </w:rPr>
      </w:pPr>
    </w:p>
    <w:p w14:paraId="0F4AAC3C" w14:textId="71DA507E" w:rsidR="00805F5E" w:rsidRDefault="00805F5E" w:rsidP="00D7723D">
      <w:pPr>
        <w:pStyle w:val="NormalWeb"/>
        <w:shd w:val="clear" w:color="auto" w:fill="FFFFFF"/>
        <w:spacing w:after="150" w:line="360" w:lineRule="auto"/>
        <w:jc w:val="both"/>
        <w:rPr>
          <w:rFonts w:asciiTheme="minorHAnsi" w:hAnsiTheme="minorHAnsi" w:cstheme="minorHAnsi"/>
          <w:b/>
          <w:bCs/>
        </w:rPr>
        <w:sectPr w:rsidR="00805F5E" w:rsidSect="00421927">
          <w:headerReference w:type="default" r:id="rId30"/>
          <w:footerReference w:type="default" r:id="rId31"/>
          <w:headerReference w:type="first" r:id="rId3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2A28B4B" w:rsidR="007A6471" w:rsidRPr="008B67BF" w:rsidRDefault="00F71959"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7DD005B8" w14:textId="00E3BAEF" w:rsidR="00EB5F8A" w:rsidRPr="009C317D" w:rsidRDefault="00F71959" w:rsidP="00A06DAF">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F71959">
        <w:rPr>
          <w:rFonts w:asciiTheme="minorHAnsi" w:hAnsiTheme="minorHAnsi" w:cstheme="minorHAnsi"/>
          <w:b/>
          <w:bCs/>
          <w:caps/>
          <w:color w:val="000000" w:themeColor="text1"/>
          <w:lang w:val="en-IN"/>
        </w:rPr>
        <w:t>Retention of ISO Containers to meet future requirements</w:t>
      </w:r>
    </w:p>
    <w:p w14:paraId="6323F152" w14:textId="2070FFC4" w:rsidR="00CA5A4F" w:rsidRPr="00F71959" w:rsidRDefault="00B96B14" w:rsidP="009D29D8">
      <w:pPr>
        <w:pStyle w:val="Default"/>
        <w:spacing w:line="360" w:lineRule="auto"/>
        <w:jc w:val="both"/>
        <w:rPr>
          <w:rFonts w:asciiTheme="minorHAnsi" w:hAnsiTheme="minorHAnsi" w:cstheme="minorHAnsi"/>
          <w:color w:val="auto"/>
          <w:sz w:val="22"/>
          <w:szCs w:val="22"/>
          <w:lang w:val="en-IN"/>
        </w:rPr>
      </w:pPr>
      <w:r w:rsidRPr="00640B5D">
        <w:rPr>
          <w:rFonts w:asciiTheme="minorHAnsi" w:hAnsiTheme="minorHAnsi" w:cstheme="minorHAnsi"/>
          <w:b/>
          <w:bCs/>
          <w:sz w:val="22"/>
          <w:szCs w:val="22"/>
          <w:shd w:val="clear" w:color="auto" w:fill="FFFFFF"/>
          <w:lang w:val="en-IN"/>
        </w:rPr>
        <w:t>OUR COMMENTS</w:t>
      </w:r>
      <w:r w:rsidRPr="00640B5D">
        <w:rPr>
          <w:rFonts w:asciiTheme="minorHAnsi" w:hAnsiTheme="minorHAnsi" w:cstheme="minorHAnsi"/>
          <w:sz w:val="22"/>
          <w:szCs w:val="22"/>
          <w:shd w:val="clear" w:color="auto" w:fill="FFFFFF"/>
          <w:lang w:val="en-IN"/>
        </w:rPr>
        <w:t>:</w:t>
      </w:r>
      <w:r w:rsidR="009334D8" w:rsidRPr="009334D8">
        <w:rPr>
          <w:rFonts w:ascii="Arial" w:eastAsia="Times New Roman" w:hAnsi="Arial" w:cs="Arial"/>
          <w:color w:val="333333"/>
          <w:sz w:val="22"/>
          <w:szCs w:val="22"/>
        </w:rPr>
        <w:t xml:space="preserve"> </w:t>
      </w:r>
      <w:r w:rsidR="00F71959" w:rsidRPr="00F71959">
        <w:rPr>
          <w:rFonts w:asciiTheme="minorHAnsi" w:eastAsia="Times New Roman" w:hAnsiTheme="minorHAnsi" w:cstheme="minorHAnsi"/>
          <w:color w:val="333333"/>
          <w:sz w:val="22"/>
          <w:szCs w:val="22"/>
        </w:rPr>
        <w:t>The board vide Circular No 01/2022</w:t>
      </w:r>
      <w:r w:rsidR="00887650">
        <w:rPr>
          <w:rFonts w:asciiTheme="minorHAnsi" w:eastAsia="Times New Roman" w:hAnsiTheme="minorHAnsi" w:cstheme="minorHAnsi"/>
          <w:color w:val="333333"/>
          <w:sz w:val="22"/>
          <w:szCs w:val="22"/>
        </w:rPr>
        <w:t xml:space="preserve"> </w:t>
      </w:r>
      <w:r w:rsidR="00F71959" w:rsidRPr="00F71959">
        <w:rPr>
          <w:rFonts w:asciiTheme="minorHAnsi" w:eastAsia="Times New Roman" w:hAnsiTheme="minorHAnsi" w:cstheme="minorHAnsi"/>
          <w:color w:val="333333"/>
          <w:sz w:val="22"/>
          <w:szCs w:val="22"/>
        </w:rPr>
        <w:t>dated 18</w:t>
      </w:r>
      <w:r w:rsidR="00F71959" w:rsidRPr="00F71959">
        <w:rPr>
          <w:rFonts w:asciiTheme="minorHAnsi" w:eastAsia="Times New Roman" w:hAnsiTheme="minorHAnsi" w:cstheme="minorHAnsi"/>
          <w:color w:val="333333"/>
          <w:sz w:val="22"/>
          <w:szCs w:val="22"/>
          <w:vertAlign w:val="superscript"/>
        </w:rPr>
        <w:t>th</w:t>
      </w:r>
      <w:r w:rsidR="00F71959" w:rsidRPr="00F71959">
        <w:rPr>
          <w:rFonts w:asciiTheme="minorHAnsi" w:eastAsia="Times New Roman" w:hAnsiTheme="minorHAnsi" w:cstheme="minorHAnsi"/>
          <w:color w:val="333333"/>
          <w:sz w:val="22"/>
          <w:szCs w:val="22"/>
        </w:rPr>
        <w:t xml:space="preserve"> January 2022 drew </w:t>
      </w:r>
      <w:r w:rsidR="00CA5A4F" w:rsidRPr="00F71959">
        <w:rPr>
          <w:rFonts w:asciiTheme="minorHAnsi" w:hAnsiTheme="minorHAnsi" w:cstheme="minorHAnsi"/>
          <w:color w:val="auto"/>
          <w:sz w:val="22"/>
          <w:szCs w:val="22"/>
          <w:lang w:val="en-IN"/>
        </w:rPr>
        <w:t>Kind attention to</w:t>
      </w:r>
      <w:r w:rsidR="00887650">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Board's Instructions</w:t>
      </w:r>
      <w:r w:rsidR="00F71959" w:rsidRPr="00F71959">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Nos.07/2021-</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Customs</w:t>
      </w:r>
      <w:r w:rsidR="00F71959" w:rsidRPr="00F71959">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dated</w:t>
      </w:r>
      <w:r w:rsidR="00887650">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24.04.2021</w:t>
      </w:r>
      <w:proofErr w:type="gramStart"/>
      <w:r w:rsidR="00CA5A4F" w:rsidRPr="00F71959">
        <w:rPr>
          <w:rFonts w:asciiTheme="minorHAnsi" w:hAnsiTheme="minorHAnsi" w:cstheme="minorHAnsi"/>
          <w:color w:val="auto"/>
          <w:sz w:val="22"/>
          <w:szCs w:val="22"/>
          <w:lang w:val="en-IN"/>
        </w:rPr>
        <w:t>, </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08</w:t>
      </w:r>
      <w:proofErr w:type="gramEnd"/>
      <w:r w:rsidR="00CA5A4F" w:rsidRPr="00F71959">
        <w:rPr>
          <w:rFonts w:asciiTheme="minorHAnsi" w:hAnsiTheme="minorHAnsi" w:cstheme="minorHAnsi"/>
          <w:color w:val="auto"/>
          <w:sz w:val="22"/>
          <w:szCs w:val="22"/>
          <w:lang w:val="en-IN"/>
        </w:rPr>
        <w:t>/2021-</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Customs</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dated</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27.04.2021 </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and </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12/2021-</w:t>
      </w:r>
      <w:r w:rsidR="009D29D8">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Customs</w:t>
      </w:r>
      <w:r w:rsidR="000A21E0">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dated</w:t>
      </w:r>
      <w:r w:rsidR="00F71959" w:rsidRPr="00F71959">
        <w:rPr>
          <w:rFonts w:asciiTheme="minorHAnsi" w:hAnsiTheme="minorHAnsi" w:cstheme="minorHAnsi"/>
          <w:color w:val="auto"/>
          <w:sz w:val="22"/>
          <w:szCs w:val="22"/>
          <w:lang w:val="en-IN"/>
        </w:rPr>
        <w:t xml:space="preserve"> </w:t>
      </w:r>
      <w:r w:rsidR="00CA5A4F" w:rsidRPr="00F71959">
        <w:rPr>
          <w:rFonts w:asciiTheme="minorHAnsi" w:hAnsiTheme="minorHAnsi" w:cstheme="minorHAnsi"/>
          <w:color w:val="auto"/>
          <w:sz w:val="22"/>
          <w:szCs w:val="22"/>
          <w:lang w:val="en-IN"/>
        </w:rPr>
        <w:t>25.05.2021 relating to relaxation of various procedures relating to facilitation of COVID related consignments.</w:t>
      </w:r>
    </w:p>
    <w:p w14:paraId="5E50A11C" w14:textId="77777777" w:rsidR="00F71959" w:rsidRPr="00F71959" w:rsidRDefault="00F71959" w:rsidP="00CA5A4F">
      <w:pPr>
        <w:pStyle w:val="Default"/>
        <w:spacing w:line="360" w:lineRule="auto"/>
        <w:jc w:val="both"/>
        <w:rPr>
          <w:rFonts w:asciiTheme="minorHAnsi" w:hAnsiTheme="minorHAnsi" w:cstheme="minorHAnsi"/>
          <w:color w:val="auto"/>
          <w:sz w:val="22"/>
          <w:szCs w:val="22"/>
          <w:lang w:val="en-IN"/>
        </w:rPr>
      </w:pPr>
    </w:p>
    <w:p w14:paraId="74EDAF6D" w14:textId="2A10D620" w:rsidR="00CA5A4F" w:rsidRDefault="00CA5A4F" w:rsidP="00CA5A4F">
      <w:pPr>
        <w:pStyle w:val="Default"/>
        <w:spacing w:line="360" w:lineRule="auto"/>
        <w:jc w:val="both"/>
        <w:rPr>
          <w:rFonts w:asciiTheme="minorHAnsi" w:hAnsiTheme="minorHAnsi" w:cstheme="minorHAnsi"/>
          <w:color w:val="auto"/>
          <w:sz w:val="22"/>
          <w:szCs w:val="22"/>
          <w:lang w:val="en-IN"/>
        </w:rPr>
      </w:pPr>
      <w:r w:rsidRPr="00CA5A4F">
        <w:rPr>
          <w:rFonts w:asciiTheme="minorHAnsi" w:hAnsiTheme="minorHAnsi" w:cstheme="minorHAnsi"/>
          <w:color w:val="auto"/>
          <w:sz w:val="22"/>
          <w:szCs w:val="22"/>
          <w:lang w:val="en-IN"/>
        </w:rPr>
        <w:t>Board has received representations through the Department for Promotion of Industry and Internal Trade (DPIIT), Ministry of Commerce and Industry, for providing relaxations in the re-export of ISO Containers imported temporarily for combating the COVID Pandemic. Such containers have been used for efficient transportation of Liquid Medical Oxygen due to the inherent advantage related to multi-modal transportation (by Road/Rail/Waterways/Airways).</w:t>
      </w:r>
    </w:p>
    <w:p w14:paraId="60E49951" w14:textId="77777777" w:rsidR="005E6733" w:rsidRPr="00CA5A4F" w:rsidRDefault="005E6733" w:rsidP="00CA5A4F">
      <w:pPr>
        <w:pStyle w:val="Default"/>
        <w:spacing w:line="360" w:lineRule="auto"/>
        <w:jc w:val="both"/>
        <w:rPr>
          <w:rFonts w:asciiTheme="minorHAnsi" w:hAnsiTheme="minorHAnsi" w:cstheme="minorHAnsi"/>
          <w:color w:val="auto"/>
          <w:sz w:val="22"/>
          <w:szCs w:val="22"/>
          <w:lang w:val="en-IN"/>
        </w:rPr>
      </w:pPr>
    </w:p>
    <w:p w14:paraId="5D6FE43A" w14:textId="62F34DE2" w:rsidR="00CA5A4F" w:rsidRDefault="00CA5A4F" w:rsidP="00CA5A4F">
      <w:pPr>
        <w:pStyle w:val="Default"/>
        <w:spacing w:line="360" w:lineRule="auto"/>
        <w:jc w:val="both"/>
        <w:rPr>
          <w:rFonts w:asciiTheme="minorHAnsi" w:hAnsiTheme="minorHAnsi" w:cstheme="minorHAnsi"/>
          <w:color w:val="auto"/>
          <w:sz w:val="22"/>
          <w:szCs w:val="22"/>
          <w:lang w:val="en-IN"/>
        </w:rPr>
      </w:pPr>
      <w:r w:rsidRPr="00CA5A4F">
        <w:rPr>
          <w:rFonts w:asciiTheme="minorHAnsi" w:hAnsiTheme="minorHAnsi" w:cstheme="minorHAnsi"/>
          <w:color w:val="auto"/>
          <w:sz w:val="22"/>
          <w:szCs w:val="22"/>
          <w:lang w:val="en-IN"/>
        </w:rPr>
        <w:t>The issue has been examined. Board hereby guides all the field formations to allow extension of time period for re-exports of ISO containers meant for transportation of Liquid Medical Oxygen grade, if imported under </w:t>
      </w:r>
      <w:hyperlink r:id="rId33" w:history="1">
        <w:r w:rsidRPr="00CA5A4F">
          <w:rPr>
            <w:rStyle w:val="Hyperlink"/>
            <w:rFonts w:asciiTheme="minorHAnsi" w:hAnsiTheme="minorHAnsi" w:cstheme="minorHAnsi"/>
            <w:color w:val="auto"/>
            <w:sz w:val="22"/>
            <w:szCs w:val="22"/>
            <w:u w:val="none"/>
            <w:lang w:val="en-IN"/>
          </w:rPr>
          <w:t>Notification No. 104/1994-Customs dated 16.03.1994,</w:t>
        </w:r>
      </w:hyperlink>
      <w:r w:rsidRPr="00CA5A4F">
        <w:rPr>
          <w:rFonts w:asciiTheme="minorHAnsi" w:hAnsiTheme="minorHAnsi" w:cstheme="minorHAnsi"/>
          <w:color w:val="auto"/>
          <w:sz w:val="22"/>
          <w:szCs w:val="22"/>
          <w:lang w:val="en-IN"/>
        </w:rPr>
        <w:t> till 30.09.2022, upon receipt of requests from the importers, in this regard.</w:t>
      </w:r>
    </w:p>
    <w:p w14:paraId="28F34353" w14:textId="77777777" w:rsidR="005E6733" w:rsidRPr="00CA5A4F" w:rsidRDefault="005E6733" w:rsidP="00CA5A4F">
      <w:pPr>
        <w:pStyle w:val="Default"/>
        <w:spacing w:line="360" w:lineRule="auto"/>
        <w:jc w:val="both"/>
        <w:rPr>
          <w:rFonts w:asciiTheme="minorHAnsi" w:hAnsiTheme="minorHAnsi" w:cstheme="minorHAnsi"/>
          <w:color w:val="auto"/>
          <w:sz w:val="22"/>
          <w:szCs w:val="22"/>
          <w:lang w:val="en-IN"/>
        </w:rPr>
      </w:pPr>
    </w:p>
    <w:p w14:paraId="28937A2F" w14:textId="2AFFC326" w:rsidR="00CA5A4F" w:rsidRDefault="00CA5A4F" w:rsidP="00CA5A4F">
      <w:pPr>
        <w:pStyle w:val="Default"/>
        <w:spacing w:line="360" w:lineRule="auto"/>
        <w:jc w:val="both"/>
        <w:rPr>
          <w:rFonts w:asciiTheme="minorHAnsi" w:hAnsiTheme="minorHAnsi" w:cstheme="minorHAnsi"/>
          <w:color w:val="auto"/>
          <w:sz w:val="22"/>
          <w:szCs w:val="22"/>
          <w:lang w:val="en-IN"/>
        </w:rPr>
      </w:pPr>
      <w:r w:rsidRPr="00CA5A4F">
        <w:rPr>
          <w:rFonts w:asciiTheme="minorHAnsi" w:hAnsiTheme="minorHAnsi" w:cstheme="minorHAnsi"/>
          <w:color w:val="auto"/>
          <w:sz w:val="22"/>
          <w:szCs w:val="22"/>
          <w:lang w:val="en-IN"/>
        </w:rPr>
        <w:t>Further, in respect of ISO Containers imported on lease by availing IGST exemption under </w:t>
      </w:r>
      <w:hyperlink r:id="rId34" w:history="1">
        <w:r w:rsidRPr="00CA5A4F">
          <w:rPr>
            <w:rStyle w:val="Hyperlink"/>
            <w:rFonts w:asciiTheme="minorHAnsi" w:hAnsiTheme="minorHAnsi" w:cstheme="minorHAnsi"/>
            <w:color w:val="auto"/>
            <w:sz w:val="22"/>
            <w:szCs w:val="22"/>
            <w:u w:val="none"/>
            <w:lang w:val="en-IN"/>
          </w:rPr>
          <w:t>serial number 557B of Notification No.50/2017-Customs dated 30.06.2017</w:t>
        </w:r>
      </w:hyperlink>
      <w:r w:rsidRPr="00CA5A4F">
        <w:rPr>
          <w:rFonts w:asciiTheme="minorHAnsi" w:hAnsiTheme="minorHAnsi" w:cstheme="minorHAnsi"/>
          <w:color w:val="auto"/>
          <w:sz w:val="22"/>
          <w:szCs w:val="22"/>
          <w:lang w:val="en-IN"/>
        </w:rPr>
        <w:t xml:space="preserve">, it is hereby clarified that as long as ISO containers are in India under a valid lease and the IGST amount is paid on such </w:t>
      </w:r>
      <w:r w:rsidRPr="00CA5A4F">
        <w:rPr>
          <w:rFonts w:asciiTheme="minorHAnsi" w:hAnsiTheme="minorHAnsi" w:cstheme="minorHAnsi"/>
          <w:color w:val="auto"/>
          <w:sz w:val="22"/>
          <w:szCs w:val="22"/>
          <w:lang w:val="en-IN"/>
        </w:rPr>
        <w:t>lease amount under CGST law, the IGST is not required to be paid on the value of the ISO containers, and in such a situation the need for re-export would not arise.</w:t>
      </w:r>
    </w:p>
    <w:p w14:paraId="6DA1251F" w14:textId="77777777" w:rsidR="005E6733" w:rsidRPr="00CA5A4F" w:rsidRDefault="005E6733" w:rsidP="00CA5A4F">
      <w:pPr>
        <w:pStyle w:val="Default"/>
        <w:spacing w:line="360" w:lineRule="auto"/>
        <w:jc w:val="both"/>
        <w:rPr>
          <w:rFonts w:asciiTheme="minorHAnsi" w:hAnsiTheme="minorHAnsi" w:cstheme="minorHAnsi"/>
          <w:color w:val="auto"/>
          <w:sz w:val="22"/>
          <w:szCs w:val="22"/>
          <w:lang w:val="en-IN"/>
        </w:rPr>
      </w:pPr>
    </w:p>
    <w:p w14:paraId="3CC3333E" w14:textId="30EE5FCC" w:rsidR="00CA5A4F" w:rsidRPr="00CA5A4F" w:rsidRDefault="00CA5A4F" w:rsidP="00CA5A4F">
      <w:pPr>
        <w:pStyle w:val="Default"/>
        <w:spacing w:line="360" w:lineRule="auto"/>
        <w:jc w:val="both"/>
        <w:rPr>
          <w:rFonts w:asciiTheme="minorHAnsi" w:hAnsiTheme="minorHAnsi" w:cstheme="minorHAnsi"/>
          <w:color w:val="auto"/>
          <w:sz w:val="22"/>
          <w:szCs w:val="22"/>
          <w:lang w:val="en-IN"/>
        </w:rPr>
      </w:pPr>
      <w:r w:rsidRPr="00CA5A4F">
        <w:rPr>
          <w:rFonts w:asciiTheme="minorHAnsi" w:hAnsiTheme="minorHAnsi" w:cstheme="minorHAnsi"/>
          <w:color w:val="auto"/>
          <w:sz w:val="22"/>
          <w:szCs w:val="22"/>
          <w:lang w:val="en-IN"/>
        </w:rPr>
        <w:t>Any difficulty in the implementation of this Circular may be brought to the notice of the Board.</w:t>
      </w:r>
    </w:p>
    <w:p w14:paraId="5F618C15" w14:textId="2791A705" w:rsidR="009748FE" w:rsidRPr="00F71959" w:rsidRDefault="009748FE" w:rsidP="00CA5A4F">
      <w:pPr>
        <w:pStyle w:val="Default"/>
        <w:spacing w:line="360" w:lineRule="auto"/>
        <w:jc w:val="both"/>
        <w:rPr>
          <w:rFonts w:asciiTheme="minorHAnsi" w:hAnsiTheme="minorHAnsi" w:cstheme="minorHAnsi"/>
          <w:b/>
          <w:bCs/>
          <w:sz w:val="22"/>
          <w:szCs w:val="22"/>
          <w:shd w:val="clear" w:color="auto" w:fill="FFFFFF"/>
        </w:rPr>
      </w:pPr>
    </w:p>
    <w:p w14:paraId="134E729F" w14:textId="6AD06A86" w:rsidR="00721FE0" w:rsidRPr="005E6733" w:rsidRDefault="00721FE0" w:rsidP="009748FE">
      <w:pPr>
        <w:pStyle w:val="Default"/>
        <w:spacing w:line="360" w:lineRule="auto"/>
        <w:jc w:val="both"/>
        <w:rPr>
          <w:rFonts w:asciiTheme="minorHAnsi" w:hAnsiTheme="minorHAnsi" w:cstheme="minorHAnsi"/>
          <w:b/>
          <w:bCs/>
          <w:sz w:val="22"/>
          <w:szCs w:val="22"/>
        </w:rPr>
      </w:pPr>
      <w:r w:rsidRPr="005E6733">
        <w:rPr>
          <w:rFonts w:asciiTheme="minorHAnsi" w:hAnsiTheme="minorHAnsi" w:cstheme="minorHAnsi"/>
          <w:b/>
          <w:bCs/>
          <w:sz w:val="22"/>
          <w:szCs w:val="22"/>
        </w:rPr>
        <w:t xml:space="preserve">[For further details please refer the </w:t>
      </w:r>
      <w:r w:rsidR="00F71959" w:rsidRPr="005E6733">
        <w:rPr>
          <w:rFonts w:asciiTheme="minorHAnsi" w:hAnsiTheme="minorHAnsi" w:cstheme="minorHAnsi"/>
          <w:b/>
          <w:bCs/>
          <w:sz w:val="22"/>
          <w:szCs w:val="22"/>
        </w:rPr>
        <w:t>Circular</w:t>
      </w:r>
      <w:r w:rsidRPr="005E6733">
        <w:rPr>
          <w:rFonts w:asciiTheme="minorHAnsi" w:hAnsiTheme="minorHAnsi" w:cstheme="minorHAnsi"/>
          <w:b/>
          <w:bCs/>
          <w:sz w:val="22"/>
          <w:szCs w:val="22"/>
        </w:rPr>
        <w:t>]</w:t>
      </w:r>
    </w:p>
    <w:p w14:paraId="03042FE6" w14:textId="77777777" w:rsidR="008A60AA" w:rsidRDefault="008A60AA" w:rsidP="00F4518D">
      <w:pPr>
        <w:spacing w:after="0" w:line="360" w:lineRule="auto"/>
        <w:jc w:val="both"/>
        <w:rPr>
          <w:rFonts w:asciiTheme="minorHAnsi" w:hAnsiTheme="minorHAnsi" w:cstheme="minorHAnsi"/>
          <w:b/>
          <w:bCs/>
        </w:rPr>
      </w:pP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421927">
          <w:headerReference w:type="default" r:id="rId3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58E060C" w14:textId="04EB830F" w:rsidR="006A5301" w:rsidRPr="00333937" w:rsidRDefault="00C5784A" w:rsidP="006A530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P</w:t>
      </w:r>
      <w:r w:rsidR="009C0F64">
        <w:rPr>
          <w:b/>
          <w:bCs/>
          <w:noProof/>
          <w:color w:val="FFFFFF" w:themeColor="background1"/>
          <w:sz w:val="22"/>
          <w:szCs w:val="22"/>
          <w:u w:val="none"/>
          <w:lang w:val="en-US"/>
        </w:rPr>
        <w:t>OLICY CIRCULAR</w:t>
      </w:r>
    </w:p>
    <w:p w14:paraId="748ACAE8" w14:textId="11F54963" w:rsidR="006A5301" w:rsidRPr="001A7DEC" w:rsidRDefault="0039280B" w:rsidP="00A06DAF">
      <w:pPr>
        <w:shd w:val="clear" w:color="auto" w:fill="8DC182"/>
        <w:tabs>
          <w:tab w:val="left" w:pos="4820"/>
        </w:tabs>
        <w:autoSpaceDE w:val="0"/>
        <w:autoSpaceDN w:val="0"/>
        <w:adjustRightInd w:val="0"/>
        <w:ind w:right="11"/>
        <w:jc w:val="center"/>
        <w:rPr>
          <w:b/>
          <w:bCs/>
          <w:lang w:val="en-IN"/>
        </w:rPr>
      </w:pPr>
      <w:r w:rsidRPr="0039280B">
        <w:rPr>
          <w:b/>
          <w:bCs/>
          <w:lang w:val="en-IN"/>
        </w:rPr>
        <w:t>CLARIFICATION REGARDING SIMS</w:t>
      </w:r>
    </w:p>
    <w:p w14:paraId="628BAFF8" w14:textId="337B1995" w:rsidR="001A2C10" w:rsidRPr="009C0F64" w:rsidRDefault="009C0F64" w:rsidP="0039280B">
      <w:pPr>
        <w:spacing w:line="360" w:lineRule="auto"/>
        <w:jc w:val="both"/>
        <w:rPr>
          <w:rFonts w:asciiTheme="minorHAnsi" w:hAnsiTheme="minorHAnsi" w:cstheme="minorHAnsi"/>
          <w:bCs/>
          <w:lang w:val="en-IN"/>
        </w:rPr>
      </w:pPr>
      <w:r>
        <w:rPr>
          <w:rFonts w:asciiTheme="minorHAnsi" w:hAnsiTheme="minorHAnsi" w:cstheme="minorHAnsi"/>
          <w:b/>
          <w:lang w:val="en-IN"/>
        </w:rPr>
        <w:t>OUR COMMENTS:</w:t>
      </w:r>
      <w:r w:rsidR="00AA2DF0">
        <w:rPr>
          <w:rFonts w:asciiTheme="minorHAnsi" w:hAnsiTheme="minorHAnsi" w:cstheme="minorHAnsi"/>
          <w:bCs/>
          <w:lang w:val="en-IN"/>
        </w:rPr>
        <w:t xml:space="preserve"> </w:t>
      </w:r>
      <w:r w:rsidRPr="009C0F64">
        <w:rPr>
          <w:rFonts w:asciiTheme="minorHAnsi" w:hAnsiTheme="minorHAnsi" w:cstheme="minorHAnsi"/>
          <w:bCs/>
          <w:lang w:val="en-IN"/>
        </w:rPr>
        <w:t xml:space="preserve">The department issued policy circular number 38/2015-2020 dated 19th January 2022 which stated that  </w:t>
      </w:r>
      <w:r w:rsidR="005E6733" w:rsidRPr="009C0F64">
        <w:rPr>
          <w:rFonts w:asciiTheme="minorHAnsi" w:hAnsiTheme="minorHAnsi" w:cstheme="minorHAnsi"/>
          <w:bCs/>
          <w:lang w:val="en-IN"/>
        </w:rPr>
        <w:t>Subsequent  to  the issuance of Notificatio</w:t>
      </w:r>
      <w:r w:rsidR="0039280B" w:rsidRPr="009C0F64">
        <w:rPr>
          <w:rFonts w:asciiTheme="minorHAnsi" w:hAnsiTheme="minorHAnsi" w:cstheme="minorHAnsi"/>
          <w:bCs/>
          <w:lang w:val="en-IN"/>
        </w:rPr>
        <w:t xml:space="preserve">n </w:t>
      </w:r>
      <w:r w:rsidR="005E6733" w:rsidRPr="009C0F64">
        <w:rPr>
          <w:rFonts w:asciiTheme="minorHAnsi" w:hAnsiTheme="minorHAnsi" w:cstheme="minorHAnsi"/>
          <w:bCs/>
          <w:lang w:val="en-IN"/>
        </w:rPr>
        <w:t>No.33/2015-</w:t>
      </w:r>
      <w:r w:rsidR="005E6733" w:rsidRPr="0039280B">
        <w:rPr>
          <w:rFonts w:asciiTheme="minorHAnsi" w:hAnsiTheme="minorHAnsi" w:cstheme="minorHAnsi"/>
          <w:bCs/>
          <w:lang w:val="en-IN"/>
        </w:rPr>
        <w:t>2020  dated 28.09.2020 amending import policy of all HSN Codes under </w:t>
      </w:r>
      <w:r w:rsidR="00AA2DF0" w:rsidRPr="00A06DAF">
        <w:t>Chapter 72</w:t>
      </w:r>
      <w:r w:rsidR="005E6733" w:rsidRPr="0039280B">
        <w:rPr>
          <w:rFonts w:asciiTheme="minorHAnsi" w:hAnsiTheme="minorHAnsi" w:cstheme="minorHAnsi"/>
          <w:bCs/>
          <w:lang w:val="en-IN"/>
        </w:rPr>
        <w:t>, </w:t>
      </w:r>
      <w:hyperlink r:id="rId36" w:history="1">
        <w:r w:rsidR="005E6733" w:rsidRPr="0039280B">
          <w:rPr>
            <w:rStyle w:val="Hyperlink"/>
            <w:rFonts w:asciiTheme="minorHAnsi" w:hAnsiTheme="minorHAnsi" w:cstheme="minorHAnsi"/>
            <w:bCs/>
            <w:color w:val="auto"/>
            <w:u w:val="none"/>
            <w:lang w:val="en-IN"/>
          </w:rPr>
          <w:t>73</w:t>
        </w:r>
      </w:hyperlink>
      <w:r w:rsidR="005E6733" w:rsidRPr="0039280B">
        <w:rPr>
          <w:rFonts w:asciiTheme="minorHAnsi" w:hAnsiTheme="minorHAnsi" w:cstheme="minorHAnsi"/>
          <w:bCs/>
          <w:lang w:val="en-IN"/>
        </w:rPr>
        <w:t> and </w:t>
      </w:r>
      <w:hyperlink r:id="rId37" w:history="1">
        <w:r w:rsidR="005E6733" w:rsidRPr="0039280B">
          <w:rPr>
            <w:rStyle w:val="Hyperlink"/>
            <w:rFonts w:asciiTheme="minorHAnsi" w:hAnsiTheme="minorHAnsi" w:cstheme="minorHAnsi"/>
            <w:bCs/>
            <w:color w:val="auto"/>
            <w:u w:val="none"/>
            <w:lang w:val="en-IN"/>
          </w:rPr>
          <w:t>86</w:t>
        </w:r>
      </w:hyperlink>
      <w:r w:rsidR="005E6733" w:rsidRPr="0039280B">
        <w:rPr>
          <w:rFonts w:asciiTheme="minorHAnsi" w:hAnsiTheme="minorHAnsi" w:cstheme="minorHAnsi"/>
          <w:bCs/>
          <w:lang w:val="en-IN"/>
        </w:rPr>
        <w:t> of </w:t>
      </w:r>
      <w:hyperlink r:id="rId38" w:history="1">
        <w:r w:rsidR="005E6733" w:rsidRPr="009C0F64">
          <w:rPr>
            <w:lang w:val="en-IN"/>
          </w:rPr>
          <w:t>Schedule -I (Import Policy) of ITC (HS)</w:t>
        </w:r>
      </w:hyperlink>
      <w:r w:rsidR="005E6733" w:rsidRPr="0039280B">
        <w:rPr>
          <w:rFonts w:asciiTheme="minorHAnsi" w:hAnsiTheme="minorHAnsi" w:cstheme="minorHAnsi"/>
          <w:bCs/>
          <w:lang w:val="en-IN"/>
        </w:rPr>
        <w:t> from 'Free' 'to 'Free subject to compulsory</w:t>
      </w:r>
      <w:r>
        <w:rPr>
          <w:rFonts w:asciiTheme="minorHAnsi" w:hAnsiTheme="minorHAnsi" w:cstheme="minorHAnsi"/>
          <w:bCs/>
          <w:lang w:val="en-IN"/>
        </w:rPr>
        <w:t xml:space="preserve"> </w:t>
      </w:r>
      <w:r w:rsidR="005E6733" w:rsidRPr="0039280B">
        <w:rPr>
          <w:rFonts w:asciiTheme="minorHAnsi" w:hAnsiTheme="minorHAnsi" w:cstheme="minorHAnsi"/>
          <w:bCs/>
          <w:lang w:val="en-IN"/>
        </w:rPr>
        <w:t>registration  under</w:t>
      </w:r>
      <w:r>
        <w:rPr>
          <w:rFonts w:asciiTheme="minorHAnsi" w:hAnsiTheme="minorHAnsi" w:cstheme="minorHAnsi"/>
          <w:bCs/>
          <w:lang w:val="en-IN"/>
        </w:rPr>
        <w:t xml:space="preserve"> </w:t>
      </w:r>
      <w:r w:rsidR="005E6733" w:rsidRPr="0039280B">
        <w:rPr>
          <w:rFonts w:asciiTheme="minorHAnsi" w:hAnsiTheme="minorHAnsi" w:cstheme="minorHAnsi"/>
          <w:bCs/>
          <w:lang w:val="en-IN"/>
        </w:rPr>
        <w:t>Steel</w:t>
      </w:r>
      <w:r>
        <w:rPr>
          <w:rFonts w:asciiTheme="minorHAnsi" w:hAnsiTheme="minorHAnsi" w:cstheme="minorHAnsi"/>
          <w:bCs/>
          <w:lang w:val="en-IN"/>
        </w:rPr>
        <w:t xml:space="preserve"> </w:t>
      </w:r>
      <w:r w:rsidR="005E6733" w:rsidRPr="0039280B">
        <w:rPr>
          <w:rFonts w:asciiTheme="minorHAnsi" w:hAnsiTheme="minorHAnsi" w:cstheme="minorHAnsi"/>
          <w:bCs/>
          <w:lang w:val="en-IN"/>
        </w:rPr>
        <w:t>Import</w:t>
      </w:r>
      <w:r>
        <w:rPr>
          <w:rFonts w:asciiTheme="minorHAnsi" w:hAnsiTheme="minorHAnsi" w:cstheme="minorHAnsi"/>
          <w:bCs/>
          <w:lang w:val="en-IN"/>
        </w:rPr>
        <w:t xml:space="preserve"> </w:t>
      </w:r>
      <w:r w:rsidR="005E6733" w:rsidRPr="0039280B">
        <w:rPr>
          <w:rFonts w:asciiTheme="minorHAnsi" w:hAnsiTheme="minorHAnsi" w:cstheme="minorHAnsi"/>
          <w:bCs/>
          <w:lang w:val="en-IN"/>
        </w:rPr>
        <w:t xml:space="preserve">Monitoring  System (SIMS),  </w:t>
      </w:r>
      <w:r w:rsidR="005E6733" w:rsidRPr="00A06DAF">
        <w:rPr>
          <w:rFonts w:asciiTheme="minorHAnsi" w:hAnsiTheme="minorHAnsi" w:cstheme="minorHAnsi"/>
          <w:bCs/>
          <w:i/>
          <w:iCs/>
          <w:lang w:val="en-IN"/>
        </w:rPr>
        <w:t>DG</w:t>
      </w:r>
      <w:r w:rsidR="005E6733" w:rsidRPr="0039280B">
        <w:rPr>
          <w:rFonts w:asciiTheme="minorHAnsi" w:hAnsiTheme="minorHAnsi" w:cstheme="minorHAnsi"/>
          <w:bCs/>
          <w:lang w:val="en-IN"/>
        </w:rPr>
        <w:t>FT has  received various representations from members of Trade &amp; Industry seeking clarification on SIMS.</w:t>
      </w:r>
    </w:p>
    <w:p w14:paraId="66774AA3" w14:textId="1491291F" w:rsidR="005E6733" w:rsidRPr="005E6733" w:rsidRDefault="005E6733" w:rsidP="0039280B">
      <w:pPr>
        <w:spacing w:line="360" w:lineRule="auto"/>
        <w:jc w:val="both"/>
        <w:rPr>
          <w:rFonts w:asciiTheme="minorHAnsi" w:hAnsiTheme="minorHAnsi" w:cstheme="minorHAnsi"/>
          <w:bCs/>
          <w:lang w:val="en-IN"/>
        </w:rPr>
      </w:pPr>
      <w:r w:rsidRPr="005E6733">
        <w:rPr>
          <w:rFonts w:asciiTheme="minorHAnsi" w:hAnsiTheme="minorHAnsi" w:cstheme="minorHAnsi"/>
          <w:bCs/>
          <w:lang w:val="en-IN"/>
        </w:rPr>
        <w:t xml:space="preserve">2. The issues </w:t>
      </w:r>
      <w:proofErr w:type="gramStart"/>
      <w:r w:rsidRPr="005E6733">
        <w:rPr>
          <w:rFonts w:asciiTheme="minorHAnsi" w:hAnsiTheme="minorHAnsi" w:cstheme="minorHAnsi"/>
          <w:bCs/>
          <w:lang w:val="en-IN"/>
        </w:rPr>
        <w:t>were  referred</w:t>
      </w:r>
      <w:proofErr w:type="gramEnd"/>
      <w:r w:rsidRPr="005E6733">
        <w:rPr>
          <w:rFonts w:asciiTheme="minorHAnsi" w:hAnsiTheme="minorHAnsi" w:cstheme="minorHAnsi"/>
          <w:bCs/>
          <w:lang w:val="en-IN"/>
        </w:rPr>
        <w:t xml:space="preserve"> to M/O Steel  and based upon their clarification, responses thereto are given below:</w:t>
      </w:r>
    </w:p>
    <w:p w14:paraId="46FEC490" w14:textId="1FE34263" w:rsidR="0039280B" w:rsidRDefault="005E6733" w:rsidP="0039280B">
      <w:pPr>
        <w:spacing w:line="360" w:lineRule="auto"/>
        <w:jc w:val="both"/>
        <w:rPr>
          <w:rFonts w:asciiTheme="minorHAnsi" w:hAnsiTheme="minorHAnsi" w:cstheme="minorHAnsi"/>
          <w:b/>
          <w:bCs/>
          <w:i/>
          <w:iCs/>
          <w:lang w:val="en-IN"/>
        </w:rPr>
      </w:pPr>
      <w:r w:rsidRPr="005E6733">
        <w:rPr>
          <w:rFonts w:asciiTheme="minorHAnsi" w:hAnsiTheme="minorHAnsi" w:cstheme="minorHAnsi"/>
          <w:bCs/>
          <w:lang w:val="en-IN"/>
        </w:rPr>
        <w:t>A. Whether re-import of goods for packaging purposes falling under HS codes of  </w:t>
      </w:r>
      <w:hyperlink r:id="rId39" w:history="1">
        <w:r w:rsidRPr="005E6733">
          <w:rPr>
            <w:rStyle w:val="Hyperlink"/>
            <w:rFonts w:asciiTheme="minorHAnsi" w:hAnsiTheme="minorHAnsi" w:cstheme="minorHAnsi"/>
            <w:bCs/>
            <w:color w:val="auto"/>
            <w:u w:val="none"/>
            <w:lang w:val="en-IN"/>
          </w:rPr>
          <w:t>Chapters 72</w:t>
        </w:r>
      </w:hyperlink>
      <w:r w:rsidRPr="005E6733">
        <w:rPr>
          <w:rFonts w:asciiTheme="minorHAnsi" w:hAnsiTheme="minorHAnsi" w:cstheme="minorHAnsi"/>
          <w:bCs/>
          <w:lang w:val="en-IN"/>
        </w:rPr>
        <w:t>, </w:t>
      </w:r>
      <w:hyperlink r:id="rId40" w:history="1">
        <w:r w:rsidRPr="005E6733">
          <w:rPr>
            <w:rStyle w:val="Hyperlink"/>
            <w:rFonts w:asciiTheme="minorHAnsi" w:hAnsiTheme="minorHAnsi" w:cstheme="minorHAnsi"/>
            <w:bCs/>
            <w:color w:val="auto"/>
            <w:u w:val="none"/>
            <w:lang w:val="en-IN"/>
          </w:rPr>
          <w:t>73</w:t>
        </w:r>
      </w:hyperlink>
      <w:r w:rsidRPr="005E6733">
        <w:rPr>
          <w:rFonts w:asciiTheme="minorHAnsi" w:hAnsiTheme="minorHAnsi" w:cstheme="minorHAnsi"/>
          <w:bCs/>
          <w:lang w:val="en-IN"/>
        </w:rPr>
        <w:t> and </w:t>
      </w:r>
      <w:hyperlink r:id="rId41" w:history="1">
        <w:r w:rsidRPr="005E6733">
          <w:rPr>
            <w:rStyle w:val="Hyperlink"/>
            <w:rFonts w:asciiTheme="minorHAnsi" w:hAnsiTheme="minorHAnsi" w:cstheme="minorHAnsi"/>
            <w:bCs/>
            <w:color w:val="auto"/>
            <w:u w:val="none"/>
            <w:lang w:val="en-IN"/>
          </w:rPr>
          <w:t>86</w:t>
        </w:r>
      </w:hyperlink>
      <w:r w:rsidRPr="005E6733">
        <w:rPr>
          <w:rFonts w:asciiTheme="minorHAnsi" w:hAnsiTheme="minorHAnsi" w:cstheme="minorHAnsi"/>
          <w:bCs/>
          <w:lang w:val="en-IN"/>
        </w:rPr>
        <w:t> of </w:t>
      </w:r>
      <w:hyperlink r:id="rId42" w:history="1">
        <w:r w:rsidRPr="005E6733">
          <w:rPr>
            <w:rStyle w:val="Hyperlink"/>
            <w:rFonts w:asciiTheme="minorHAnsi" w:hAnsiTheme="minorHAnsi" w:cstheme="minorHAnsi"/>
            <w:bCs/>
            <w:color w:val="auto"/>
            <w:u w:val="none"/>
            <w:lang w:val="en-IN"/>
          </w:rPr>
          <w:t>ITC (HS), 2017</w:t>
        </w:r>
      </w:hyperlink>
      <w:r w:rsidRPr="005E6733">
        <w:rPr>
          <w:rFonts w:asciiTheme="minorHAnsi" w:hAnsiTheme="minorHAnsi" w:cstheme="minorHAnsi"/>
          <w:bCs/>
          <w:lang w:val="en-IN"/>
        </w:rPr>
        <w:t> is also covered under scope of  SIMS?</w:t>
      </w:r>
    </w:p>
    <w:p w14:paraId="3EFB26E4" w14:textId="48A89F2E" w:rsidR="005E6733" w:rsidRDefault="005E6733" w:rsidP="0039280B">
      <w:pPr>
        <w:spacing w:line="360" w:lineRule="auto"/>
        <w:jc w:val="both"/>
        <w:rPr>
          <w:rFonts w:asciiTheme="minorHAnsi" w:hAnsiTheme="minorHAnsi" w:cstheme="minorHAnsi"/>
          <w:bCs/>
          <w:lang w:val="en-IN"/>
        </w:rPr>
      </w:pPr>
      <w:r w:rsidRPr="00A06DAF">
        <w:rPr>
          <w:rFonts w:asciiTheme="minorHAnsi" w:hAnsiTheme="minorHAnsi" w:cstheme="minorHAnsi"/>
          <w:b/>
          <w:bCs/>
          <w:lang w:val="en-IN"/>
        </w:rPr>
        <w:t>Response</w:t>
      </w:r>
      <w:r w:rsidRPr="00AA2DF0">
        <w:rPr>
          <w:rFonts w:asciiTheme="minorHAnsi" w:hAnsiTheme="minorHAnsi" w:cstheme="minorHAnsi"/>
          <w:bCs/>
          <w:lang w:val="en-IN"/>
        </w:rPr>
        <w:t>: </w:t>
      </w:r>
      <w:r w:rsidRPr="00A06DAF">
        <w:rPr>
          <w:rFonts w:asciiTheme="minorHAnsi" w:hAnsiTheme="minorHAnsi" w:cstheme="minorHAnsi"/>
          <w:bCs/>
          <w:lang w:val="en-IN"/>
        </w:rPr>
        <w:t>Re-import of steel for packaging purposes will not be covered under SIMS as it is not primarily meant for value addition, rather being re-imported for packaging only.</w:t>
      </w:r>
    </w:p>
    <w:p w14:paraId="07EF8586" w14:textId="77777777" w:rsidR="00AA2DF0" w:rsidRPr="00AA2DF0" w:rsidRDefault="00AA2DF0" w:rsidP="0039280B">
      <w:pPr>
        <w:spacing w:line="360" w:lineRule="auto"/>
        <w:jc w:val="both"/>
        <w:rPr>
          <w:rFonts w:asciiTheme="minorHAnsi" w:hAnsiTheme="minorHAnsi" w:cstheme="minorHAnsi"/>
          <w:bCs/>
          <w:lang w:val="en-IN"/>
        </w:rPr>
      </w:pPr>
    </w:p>
    <w:p w14:paraId="440FD451" w14:textId="77777777" w:rsidR="005E6733" w:rsidRPr="005E6733" w:rsidRDefault="005E6733" w:rsidP="0039280B">
      <w:pPr>
        <w:spacing w:line="360" w:lineRule="auto"/>
        <w:jc w:val="both"/>
        <w:rPr>
          <w:rFonts w:asciiTheme="minorHAnsi" w:hAnsiTheme="minorHAnsi" w:cstheme="minorHAnsi"/>
          <w:bCs/>
          <w:lang w:val="en-IN"/>
        </w:rPr>
      </w:pPr>
      <w:r w:rsidRPr="005E6733">
        <w:rPr>
          <w:rFonts w:asciiTheme="minorHAnsi" w:hAnsiTheme="minorHAnsi" w:cstheme="minorHAnsi"/>
          <w:bCs/>
          <w:lang w:val="en-IN"/>
        </w:rPr>
        <w:t>B.  Whether SIMS Registration is required if the steel/steel item is exported from DTA to SEZ and then imported from SEZ to DTA when [</w:t>
      </w:r>
      <w:proofErr w:type="spellStart"/>
      <w:r w:rsidRPr="005E6733">
        <w:rPr>
          <w:rFonts w:asciiTheme="minorHAnsi" w:hAnsiTheme="minorHAnsi" w:cstheme="minorHAnsi"/>
          <w:bCs/>
          <w:lang w:val="en-IN"/>
        </w:rPr>
        <w:t>i</w:t>
      </w:r>
      <w:proofErr w:type="spellEnd"/>
      <w:r w:rsidRPr="005E6733">
        <w:rPr>
          <w:rFonts w:asciiTheme="minorHAnsi" w:hAnsiTheme="minorHAnsi" w:cstheme="minorHAnsi"/>
          <w:bCs/>
          <w:lang w:val="en-IN"/>
        </w:rPr>
        <w:t>] the item is being imported to DTA without any value addition and [ii] the item is being imported to DTA after some value addition?</w:t>
      </w:r>
    </w:p>
    <w:p w14:paraId="71FB64B6" w14:textId="77777777" w:rsidR="00AA2DF0" w:rsidRDefault="005E6733" w:rsidP="0039280B">
      <w:pPr>
        <w:spacing w:line="360" w:lineRule="auto"/>
        <w:jc w:val="both"/>
        <w:rPr>
          <w:rFonts w:asciiTheme="minorHAnsi" w:hAnsiTheme="minorHAnsi" w:cstheme="minorHAnsi"/>
          <w:bCs/>
          <w:lang w:val="en-IN"/>
        </w:rPr>
      </w:pPr>
      <w:r w:rsidRPr="00A06DAF">
        <w:rPr>
          <w:rFonts w:asciiTheme="minorHAnsi" w:hAnsiTheme="minorHAnsi" w:cstheme="minorHAnsi"/>
          <w:b/>
          <w:bCs/>
          <w:lang w:val="en-IN"/>
        </w:rPr>
        <w:t>Response:</w:t>
      </w:r>
      <w:r w:rsidRPr="00AA2DF0">
        <w:rPr>
          <w:rFonts w:asciiTheme="minorHAnsi" w:hAnsiTheme="minorHAnsi" w:cstheme="minorHAnsi"/>
          <w:bCs/>
          <w:lang w:val="en-IN"/>
        </w:rPr>
        <w:t> </w:t>
      </w:r>
      <w:r w:rsidRPr="00A06DAF">
        <w:rPr>
          <w:rFonts w:asciiTheme="minorHAnsi" w:hAnsiTheme="minorHAnsi" w:cstheme="minorHAnsi"/>
          <w:bCs/>
          <w:lang w:val="en-IN"/>
        </w:rPr>
        <w:t>In both the cases i.e. </w:t>
      </w:r>
    </w:p>
    <w:p w14:paraId="22063441" w14:textId="77777777" w:rsidR="00AA2DF0" w:rsidRDefault="005E6733" w:rsidP="0039280B">
      <w:pPr>
        <w:spacing w:line="360" w:lineRule="auto"/>
        <w:jc w:val="both"/>
        <w:rPr>
          <w:rFonts w:asciiTheme="minorHAnsi" w:hAnsiTheme="minorHAnsi" w:cstheme="minorHAnsi"/>
          <w:bCs/>
          <w:lang w:val="en-IN"/>
        </w:rPr>
      </w:pPr>
      <w:r w:rsidRPr="00A06DAF">
        <w:rPr>
          <w:rFonts w:asciiTheme="minorHAnsi" w:hAnsiTheme="minorHAnsi" w:cstheme="minorHAnsi"/>
          <w:bCs/>
          <w:lang w:val="en-IN"/>
        </w:rPr>
        <w:t>[</w:t>
      </w:r>
      <w:proofErr w:type="spellStart"/>
      <w:r w:rsidRPr="00A06DAF">
        <w:rPr>
          <w:rFonts w:asciiTheme="minorHAnsi" w:hAnsiTheme="minorHAnsi" w:cstheme="minorHAnsi"/>
          <w:bCs/>
          <w:lang w:val="en-IN"/>
        </w:rPr>
        <w:t>i</w:t>
      </w:r>
      <w:proofErr w:type="spellEnd"/>
      <w:r w:rsidRPr="00A06DAF">
        <w:rPr>
          <w:rFonts w:asciiTheme="minorHAnsi" w:hAnsiTheme="minorHAnsi" w:cstheme="minorHAnsi"/>
          <w:bCs/>
          <w:lang w:val="en-IN"/>
        </w:rPr>
        <w:t xml:space="preserve">] if the steel /steel item is exported from DTA to SEZ and then imported into DTA from SEZ without value addition, or </w:t>
      </w:r>
    </w:p>
    <w:p w14:paraId="2E50F8F3" w14:textId="3468580A" w:rsidR="005E6733" w:rsidRPr="00AA2DF0" w:rsidRDefault="005E6733" w:rsidP="0039280B">
      <w:pPr>
        <w:spacing w:line="360" w:lineRule="auto"/>
        <w:jc w:val="both"/>
        <w:rPr>
          <w:rFonts w:asciiTheme="minorHAnsi" w:hAnsiTheme="minorHAnsi" w:cstheme="minorHAnsi"/>
          <w:bCs/>
          <w:lang w:val="en-IN"/>
        </w:rPr>
      </w:pPr>
      <w:r w:rsidRPr="00A06DAF">
        <w:rPr>
          <w:rFonts w:asciiTheme="minorHAnsi" w:hAnsiTheme="minorHAnsi" w:cstheme="minorHAnsi"/>
          <w:bCs/>
          <w:lang w:val="en-IN"/>
        </w:rPr>
        <w:t>[ii] with value addition, there should be no requirement for SIMS registration.</w:t>
      </w:r>
    </w:p>
    <w:p w14:paraId="736B4DBA" w14:textId="77777777" w:rsidR="005E6733" w:rsidRPr="005E6733" w:rsidRDefault="005E6733" w:rsidP="0039280B">
      <w:pPr>
        <w:spacing w:line="360" w:lineRule="auto"/>
        <w:jc w:val="both"/>
        <w:rPr>
          <w:rFonts w:asciiTheme="minorHAnsi" w:hAnsiTheme="minorHAnsi" w:cstheme="minorHAnsi"/>
          <w:bCs/>
          <w:lang w:val="en-IN"/>
        </w:rPr>
      </w:pPr>
      <w:r w:rsidRPr="005E6733">
        <w:rPr>
          <w:rFonts w:asciiTheme="minorHAnsi" w:hAnsiTheme="minorHAnsi" w:cstheme="minorHAnsi"/>
          <w:bCs/>
          <w:lang w:val="en-IN"/>
        </w:rPr>
        <w:t>This issues with the approval of the competent authority.</w:t>
      </w:r>
    </w:p>
    <w:p w14:paraId="42935819" w14:textId="531742C3" w:rsidR="008A60AA" w:rsidRPr="00721FE0" w:rsidRDefault="006A5301" w:rsidP="005E6733">
      <w:pPr>
        <w:jc w:val="both"/>
        <w:rPr>
          <w:rFonts w:asciiTheme="minorHAnsi" w:hAnsiTheme="minorHAnsi" w:cstheme="minorHAnsi"/>
          <w:color w:val="333333"/>
          <w:lang w:val="en-IN" w:eastAsia="en-IN"/>
        </w:rPr>
        <w:sectPr w:rsidR="008A60AA" w:rsidRPr="00721FE0" w:rsidSect="00421927">
          <w:headerReference w:type="default" r:id="rId4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F31F2E">
        <w:rPr>
          <w:rFonts w:asciiTheme="minorHAnsi" w:hAnsiTheme="minorHAnsi" w:cstheme="minorHAnsi"/>
          <w:b/>
          <w:bCs/>
        </w:rPr>
        <w:t>[For further details please refer the</w:t>
      </w:r>
      <w:r>
        <w:rPr>
          <w:rFonts w:asciiTheme="minorHAnsi" w:hAnsiTheme="minorHAnsi" w:cstheme="minorHAnsi"/>
          <w:b/>
          <w:bCs/>
        </w:rPr>
        <w:t xml:space="preserve"> </w:t>
      </w:r>
      <w:r w:rsidR="009C0F64">
        <w:rPr>
          <w:rFonts w:asciiTheme="minorHAnsi" w:hAnsiTheme="minorHAnsi" w:cstheme="minorHAnsi"/>
          <w:b/>
          <w:bCs/>
        </w:rPr>
        <w:t>Policy Circular</w:t>
      </w:r>
      <w:r>
        <w:rPr>
          <w:rFonts w:asciiTheme="minorHAnsi" w:hAnsiTheme="minorHAnsi" w:cstheme="minorHAnsi"/>
          <w:b/>
          <w:bCs/>
        </w:rPr>
        <w:t>]</w:t>
      </w:r>
    </w:p>
    <w:p w14:paraId="5B428263" w14:textId="69752040" w:rsidR="004203B5" w:rsidRPr="001855F3" w:rsidRDefault="004203B5" w:rsidP="002C1B00">
      <w:pPr>
        <w:spacing w:after="0" w:line="360" w:lineRule="auto"/>
        <w:jc w:val="both"/>
        <w:rPr>
          <w:rFonts w:asciiTheme="minorHAnsi" w:hAnsiTheme="minorHAnsi" w:cstheme="minorHAnsi"/>
          <w:b/>
        </w:rPr>
        <w:sectPr w:rsidR="004203B5" w:rsidRPr="001855F3" w:rsidSect="00421927">
          <w:headerReference w:type="default" r:id="rId4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A664D08" w14:textId="77777777" w:rsidR="001855F3" w:rsidRDefault="001855F3">
      <w:pPr>
        <w:spacing w:after="0" w:line="240" w:lineRule="auto"/>
        <w:rPr>
          <w:rFonts w:ascii="Bookman Old Style" w:hAnsi="Bookman Old Style" w:cs="Arial"/>
          <w:b/>
          <w:bCs/>
          <w:color w:val="FF0000"/>
          <w:sz w:val="28"/>
          <w:szCs w:val="28"/>
          <w:u w:val="single"/>
        </w:rPr>
      </w:pPr>
    </w:p>
    <w:p w14:paraId="557A52AA" w14:textId="2604F43D"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59ADC313"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w:t>
      </w:r>
      <w:r w:rsidR="00D353C6">
        <w:rPr>
          <w:rFonts w:ascii="Bookman Old Style" w:hAnsi="Bookman Old Style" w:cs="Arial"/>
          <w:color w:val="222222"/>
          <w:sz w:val="17"/>
          <w:szCs w:val="17"/>
          <w:bdr w:val="none" w:sz="0" w:space="0" w:color="auto" w:frame="1"/>
        </w:rPr>
        <w:t>8777784162</w:t>
      </w:r>
      <w:r w:rsidR="00937AC4">
        <w:rPr>
          <w:rFonts w:ascii="Bookman Old Style" w:hAnsi="Bookman Old Style" w:cs="Arial"/>
          <w:color w:val="222222"/>
          <w:sz w:val="17"/>
          <w:szCs w:val="17"/>
          <w:bdr w:val="none" w:sz="0" w:space="0" w:color="auto" w:frame="1"/>
        </w:rPr>
        <w:t>, 9830661254</w:t>
      </w:r>
    </w:p>
    <w:p w14:paraId="33521406" w14:textId="53575F64" w:rsidR="00937AC4" w:rsidRDefault="00937AC4" w:rsidP="00937AC4">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6"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4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9" w:tgtFrame="_blank" w:history="1">
        <w:r>
          <w:rPr>
            <w:rStyle w:val="Hyperlink"/>
            <w:color w:val="76923C"/>
            <w:sz w:val="17"/>
            <w:szCs w:val="17"/>
          </w:rPr>
          <w:t>www.taxconnect.co.in</w:t>
        </w:r>
      </w:hyperlink>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05682794" w:rsidR="009862E1" w:rsidRDefault="00EC5D17" w:rsidP="00F474C8">
      <w:pPr>
        <w:pStyle w:val="BodyText"/>
        <w:tabs>
          <w:tab w:val="left" w:pos="4820"/>
        </w:tabs>
        <w:ind w:left="2700"/>
        <w:rPr>
          <w:sz w:val="20"/>
        </w:rPr>
      </w:pPr>
      <w:r>
        <w:rPr>
          <w:noProof/>
        </w:rPr>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52"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53"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56"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57"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59"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60"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61"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64"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65"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68"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69"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68"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69"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70"/>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87D0" w14:textId="77777777" w:rsidR="00FA6925" w:rsidRDefault="00FA6925" w:rsidP="008A20D1">
      <w:pPr>
        <w:spacing w:after="0" w:line="240" w:lineRule="auto"/>
      </w:pPr>
      <w:r>
        <w:separator/>
      </w:r>
    </w:p>
  </w:endnote>
  <w:endnote w:type="continuationSeparator" w:id="0">
    <w:p w14:paraId="0CABA536" w14:textId="77777777" w:rsidR="00FA6925" w:rsidRDefault="00FA6925"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72D3537B" w14:textId="77777777" w:rsidR="00136D62" w:rsidRPr="0057669E" w:rsidRDefault="00136D62" w:rsidP="00136D62">
                          <w:pPr>
                            <w:spacing w:after="0"/>
                            <w:rPr>
                              <w:rFonts w:ascii="Cambria" w:hAnsi="Cambria"/>
                              <w:b/>
                              <w:color w:val="002060"/>
                              <w:sz w:val="20"/>
                              <w:szCs w:val="20"/>
                            </w:rPr>
                          </w:pPr>
                          <w:r>
                            <w:rPr>
                              <w:rFonts w:ascii="Bookman Old Style" w:hAnsi="Bookman Old Style"/>
                              <w:color w:val="14415C"/>
                              <w:sz w:val="18"/>
                              <w:szCs w:val="18"/>
                            </w:rPr>
                            <w:t>Tax Connect: 335</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0367C90" w14:textId="77777777" w:rsidR="00136D62" w:rsidRDefault="00136D62" w:rsidP="00136D62">
                          <w:pPr>
                            <w:spacing w:after="0"/>
                            <w:rPr>
                              <w:rFonts w:ascii="Bookman Old Style" w:hAnsi="Bookman Old Style"/>
                              <w:b/>
                              <w:color w:val="14415C"/>
                              <w:sz w:val="18"/>
                              <w:szCs w:val="18"/>
                            </w:rPr>
                          </w:pPr>
                          <w:r>
                            <w:rPr>
                              <w:rFonts w:ascii="Bookman Old Style" w:hAnsi="Bookman Old Style"/>
                              <w:color w:val="14415C"/>
                              <w:sz w:val="18"/>
                              <w:szCs w:val="18"/>
                            </w:rPr>
                            <w:t>30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2022- 5</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72D3537B" w14:textId="77777777" w:rsidR="00136D62" w:rsidRPr="0057669E" w:rsidRDefault="00136D62" w:rsidP="00136D62">
                    <w:pPr>
                      <w:spacing w:after="0"/>
                      <w:rPr>
                        <w:rFonts w:ascii="Cambria" w:hAnsi="Cambria"/>
                        <w:b/>
                        <w:color w:val="002060"/>
                        <w:sz w:val="20"/>
                        <w:szCs w:val="20"/>
                      </w:rPr>
                    </w:pPr>
                    <w:r>
                      <w:rPr>
                        <w:rFonts w:ascii="Bookman Old Style" w:hAnsi="Bookman Old Style"/>
                        <w:color w:val="14415C"/>
                        <w:sz w:val="18"/>
                        <w:szCs w:val="18"/>
                      </w:rPr>
                      <w:t>Tax Connect: 335</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0367C90" w14:textId="77777777" w:rsidR="00136D62" w:rsidRDefault="00136D62" w:rsidP="00136D62">
                    <w:pPr>
                      <w:spacing w:after="0"/>
                      <w:rPr>
                        <w:rFonts w:ascii="Bookman Old Style" w:hAnsi="Bookman Old Style"/>
                        <w:b/>
                        <w:color w:val="14415C"/>
                        <w:sz w:val="18"/>
                        <w:szCs w:val="18"/>
                      </w:rPr>
                    </w:pPr>
                    <w:r>
                      <w:rPr>
                        <w:rFonts w:ascii="Bookman Old Style" w:hAnsi="Bookman Old Style"/>
                        <w:color w:val="14415C"/>
                        <w:sz w:val="18"/>
                        <w:szCs w:val="18"/>
                      </w:rPr>
                      <w:t>30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2022- 5</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628E9194"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136D62">
                            <w:rPr>
                              <w:rFonts w:ascii="Bookman Old Style" w:hAnsi="Bookman Old Style"/>
                              <w:color w:val="14415C"/>
                              <w:sz w:val="18"/>
                              <w:szCs w:val="18"/>
                            </w:rPr>
                            <w:t>5</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1AE36482" w:rsidR="00EE3189" w:rsidRDefault="00136D62" w:rsidP="00EE3189">
                          <w:pPr>
                            <w:spacing w:after="0"/>
                            <w:rPr>
                              <w:rFonts w:ascii="Bookman Old Style" w:hAnsi="Bookman Old Style"/>
                              <w:b/>
                              <w:color w:val="14415C"/>
                              <w:sz w:val="18"/>
                              <w:szCs w:val="18"/>
                            </w:rPr>
                          </w:pPr>
                          <w:r>
                            <w:rPr>
                              <w:rFonts w:ascii="Bookman Old Style" w:hAnsi="Bookman Old Style"/>
                              <w:color w:val="14415C"/>
                              <w:sz w:val="18"/>
                              <w:szCs w:val="18"/>
                            </w:rPr>
                            <w:t>30</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Pr>
                              <w:rFonts w:ascii="Bookman Old Style" w:hAnsi="Bookman Old Style"/>
                              <w:color w:val="14415C"/>
                              <w:sz w:val="18"/>
                              <w:szCs w:val="18"/>
                            </w:rPr>
                            <w:t>- 5</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628E9194"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136D62">
                      <w:rPr>
                        <w:rFonts w:ascii="Bookman Old Style" w:hAnsi="Bookman Old Style"/>
                        <w:color w:val="14415C"/>
                        <w:sz w:val="18"/>
                        <w:szCs w:val="18"/>
                      </w:rPr>
                      <w:t>5</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1AE36482" w:rsidR="00EE3189" w:rsidRDefault="00136D62" w:rsidP="00EE3189">
                    <w:pPr>
                      <w:spacing w:after="0"/>
                      <w:rPr>
                        <w:rFonts w:ascii="Bookman Old Style" w:hAnsi="Bookman Old Style"/>
                        <w:b/>
                        <w:color w:val="14415C"/>
                        <w:sz w:val="18"/>
                        <w:szCs w:val="18"/>
                      </w:rPr>
                    </w:pPr>
                    <w:r>
                      <w:rPr>
                        <w:rFonts w:ascii="Bookman Old Style" w:hAnsi="Bookman Old Style"/>
                        <w:color w:val="14415C"/>
                        <w:sz w:val="18"/>
                        <w:szCs w:val="18"/>
                      </w:rPr>
                      <w:t>30</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Pr>
                        <w:rFonts w:ascii="Bookman Old Style" w:hAnsi="Bookman Old Style"/>
                        <w:color w:val="14415C"/>
                        <w:sz w:val="18"/>
                        <w:szCs w:val="18"/>
                      </w:rPr>
                      <w:t>- 5</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46D38455" w14:textId="77777777" w:rsidR="00A31C61" w:rsidRPr="0057669E" w:rsidRDefault="00A31C61" w:rsidP="00A31C61">
                          <w:pPr>
                            <w:spacing w:after="0"/>
                            <w:rPr>
                              <w:rFonts w:ascii="Cambria" w:hAnsi="Cambria"/>
                              <w:b/>
                              <w:color w:val="002060"/>
                              <w:sz w:val="20"/>
                              <w:szCs w:val="20"/>
                            </w:rPr>
                          </w:pPr>
                          <w:r>
                            <w:rPr>
                              <w:rFonts w:ascii="Bookman Old Style" w:hAnsi="Bookman Old Style"/>
                              <w:color w:val="14415C"/>
                              <w:sz w:val="18"/>
                              <w:szCs w:val="18"/>
                            </w:rPr>
                            <w:t>Tax Connect: 335</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B889715" w14:textId="77777777" w:rsidR="00A31C61" w:rsidRDefault="00A31C61" w:rsidP="00A31C61">
                          <w:pPr>
                            <w:spacing w:after="0"/>
                            <w:rPr>
                              <w:rFonts w:ascii="Bookman Old Style" w:hAnsi="Bookman Old Style"/>
                              <w:b/>
                              <w:color w:val="14415C"/>
                              <w:sz w:val="18"/>
                              <w:szCs w:val="18"/>
                            </w:rPr>
                          </w:pPr>
                          <w:r>
                            <w:rPr>
                              <w:rFonts w:ascii="Bookman Old Style" w:hAnsi="Bookman Old Style"/>
                              <w:color w:val="14415C"/>
                              <w:sz w:val="18"/>
                              <w:szCs w:val="18"/>
                            </w:rPr>
                            <w:t>30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2022- 5</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46D38455" w14:textId="77777777" w:rsidR="00A31C61" w:rsidRPr="0057669E" w:rsidRDefault="00A31C61" w:rsidP="00A31C61">
                    <w:pPr>
                      <w:spacing w:after="0"/>
                      <w:rPr>
                        <w:rFonts w:ascii="Cambria" w:hAnsi="Cambria"/>
                        <w:b/>
                        <w:color w:val="002060"/>
                        <w:sz w:val="20"/>
                        <w:szCs w:val="20"/>
                      </w:rPr>
                    </w:pPr>
                    <w:r>
                      <w:rPr>
                        <w:rFonts w:ascii="Bookman Old Style" w:hAnsi="Bookman Old Style"/>
                        <w:color w:val="14415C"/>
                        <w:sz w:val="18"/>
                        <w:szCs w:val="18"/>
                      </w:rPr>
                      <w:t>Tax Connect: 335</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B889715" w14:textId="77777777" w:rsidR="00A31C61" w:rsidRDefault="00A31C61" w:rsidP="00A31C61">
                    <w:pPr>
                      <w:spacing w:after="0"/>
                      <w:rPr>
                        <w:rFonts w:ascii="Bookman Old Style" w:hAnsi="Bookman Old Style"/>
                        <w:b/>
                        <w:color w:val="14415C"/>
                        <w:sz w:val="18"/>
                        <w:szCs w:val="18"/>
                      </w:rPr>
                    </w:pPr>
                    <w:r>
                      <w:rPr>
                        <w:rFonts w:ascii="Bookman Old Style" w:hAnsi="Bookman Old Style"/>
                        <w:color w:val="14415C"/>
                        <w:sz w:val="18"/>
                        <w:szCs w:val="18"/>
                      </w:rPr>
                      <w:t>30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January 2022- 5</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B1FC" w14:textId="77777777" w:rsidR="00FA6925" w:rsidRDefault="00FA6925" w:rsidP="008A20D1">
      <w:pPr>
        <w:spacing w:after="0" w:line="240" w:lineRule="auto"/>
      </w:pPr>
      <w:r>
        <w:separator/>
      </w:r>
    </w:p>
  </w:footnote>
  <w:footnote w:type="continuationSeparator" w:id="0">
    <w:p w14:paraId="6942D0E5" w14:textId="77777777" w:rsidR="00FA6925" w:rsidRDefault="00FA6925"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4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51" name="Picture 5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8" name="Picture 4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4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9" name="Picture 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3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 name="Picture 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8660EA4">
              <wp:simplePos x="0" y="0"/>
              <wp:positionH relativeFrom="column">
                <wp:posOffset>2151380</wp:posOffset>
              </wp:positionH>
              <wp:positionV relativeFrom="paragraph">
                <wp:posOffset>45720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24A8E">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9.4pt;margin-top:3.6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k2acRFgIAABYEAAAOAAAAAAAAAAAAAAAAAC4CAABkcnMvZTJvRG9jLnhtbFBLAQItABQABgAI&#10;AAAAIQCox/Ds3gAAAAgBAAAPAAAAAAAAAAAAAAAAAHAEAABkcnMvZG93bnJldi54bWxQSwUGAAAA&#10;AAQABADzAAAAewUAAAAA&#10;" fillcolor="#4e8542" stroked="f">
              <v:textbox>
                <w:txbxContent>
                  <w:p w14:paraId="1307EC42" w14:textId="6FEE8219" w:rsidR="00BA1530" w:rsidRDefault="00B24A8E" w:rsidP="00B24A8E">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36" name="Picture 36"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37" name="Picture 3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3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732DB1D9">
              <wp:simplePos x="0" y="0"/>
              <wp:positionH relativeFrom="column">
                <wp:posOffset>2151380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69.4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0" name="Picture 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4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C6F"/>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99E"/>
    <w:rsid w:val="00263BE3"/>
    <w:rsid w:val="0026441B"/>
    <w:rsid w:val="00264A20"/>
    <w:rsid w:val="00265089"/>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68E"/>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6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E91"/>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1E7"/>
    <w:rsid w:val="004122EB"/>
    <w:rsid w:val="004125DC"/>
    <w:rsid w:val="00412D0D"/>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487"/>
    <w:rsid w:val="004A29D4"/>
    <w:rsid w:val="004A30E7"/>
    <w:rsid w:val="004A320F"/>
    <w:rsid w:val="004A33E7"/>
    <w:rsid w:val="004A35D3"/>
    <w:rsid w:val="004A3B4C"/>
    <w:rsid w:val="004A3EE5"/>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7E4"/>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576"/>
    <w:rsid w:val="00540625"/>
    <w:rsid w:val="005406D8"/>
    <w:rsid w:val="0054076B"/>
    <w:rsid w:val="005408C0"/>
    <w:rsid w:val="00540965"/>
    <w:rsid w:val="00540970"/>
    <w:rsid w:val="00540976"/>
    <w:rsid w:val="0054097B"/>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AF5"/>
    <w:rsid w:val="005A4BF3"/>
    <w:rsid w:val="005A4C23"/>
    <w:rsid w:val="005A4DBE"/>
    <w:rsid w:val="005A4E01"/>
    <w:rsid w:val="005A51EF"/>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6E3"/>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B8A"/>
    <w:rsid w:val="00675D22"/>
    <w:rsid w:val="006763DB"/>
    <w:rsid w:val="0067665C"/>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A45"/>
    <w:rsid w:val="006D7A47"/>
    <w:rsid w:val="006D7B4F"/>
    <w:rsid w:val="006D7B90"/>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582"/>
    <w:rsid w:val="007E16A2"/>
    <w:rsid w:val="007E1709"/>
    <w:rsid w:val="007E1900"/>
    <w:rsid w:val="007E1ACF"/>
    <w:rsid w:val="007E2001"/>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462"/>
    <w:rsid w:val="008737A7"/>
    <w:rsid w:val="008740AC"/>
    <w:rsid w:val="00874210"/>
    <w:rsid w:val="008749A3"/>
    <w:rsid w:val="00874C40"/>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4A"/>
    <w:rsid w:val="009D29D8"/>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E1"/>
    <w:rsid w:val="00A049D5"/>
    <w:rsid w:val="00A04B8B"/>
    <w:rsid w:val="00A04C19"/>
    <w:rsid w:val="00A04DBD"/>
    <w:rsid w:val="00A059E6"/>
    <w:rsid w:val="00A05A55"/>
    <w:rsid w:val="00A060FE"/>
    <w:rsid w:val="00A066A5"/>
    <w:rsid w:val="00A0688C"/>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6FAF"/>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2EB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BB1"/>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753"/>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4E47"/>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5D55"/>
    <w:rsid w:val="00E85E4A"/>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A61"/>
    <w:rsid w:val="00EB4BB7"/>
    <w:rsid w:val="00EB4DA5"/>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0DFD"/>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27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yperlink" Target="https://www.taxmanagementindia.com/visitor/details_tariff_duty_ITC_HSN.asp?Tariff_Index_ID=472" TargetMode="External"/><Relationship Id="rId21" Type="http://schemas.openxmlformats.org/officeDocument/2006/relationships/hyperlink" Target="http://www.taxconnect.co.in" TargetMode="External"/><Relationship Id="rId34" Type="http://schemas.openxmlformats.org/officeDocument/2006/relationships/hyperlink" Target="https://www.taxmanagementindia.com/visitor/detail_notification.asp?ID=120414" TargetMode="External"/><Relationship Id="rId42" Type="http://schemas.openxmlformats.org/officeDocument/2006/relationships/hyperlink" Target="https://www.taxmanagementindia.com/visitor/tariff_classification_duty_ITC_HSN.asp?ID=33" TargetMode="External"/><Relationship Id="rId47" Type="http://schemas.openxmlformats.org/officeDocument/2006/relationships/hyperlink" Target="mailto:info@taxconnect.co.in" TargetMode="External"/><Relationship Id="rId50" Type="http://schemas.openxmlformats.org/officeDocument/2006/relationships/image" Target="media/image12.png"/><Relationship Id="rId55" Type="http://schemas.openxmlformats.org/officeDocument/2006/relationships/image" Target="media/image17.png"/><Relationship Id="rId63" Type="http://schemas.openxmlformats.org/officeDocument/2006/relationships/image" Target="media/image23.png"/><Relationship Id="rId68"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eader" Target="header10.xml"/><Relationship Id="rId37" Type="http://schemas.openxmlformats.org/officeDocument/2006/relationships/hyperlink" Target="https://www.taxmanagementindia.com/visitor/details_tariff_duty_ITC_HSN.asp?Tariff_Index_ID=486" TargetMode="External"/><Relationship Id="rId40" Type="http://schemas.openxmlformats.org/officeDocument/2006/relationships/hyperlink" Target="https://www.taxmanagementindia.com/visitor/details_tariff_duty_ITC_HSN.asp?Tariff_Index_ID=473" TargetMode="External"/><Relationship Id="rId45" Type="http://schemas.openxmlformats.org/officeDocument/2006/relationships/image" Target="media/image11.jpeg"/><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www.taxmanagementindia.com/visitor/details_tariff_duty_ITC_HSN.asp?Tariff_Index_ID=473" TargetMode="External"/><Relationship Id="rId49" Type="http://schemas.openxmlformats.org/officeDocument/2006/relationships/hyperlink" Target="http://www.taxconnect.co.in/" TargetMode="External"/><Relationship Id="rId57" Type="http://schemas.openxmlformats.org/officeDocument/2006/relationships/image" Target="media/image19.png"/><Relationship Id="rId61" Type="http://schemas.openxmlformats.org/officeDocument/2006/relationships/hyperlink" Target="mailto:poonam.khemka@taxconnectdelhi.co.in" TargetMode="External"/><Relationship Id="rId10" Type="http://schemas.openxmlformats.org/officeDocument/2006/relationships/image" Target="media/image3.jpeg"/><Relationship Id="rId19" Type="http://schemas.openxmlformats.org/officeDocument/2006/relationships/hyperlink" Target="http://www.taxconnect.co.in" TargetMode="External"/><Relationship Id="rId31" Type="http://schemas.openxmlformats.org/officeDocument/2006/relationships/footer" Target="footer3.xml"/><Relationship Id="rId44" Type="http://schemas.openxmlformats.org/officeDocument/2006/relationships/header" Target="header13.xml"/><Relationship Id="rId52" Type="http://schemas.openxmlformats.org/officeDocument/2006/relationships/image" Target="media/image14.png"/><Relationship Id="rId60" Type="http://schemas.openxmlformats.org/officeDocument/2006/relationships/image" Target="media/image21.png"/><Relationship Id="rId65"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header" Target="header12.xml"/><Relationship Id="rId48" Type="http://schemas.openxmlformats.org/officeDocument/2006/relationships/hyperlink" Target="http://www.bookcorporation.com/" TargetMode="External"/><Relationship Id="rId56" Type="http://schemas.openxmlformats.org/officeDocument/2006/relationships/image" Target="media/image18.png"/><Relationship Id="rId64" Type="http://schemas.openxmlformats.org/officeDocument/2006/relationships/image" Target="media/image24.png"/><Relationship Id="rId69"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image" Target="media/image13.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detail_notification.asp?ID=3315" TargetMode="External"/><Relationship Id="rId38" Type="http://schemas.openxmlformats.org/officeDocument/2006/relationships/hyperlink" Target="https://www.taxmanagementindia.com/visitor/tariff_classification_duty_ITC_HSN.asp?ID=33" TargetMode="External"/><Relationship Id="rId46" Type="http://schemas.openxmlformats.org/officeDocument/2006/relationships/hyperlink" Target="mailto:bookcorporation@gmail.com" TargetMode="External"/><Relationship Id="rId59" Type="http://schemas.openxmlformats.org/officeDocument/2006/relationships/hyperlink" Target="mailto:poonam.khemka@taxconnectdelhi.co.in" TargetMode="External"/><Relationship Id="rId67" Type="http://schemas.openxmlformats.org/officeDocument/2006/relationships/image" Target="media/image27.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s_tariff_duty_ITC_HSN.asp?Tariff_Index_ID=486" TargetMode="External"/><Relationship Id="rId54" Type="http://schemas.openxmlformats.org/officeDocument/2006/relationships/image" Target="media/image16.png"/><Relationship Id="rId62" Type="http://schemas.openxmlformats.org/officeDocument/2006/relationships/image" Target="media/image22.png"/><Relationship Id="rId70" Type="http://schemas.openxmlformats.org/officeDocument/2006/relationships/header" Target="header14.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3095</Words>
  <Characters>17643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17</cp:revision>
  <cp:lastPrinted>2021-10-22T22:05:00Z</cp:lastPrinted>
  <dcterms:created xsi:type="dcterms:W3CDTF">2022-01-28T07:48:00Z</dcterms:created>
  <dcterms:modified xsi:type="dcterms:W3CDTF">2022-01-28T14:19:00Z</dcterms:modified>
</cp:coreProperties>
</file>