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line="235" w:lineRule="auto"/>
        <w:ind w:left="943" w:right="8088"/>
        <w:jc w:val="center"/>
      </w:pPr>
      <w:r>
        <w:rPr/>
        <w:drawing>
          <wp:anchor distT="0" distB="0" distL="0" distR="0" allowOverlap="1" layoutInCell="1" locked="0" behindDoc="1" simplePos="0" relativeHeight="251102208">
            <wp:simplePos x="0" y="0"/>
            <wp:positionH relativeFrom="page">
              <wp:posOffset>327660</wp:posOffset>
            </wp:positionH>
            <wp:positionV relativeFrom="paragraph">
              <wp:posOffset>-504283</wp:posOffset>
            </wp:positionV>
            <wp:extent cx="9715500" cy="5091684"/>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715500" cy="5091684"/>
                    </a:xfrm>
                    <a:prstGeom prst="rect">
                      <a:avLst/>
                    </a:prstGeom>
                  </pic:spPr>
                </pic:pic>
              </a:graphicData>
            </a:graphic>
          </wp:anchor>
        </w:drawing>
      </w:r>
      <w:r>
        <w:rPr/>
        <w:drawing>
          <wp:anchor distT="0" distB="0" distL="0" distR="0" allowOverlap="1" layoutInCell="1" locked="0" behindDoc="0" simplePos="0" relativeHeight="251659264">
            <wp:simplePos x="0" y="0"/>
            <wp:positionH relativeFrom="page">
              <wp:posOffset>8287511</wp:posOffset>
            </wp:positionH>
            <wp:positionV relativeFrom="paragraph">
              <wp:posOffset>-1098643</wp:posOffset>
            </wp:positionV>
            <wp:extent cx="2404871" cy="52425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404871" cy="524256"/>
                    </a:xfrm>
                    <a:prstGeom prst="rect">
                      <a:avLst/>
                    </a:prstGeom>
                  </pic:spPr>
                </pic:pic>
              </a:graphicData>
            </a:graphic>
          </wp:anchor>
        </w:drawing>
      </w:r>
      <w:r>
        <w:rPr>
          <w:color w:val="1F497C"/>
        </w:rPr>
        <w:t>Critical Changes in GST Compliances from 1</w:t>
      </w:r>
      <w:r>
        <w:rPr>
          <w:color w:val="1F497C"/>
          <w:position w:val="19"/>
          <w:sz w:val="42"/>
        </w:rPr>
        <w:t>st </w:t>
      </w:r>
      <w:r>
        <w:rPr>
          <w:color w:val="1F497C"/>
        </w:rPr>
        <w:t>January 2021</w:t>
      </w:r>
    </w:p>
    <w:p>
      <w:pPr>
        <w:pStyle w:val="BodyText"/>
        <w:spacing w:before="6"/>
        <w:rPr>
          <w:rFonts w:ascii="Calibri"/>
          <w:b/>
          <w:sz w:val="12"/>
        </w:rPr>
      </w:pPr>
    </w:p>
    <w:p>
      <w:pPr>
        <w:spacing w:before="106"/>
        <w:ind w:left="635" w:right="0" w:firstLine="0"/>
        <w:jc w:val="left"/>
        <w:rPr>
          <w:rFonts w:ascii="Trebuchet MS" w:hAnsi="Trebuchet MS"/>
          <w:b/>
          <w:sz w:val="31"/>
        </w:rPr>
      </w:pPr>
      <w:r>
        <w:rPr>
          <w:rFonts w:ascii="Trebuchet MS" w:hAnsi="Trebuchet MS"/>
          <w:b/>
          <w:color w:val="953634"/>
          <w:sz w:val="31"/>
        </w:rPr>
        <w:t>By –</w:t>
      </w:r>
    </w:p>
    <w:p>
      <w:pPr>
        <w:pStyle w:val="Heading2"/>
        <w:spacing w:before="318"/>
        <w:ind w:left="636"/>
        <w:rPr>
          <w:rFonts w:ascii="Book Antiqua"/>
        </w:rPr>
      </w:pPr>
      <w:r>
        <w:rPr>
          <w:rFonts w:ascii="Book Antiqua"/>
          <w:color w:val="953634"/>
        </w:rPr>
        <w:t>Team Tax Connect</w:t>
      </w:r>
    </w:p>
    <w:p>
      <w:pPr>
        <w:spacing w:line="290" w:lineRule="auto" w:before="450"/>
        <w:ind w:left="635" w:right="11275" w:firstLine="0"/>
        <w:jc w:val="left"/>
        <w:rPr>
          <w:rFonts w:ascii="Trebuchet MS" w:hAnsi="Trebuchet MS"/>
          <w:sz w:val="31"/>
        </w:rPr>
      </w:pPr>
      <w:r>
        <w:rPr>
          <w:rFonts w:ascii="Trebuchet MS" w:hAnsi="Trebuchet MS"/>
          <w:b/>
          <w:color w:val="953634"/>
          <w:sz w:val="31"/>
        </w:rPr>
        <w:t>E-Mail –</w:t>
      </w:r>
      <w:r>
        <w:rPr>
          <w:rFonts w:ascii="Trebuchet MS" w:hAnsi="Trebuchet MS"/>
          <w:b/>
          <w:color w:val="FFFFFF"/>
          <w:sz w:val="31"/>
          <w:u w:val="single" w:color="FFFFFF"/>
        </w:rPr>
        <w:t> </w:t>
      </w:r>
      <w:hyperlink r:id="rId7">
        <w:r>
          <w:rPr>
            <w:rFonts w:ascii="Trebuchet MS" w:hAnsi="Trebuchet MS"/>
            <w:color w:val="FFFFFF"/>
            <w:sz w:val="31"/>
            <w:u w:val="single" w:color="FFFFFF"/>
          </w:rPr>
          <w:t>info@taxconnect.co.in</w:t>
        </w:r>
      </w:hyperlink>
      <w:r>
        <w:rPr>
          <w:rFonts w:ascii="Trebuchet MS" w:hAnsi="Trebuchet MS"/>
          <w:color w:val="FFFFFF"/>
          <w:sz w:val="31"/>
        </w:rPr>
        <w:t> </w:t>
      </w:r>
      <w:r>
        <w:rPr>
          <w:rFonts w:ascii="Trebuchet MS" w:hAnsi="Trebuchet MS"/>
          <w:color w:val="953634"/>
          <w:sz w:val="31"/>
        </w:rPr>
        <w:t>Call - +91 98306 61254</w:t>
      </w:r>
    </w:p>
    <w:p>
      <w:pPr>
        <w:pStyle w:val="BodyText"/>
        <w:rPr>
          <w:rFonts w:ascii="Trebuchet MS"/>
        </w:rPr>
      </w:pPr>
    </w:p>
    <w:p>
      <w:pPr>
        <w:tabs>
          <w:tab w:pos="3523" w:val="left" w:leader="none"/>
          <w:tab w:pos="6054" w:val="left" w:leader="none"/>
          <w:tab w:pos="8110" w:val="left" w:leader="none"/>
        </w:tabs>
        <w:spacing w:before="0"/>
        <w:ind w:left="1483" w:right="0" w:firstLine="0"/>
        <w:jc w:val="left"/>
        <w:rPr>
          <w:rFonts w:ascii="Trebuchet MS"/>
          <w:b/>
          <w:sz w:val="31"/>
        </w:rPr>
      </w:pPr>
      <w:r>
        <w:rPr>
          <w:rFonts w:ascii="Trebuchet MS"/>
          <w:b/>
          <w:color w:val="1F497C"/>
          <w:sz w:val="31"/>
        </w:rPr>
        <w:t>[</w:t>
      </w:r>
      <w:r>
        <w:rPr>
          <w:rFonts w:ascii="Trebuchet MS"/>
          <w:b/>
          <w:color w:val="1F497C"/>
          <w:spacing w:val="10"/>
          <w:sz w:val="31"/>
        </w:rPr>
        <w:t> </w:t>
      </w:r>
      <w:r>
        <w:rPr>
          <w:rFonts w:ascii="Trebuchet MS"/>
          <w:b/>
          <w:color w:val="1F497C"/>
          <w:sz w:val="31"/>
        </w:rPr>
        <w:t>MUMBAI</w:t>
        <w:tab/>
        <w:t>BANGALORE</w:t>
        <w:tab/>
      </w:r>
      <w:r>
        <w:rPr>
          <w:rFonts w:ascii="Trebuchet MS"/>
          <w:b/>
          <w:color w:val="1F497C"/>
          <w:spacing w:val="-9"/>
          <w:sz w:val="31"/>
        </w:rPr>
        <w:t>KOLKATA</w:t>
        <w:tab/>
      </w:r>
      <w:r>
        <w:rPr>
          <w:rFonts w:ascii="Trebuchet MS"/>
          <w:b/>
          <w:color w:val="1F497C"/>
          <w:sz w:val="31"/>
        </w:rPr>
        <w:t>DELHI]</w:t>
      </w:r>
    </w:p>
    <w:p>
      <w:pPr>
        <w:spacing w:after="0"/>
        <w:jc w:val="left"/>
        <w:rPr>
          <w:rFonts w:ascii="Trebuchet MS"/>
          <w:sz w:val="31"/>
        </w:rPr>
        <w:sectPr>
          <w:type w:val="continuous"/>
          <w:pgSz w:w="16840" w:h="11910" w:orient="landscape"/>
          <w:pgMar w:top="1100" w:bottom="280" w:left="120" w:right="0"/>
        </w:sectPr>
      </w:pPr>
    </w:p>
    <w:p>
      <w:pPr>
        <w:pStyle w:val="BodyText"/>
        <w:spacing w:before="10"/>
        <w:rPr>
          <w:rFonts w:ascii="Trebuchet MS"/>
          <w:b/>
          <w:sz w:val="26"/>
        </w:rPr>
      </w:pPr>
      <w:r>
        <w:rPr/>
        <w:pict>
          <v:group style="position:absolute;margin-left:0pt;margin-top:60.840004pt;width:841.95pt;height:473.55pt;mso-position-horizontal-relative:page;mso-position-vertical-relative:page;z-index:-252212224" coordorigin="0,1217" coordsize="16839,9471">
            <v:shape style="position:absolute;left:0;top:1216;width:16836;height:9471" type="#_x0000_t75" stroked="false">
              <v:imagedata r:id="rId8" o:title=""/>
            </v:shape>
            <v:shape style="position:absolute;left:13051;top:1216;width:3788;height:826" type="#_x0000_t75" stroked="false">
              <v:imagedata r:id="rId6" o:title=""/>
            </v:shape>
            <w10:wrap type="none"/>
          </v:group>
        </w:pict>
      </w:r>
    </w:p>
    <w:p>
      <w:pPr>
        <w:pStyle w:val="Heading3"/>
        <w:spacing w:before="25"/>
      </w:pPr>
      <w:r>
        <w:rPr>
          <w:color w:val="FF0000"/>
          <w:spacing w:val="-3"/>
        </w:rPr>
        <w:t>94/2020 </w:t>
      </w:r>
      <w:r>
        <w:rPr>
          <w:color w:val="FF0000"/>
        </w:rPr>
        <w:t>– </w:t>
      </w:r>
      <w:r>
        <w:rPr>
          <w:color w:val="FF0000"/>
          <w:spacing w:val="-3"/>
        </w:rPr>
        <w:t>14</w:t>
      </w:r>
      <w:r>
        <w:rPr>
          <w:color w:val="FF0000"/>
          <w:spacing w:val="-3"/>
          <w:position w:val="15"/>
          <w:sz w:val="32"/>
        </w:rPr>
        <w:t>th </w:t>
      </w:r>
      <w:r>
        <w:rPr>
          <w:color w:val="FF0000"/>
          <w:spacing w:val="-4"/>
        </w:rPr>
        <w:t>Amendment </w:t>
      </w:r>
      <w:r>
        <w:rPr>
          <w:color w:val="FF0000"/>
          <w:spacing w:val="-3"/>
        </w:rPr>
        <w:t>Rules</w:t>
      </w:r>
      <w:r>
        <w:rPr>
          <w:color w:val="FF0000"/>
          <w:spacing w:val="-71"/>
        </w:rPr>
        <w:t> </w:t>
      </w:r>
      <w:r>
        <w:rPr>
          <w:color w:val="FF0000"/>
          <w:spacing w:val="-3"/>
        </w:rPr>
        <w:t>2020</w:t>
      </w:r>
    </w:p>
    <w:p>
      <w:pPr>
        <w:spacing w:before="420"/>
        <w:ind w:left="429" w:right="0" w:firstLine="0"/>
        <w:jc w:val="left"/>
        <w:rPr>
          <w:rFonts w:ascii="Trebuchet MS" w:hAnsi="Trebuchet MS"/>
          <w:b/>
          <w:sz w:val="52"/>
        </w:rPr>
      </w:pPr>
      <w:r>
        <w:rPr>
          <w:rFonts w:ascii="Trebuchet MS" w:hAnsi="Trebuchet MS"/>
          <w:b/>
          <w:color w:val="1F497C"/>
          <w:sz w:val="52"/>
        </w:rPr>
        <w:t>Rule 21 : Additional Grounds for Cancellation of Registration</w:t>
      </w:r>
      <w:r>
        <w:rPr>
          <w:rFonts w:ascii="Trebuchet MS" w:hAnsi="Trebuchet MS"/>
          <w:b/>
          <w:color w:val="1F497C"/>
          <w:spacing w:val="57"/>
          <w:sz w:val="52"/>
        </w:rPr>
        <w:t> </w:t>
      </w:r>
      <w:r>
        <w:rPr>
          <w:rFonts w:ascii="Trebuchet MS" w:hAnsi="Trebuchet MS"/>
          <w:b/>
          <w:color w:val="1F497C"/>
          <w:sz w:val="52"/>
        </w:rPr>
        <w:t>–</w:t>
      </w:r>
    </w:p>
    <w:p>
      <w:pPr>
        <w:spacing w:before="415"/>
        <w:ind w:left="429" w:right="0" w:firstLine="0"/>
        <w:jc w:val="left"/>
        <w:rPr>
          <w:rFonts w:ascii="Trebuchet MS"/>
          <w:sz w:val="35"/>
        </w:rPr>
      </w:pPr>
      <w:r>
        <w:rPr>
          <w:rFonts w:ascii="Trebuchet MS"/>
          <w:color w:val="1F497C"/>
          <w:sz w:val="35"/>
        </w:rPr>
        <w:t>(a) does not conduct any business from the declared place of business;</w:t>
      </w:r>
    </w:p>
    <w:p>
      <w:pPr>
        <w:spacing w:line="247" w:lineRule="auto" w:before="297"/>
        <w:ind w:left="429" w:right="746" w:firstLine="0"/>
        <w:jc w:val="left"/>
        <w:rPr>
          <w:rFonts w:ascii="Trebuchet MS"/>
          <w:sz w:val="35"/>
        </w:rPr>
      </w:pPr>
      <w:r>
        <w:rPr>
          <w:rFonts w:ascii="Trebuchet MS"/>
          <w:b/>
          <w:color w:val="1F497C"/>
          <w:position w:val="11"/>
          <w:sz w:val="23"/>
        </w:rPr>
        <w:t>[1]</w:t>
      </w:r>
      <w:r>
        <w:rPr>
          <w:rFonts w:ascii="Trebuchet MS"/>
          <w:color w:val="1F497C"/>
          <w:sz w:val="35"/>
        </w:rPr>
        <w:t>(b) issues invoice or bill without supply of goods or services in violation of the provisions of the Act, or the rules made thereunder; or</w:t>
      </w:r>
    </w:p>
    <w:p>
      <w:pPr>
        <w:pStyle w:val="BodyText"/>
        <w:spacing w:before="6"/>
        <w:rPr>
          <w:rFonts w:ascii="Trebuchet MS"/>
          <w:sz w:val="36"/>
        </w:rPr>
      </w:pPr>
    </w:p>
    <w:p>
      <w:pPr>
        <w:spacing w:before="1"/>
        <w:ind w:left="429" w:right="0" w:firstLine="0"/>
        <w:jc w:val="left"/>
        <w:rPr>
          <w:rFonts w:ascii="Trebuchet MS"/>
          <w:sz w:val="35"/>
        </w:rPr>
      </w:pPr>
      <w:r>
        <w:rPr>
          <w:rFonts w:ascii="Trebuchet MS"/>
          <w:color w:val="1F497C"/>
          <w:sz w:val="35"/>
        </w:rPr>
        <w:t>(c) violates the provisions of</w:t>
      </w:r>
      <w:r>
        <w:rPr>
          <w:rFonts w:ascii="Trebuchet MS"/>
          <w:color w:val="1F497C"/>
          <w:sz w:val="35"/>
          <w:u w:val="thick" w:color="1F497C"/>
        </w:rPr>
        <w:t> section 171</w:t>
      </w:r>
      <w:r>
        <w:rPr>
          <w:rFonts w:ascii="Trebuchet MS"/>
          <w:color w:val="1F497C"/>
          <w:sz w:val="35"/>
        </w:rPr>
        <w:t> of the Act or the rules made thereunder.</w:t>
      </w:r>
    </w:p>
    <w:p>
      <w:pPr>
        <w:spacing w:before="294"/>
        <w:ind w:left="429" w:right="0" w:firstLine="0"/>
        <w:jc w:val="left"/>
        <w:rPr>
          <w:rFonts w:ascii="Trebuchet MS"/>
          <w:b/>
          <w:sz w:val="35"/>
        </w:rPr>
      </w:pPr>
      <w:r>
        <w:rPr>
          <w:rFonts w:ascii="Trebuchet MS"/>
          <w:b/>
          <w:color w:val="1F497C"/>
          <w:position w:val="11"/>
          <w:sz w:val="23"/>
        </w:rPr>
        <w:t>2</w:t>
      </w:r>
      <w:r>
        <w:rPr>
          <w:rFonts w:ascii="Trebuchet MS"/>
          <w:b/>
          <w:color w:val="1F497C"/>
          <w:sz w:val="35"/>
        </w:rPr>
        <w:t>[</w:t>
      </w:r>
      <w:r>
        <w:rPr>
          <w:rFonts w:ascii="Trebuchet MS"/>
          <w:color w:val="1F497C"/>
          <w:sz w:val="35"/>
        </w:rPr>
        <w:t>(d) violates the provision of</w:t>
      </w:r>
      <w:r>
        <w:rPr>
          <w:rFonts w:ascii="Trebuchet MS"/>
          <w:color w:val="1F497C"/>
          <w:sz w:val="35"/>
          <w:u w:val="thick" w:color="1F497C"/>
        </w:rPr>
        <w:t> rule 10A</w:t>
      </w:r>
      <w:r>
        <w:rPr>
          <w:rFonts w:ascii="Trebuchet MS"/>
          <w:color w:val="1F497C"/>
          <w:sz w:val="35"/>
        </w:rPr>
        <w:t>.</w:t>
      </w:r>
      <w:r>
        <w:rPr>
          <w:rFonts w:ascii="Trebuchet MS"/>
          <w:b/>
          <w:color w:val="1F497C"/>
          <w:sz w:val="35"/>
        </w:rPr>
        <w:t>]</w:t>
      </w:r>
    </w:p>
    <w:p>
      <w:pPr>
        <w:pStyle w:val="BodyText"/>
        <w:spacing w:before="8"/>
        <w:rPr>
          <w:rFonts w:ascii="Trebuchet MS"/>
          <w:b/>
          <w:sz w:val="28"/>
        </w:rPr>
      </w:pPr>
    </w:p>
    <w:p>
      <w:pPr>
        <w:pStyle w:val="ListParagraph"/>
        <w:numPr>
          <w:ilvl w:val="0"/>
          <w:numId w:val="1"/>
        </w:numPr>
        <w:tabs>
          <w:tab w:pos="1029" w:val="left" w:leader="none"/>
        </w:tabs>
        <w:spacing w:line="249" w:lineRule="auto" w:before="101" w:after="0"/>
        <w:ind w:left="429" w:right="749" w:firstLine="0"/>
        <w:jc w:val="left"/>
        <w:rPr>
          <w:rFonts w:ascii="Trebuchet MS"/>
          <w:b/>
          <w:sz w:val="35"/>
        </w:rPr>
      </w:pPr>
      <w:r>
        <w:rPr>
          <w:rFonts w:ascii="Trebuchet MS"/>
          <w:b/>
          <w:color w:val="1F497C"/>
          <w:sz w:val="35"/>
        </w:rPr>
        <w:t>avails input tax credit in violation of the provisions of section 16 of the Act or the rules made thereunder; or</w:t>
      </w:r>
    </w:p>
    <w:p>
      <w:pPr>
        <w:pStyle w:val="BodyText"/>
        <w:spacing w:before="10"/>
        <w:rPr>
          <w:rFonts w:ascii="Trebuchet MS"/>
          <w:b/>
          <w:sz w:val="35"/>
        </w:rPr>
      </w:pPr>
    </w:p>
    <w:p>
      <w:pPr>
        <w:pStyle w:val="ListParagraph"/>
        <w:numPr>
          <w:ilvl w:val="0"/>
          <w:numId w:val="1"/>
        </w:numPr>
        <w:tabs>
          <w:tab w:pos="928" w:val="left" w:leader="none"/>
        </w:tabs>
        <w:spacing w:line="240" w:lineRule="auto" w:before="0" w:after="0"/>
        <w:ind w:left="927" w:right="0" w:hanging="499"/>
        <w:jc w:val="left"/>
        <w:rPr>
          <w:rFonts w:ascii="Trebuchet MS"/>
          <w:b/>
          <w:sz w:val="35"/>
        </w:rPr>
      </w:pPr>
      <w:r>
        <w:rPr>
          <w:rFonts w:ascii="Trebuchet MS"/>
          <w:b/>
          <w:color w:val="1F497C"/>
          <w:sz w:val="35"/>
        </w:rPr>
        <w:t>furnishes the details of outward supplies in FORM GSTR-1 under section 37 for</w:t>
      </w:r>
      <w:r>
        <w:rPr>
          <w:rFonts w:ascii="Trebuchet MS"/>
          <w:b/>
          <w:color w:val="1F497C"/>
          <w:sz w:val="35"/>
          <w:u w:val="thick" w:color="1F497C"/>
        </w:rPr>
        <w:t> one or</w:t>
      </w:r>
      <w:r>
        <w:rPr>
          <w:rFonts w:ascii="Trebuchet MS"/>
          <w:b/>
          <w:color w:val="1F497C"/>
          <w:spacing w:val="20"/>
          <w:sz w:val="35"/>
          <w:u w:val="thick" w:color="1F497C"/>
        </w:rPr>
        <w:t> </w:t>
      </w:r>
      <w:r>
        <w:rPr>
          <w:rFonts w:ascii="Trebuchet MS"/>
          <w:b/>
          <w:color w:val="1F497C"/>
          <w:sz w:val="35"/>
          <w:u w:val="thick" w:color="1F497C"/>
        </w:rPr>
        <w:t>more</w:t>
      </w:r>
    </w:p>
    <w:p>
      <w:pPr>
        <w:spacing w:before="16"/>
        <w:ind w:left="427" w:right="0" w:firstLine="0"/>
        <w:jc w:val="left"/>
        <w:rPr>
          <w:rFonts w:ascii="Trebuchet MS"/>
          <w:b/>
          <w:sz w:val="35"/>
        </w:rPr>
      </w:pPr>
      <w:r>
        <w:rPr>
          <w:rFonts w:ascii="Times New Roman"/>
          <w:color w:val="1F497C"/>
          <w:spacing w:val="-86"/>
          <w:w w:val="100"/>
          <w:sz w:val="35"/>
          <w:u w:val="thick" w:color="1F497C"/>
        </w:rPr>
        <w:t> </w:t>
      </w:r>
      <w:r>
        <w:rPr>
          <w:rFonts w:ascii="Trebuchet MS"/>
          <w:b/>
          <w:color w:val="1F497C"/>
          <w:sz w:val="35"/>
          <w:u w:val="thick" w:color="1F497C"/>
        </w:rPr>
        <w:t>tax</w:t>
      </w:r>
      <w:r>
        <w:rPr>
          <w:rFonts w:ascii="Trebuchet MS"/>
          <w:b/>
          <w:color w:val="1F497C"/>
          <w:spacing w:val="58"/>
          <w:sz w:val="35"/>
          <w:u w:val="thick" w:color="1F497C"/>
        </w:rPr>
        <w:t> </w:t>
      </w:r>
      <w:r>
        <w:rPr>
          <w:rFonts w:ascii="Trebuchet MS"/>
          <w:b/>
          <w:color w:val="1F497C"/>
          <w:sz w:val="35"/>
          <w:u w:val="thick" w:color="1F497C"/>
        </w:rPr>
        <w:t>periods</w:t>
      </w:r>
      <w:r>
        <w:rPr>
          <w:rFonts w:ascii="Trebuchet MS"/>
          <w:b/>
          <w:color w:val="1F497C"/>
          <w:spacing w:val="55"/>
          <w:sz w:val="35"/>
          <w:u w:val="thick" w:color="1F497C"/>
        </w:rPr>
        <w:t> </w:t>
      </w:r>
      <w:r>
        <w:rPr>
          <w:rFonts w:ascii="Trebuchet MS"/>
          <w:b/>
          <w:color w:val="1F497C"/>
          <w:sz w:val="35"/>
          <w:u w:val="thick" w:color="1F497C"/>
        </w:rPr>
        <w:t>which</w:t>
      </w:r>
      <w:r>
        <w:rPr>
          <w:rFonts w:ascii="Trebuchet MS"/>
          <w:b/>
          <w:color w:val="1F497C"/>
          <w:spacing w:val="57"/>
          <w:sz w:val="35"/>
          <w:u w:val="thick" w:color="1F497C"/>
        </w:rPr>
        <w:t> </w:t>
      </w:r>
      <w:r>
        <w:rPr>
          <w:rFonts w:ascii="Trebuchet MS"/>
          <w:b/>
          <w:color w:val="1F497C"/>
          <w:sz w:val="35"/>
          <w:u w:val="thick" w:color="1F497C"/>
        </w:rPr>
        <w:t>is</w:t>
      </w:r>
      <w:r>
        <w:rPr>
          <w:rFonts w:ascii="Trebuchet MS"/>
          <w:b/>
          <w:color w:val="1F497C"/>
          <w:spacing w:val="55"/>
          <w:sz w:val="35"/>
          <w:u w:val="thick" w:color="1F497C"/>
        </w:rPr>
        <w:t> </w:t>
      </w:r>
      <w:r>
        <w:rPr>
          <w:rFonts w:ascii="Trebuchet MS"/>
          <w:b/>
          <w:color w:val="1F497C"/>
          <w:sz w:val="35"/>
          <w:u w:val="thick" w:color="1F497C"/>
        </w:rPr>
        <w:t>in</w:t>
      </w:r>
      <w:r>
        <w:rPr>
          <w:rFonts w:ascii="Trebuchet MS"/>
          <w:b/>
          <w:color w:val="1F497C"/>
          <w:spacing w:val="55"/>
          <w:sz w:val="35"/>
          <w:u w:val="thick" w:color="1F497C"/>
        </w:rPr>
        <w:t> </w:t>
      </w:r>
      <w:r>
        <w:rPr>
          <w:rFonts w:ascii="Trebuchet MS"/>
          <w:b/>
          <w:color w:val="1F497C"/>
          <w:sz w:val="35"/>
          <w:u w:val="thick" w:color="1F497C"/>
        </w:rPr>
        <w:t>excess</w:t>
      </w:r>
      <w:r>
        <w:rPr>
          <w:rFonts w:ascii="Trebuchet MS"/>
          <w:b/>
          <w:color w:val="1F497C"/>
          <w:spacing w:val="58"/>
          <w:sz w:val="35"/>
          <w:u w:val="thick" w:color="1F497C"/>
        </w:rPr>
        <w:t> </w:t>
      </w:r>
      <w:r>
        <w:rPr>
          <w:rFonts w:ascii="Trebuchet MS"/>
          <w:b/>
          <w:color w:val="1F497C"/>
          <w:sz w:val="35"/>
          <w:u w:val="thick" w:color="1F497C"/>
        </w:rPr>
        <w:t>of</w:t>
      </w:r>
      <w:r>
        <w:rPr>
          <w:rFonts w:ascii="Trebuchet MS"/>
          <w:b/>
          <w:color w:val="1F497C"/>
          <w:spacing w:val="56"/>
          <w:sz w:val="35"/>
          <w:u w:val="thick" w:color="1F497C"/>
        </w:rPr>
        <w:t> </w:t>
      </w:r>
      <w:r>
        <w:rPr>
          <w:rFonts w:ascii="Trebuchet MS"/>
          <w:b/>
          <w:color w:val="1F497C"/>
          <w:sz w:val="35"/>
          <w:u w:val="thick" w:color="1F497C"/>
        </w:rPr>
        <w:t>the</w:t>
      </w:r>
      <w:r>
        <w:rPr>
          <w:rFonts w:ascii="Trebuchet MS"/>
          <w:b/>
          <w:color w:val="1F497C"/>
          <w:spacing w:val="53"/>
          <w:sz w:val="35"/>
          <w:u w:val="thick" w:color="1F497C"/>
        </w:rPr>
        <w:t> </w:t>
      </w:r>
      <w:r>
        <w:rPr>
          <w:rFonts w:ascii="Trebuchet MS"/>
          <w:b/>
          <w:color w:val="1F497C"/>
          <w:sz w:val="35"/>
          <w:u w:val="thick" w:color="1F497C"/>
        </w:rPr>
        <w:t>outward</w:t>
      </w:r>
      <w:r>
        <w:rPr>
          <w:rFonts w:ascii="Trebuchet MS"/>
          <w:b/>
          <w:color w:val="1F497C"/>
          <w:spacing w:val="58"/>
          <w:sz w:val="35"/>
          <w:u w:val="thick" w:color="1F497C"/>
        </w:rPr>
        <w:t> </w:t>
      </w:r>
      <w:r>
        <w:rPr>
          <w:rFonts w:ascii="Trebuchet MS"/>
          <w:b/>
          <w:color w:val="1F497C"/>
          <w:sz w:val="35"/>
          <w:u w:val="thick" w:color="1F497C"/>
        </w:rPr>
        <w:t>supplies</w:t>
      </w:r>
      <w:r>
        <w:rPr>
          <w:rFonts w:ascii="Trebuchet MS"/>
          <w:b/>
          <w:color w:val="1F497C"/>
          <w:spacing w:val="55"/>
          <w:sz w:val="35"/>
          <w:u w:val="thick" w:color="1F497C"/>
        </w:rPr>
        <w:t> </w:t>
      </w:r>
      <w:r>
        <w:rPr>
          <w:rFonts w:ascii="Trebuchet MS"/>
          <w:b/>
          <w:color w:val="1F497C"/>
          <w:sz w:val="35"/>
          <w:u w:val="thick" w:color="1F497C"/>
        </w:rPr>
        <w:t>declared</w:t>
      </w:r>
      <w:r>
        <w:rPr>
          <w:rFonts w:ascii="Trebuchet MS"/>
          <w:b/>
          <w:color w:val="1F497C"/>
          <w:spacing w:val="55"/>
          <w:sz w:val="35"/>
          <w:u w:val="thick" w:color="1F497C"/>
        </w:rPr>
        <w:t> </w:t>
      </w:r>
      <w:r>
        <w:rPr>
          <w:rFonts w:ascii="Trebuchet MS"/>
          <w:b/>
          <w:color w:val="1F497C"/>
          <w:sz w:val="35"/>
          <w:u w:val="thick" w:color="1F497C"/>
        </w:rPr>
        <w:t>by him</w:t>
      </w:r>
      <w:r>
        <w:rPr>
          <w:rFonts w:ascii="Trebuchet MS"/>
          <w:b/>
          <w:color w:val="1F497C"/>
          <w:spacing w:val="52"/>
          <w:sz w:val="35"/>
          <w:u w:val="thick" w:color="1F497C"/>
        </w:rPr>
        <w:t> </w:t>
      </w:r>
      <w:r>
        <w:rPr>
          <w:rFonts w:ascii="Trebuchet MS"/>
          <w:b/>
          <w:color w:val="1F497C"/>
          <w:sz w:val="35"/>
          <w:u w:val="thick" w:color="1F497C"/>
        </w:rPr>
        <w:t>in</w:t>
      </w:r>
      <w:r>
        <w:rPr>
          <w:rFonts w:ascii="Trebuchet MS"/>
          <w:b/>
          <w:color w:val="1F497C"/>
          <w:spacing w:val="51"/>
          <w:sz w:val="35"/>
          <w:u w:val="thick" w:color="1F497C"/>
        </w:rPr>
        <w:t> </w:t>
      </w:r>
      <w:r>
        <w:rPr>
          <w:rFonts w:ascii="Trebuchet MS"/>
          <w:b/>
          <w:color w:val="1F497C"/>
          <w:sz w:val="35"/>
          <w:u w:val="thick" w:color="1F497C"/>
        </w:rPr>
        <w:t>his</w:t>
      </w:r>
      <w:r>
        <w:rPr>
          <w:rFonts w:ascii="Trebuchet MS"/>
          <w:b/>
          <w:color w:val="1F497C"/>
          <w:spacing w:val="55"/>
          <w:sz w:val="35"/>
          <w:u w:val="thick" w:color="1F497C"/>
        </w:rPr>
        <w:t> </w:t>
      </w:r>
      <w:r>
        <w:rPr>
          <w:rFonts w:ascii="Trebuchet MS"/>
          <w:b/>
          <w:color w:val="1F497C"/>
          <w:sz w:val="35"/>
          <w:u w:val="thick" w:color="1F497C"/>
        </w:rPr>
        <w:t>valid</w:t>
      </w:r>
      <w:r>
        <w:rPr>
          <w:rFonts w:ascii="Trebuchet MS"/>
          <w:b/>
          <w:color w:val="1F497C"/>
          <w:spacing w:val="56"/>
          <w:sz w:val="35"/>
          <w:u w:val="thick" w:color="1F497C"/>
        </w:rPr>
        <w:t> </w:t>
      </w:r>
      <w:r>
        <w:rPr>
          <w:rFonts w:ascii="Trebuchet MS"/>
          <w:b/>
          <w:color w:val="1F497C"/>
          <w:sz w:val="35"/>
          <w:u w:val="thick" w:color="1F497C"/>
        </w:rPr>
        <w:t>return</w:t>
      </w:r>
    </w:p>
    <w:p>
      <w:pPr>
        <w:spacing w:before="14"/>
        <w:ind w:left="427" w:right="0" w:firstLine="0"/>
        <w:jc w:val="left"/>
        <w:rPr>
          <w:rFonts w:ascii="Trebuchet MS"/>
          <w:b/>
          <w:sz w:val="35"/>
        </w:rPr>
      </w:pPr>
      <w:r>
        <w:rPr>
          <w:rFonts w:ascii="Times New Roman"/>
          <w:color w:val="1F497C"/>
          <w:spacing w:val="-86"/>
          <w:w w:val="100"/>
          <w:sz w:val="35"/>
          <w:u w:val="thick" w:color="1F497C"/>
        </w:rPr>
        <w:t> </w:t>
      </w:r>
      <w:r>
        <w:rPr>
          <w:rFonts w:ascii="Trebuchet MS"/>
          <w:b/>
          <w:color w:val="1F497C"/>
          <w:sz w:val="35"/>
          <w:u w:val="thick" w:color="1F497C"/>
        </w:rPr>
        <w:t>under section 39 </w:t>
      </w:r>
      <w:r>
        <w:rPr>
          <w:rFonts w:ascii="Trebuchet MS"/>
          <w:b/>
          <w:color w:val="1F497C"/>
          <w:sz w:val="35"/>
        </w:rPr>
        <w:t>for the said tax periods; or</w:t>
      </w:r>
    </w:p>
    <w:p>
      <w:pPr>
        <w:pStyle w:val="BodyText"/>
        <w:spacing w:before="10"/>
        <w:rPr>
          <w:rFonts w:ascii="Trebuchet MS"/>
          <w:b/>
          <w:sz w:val="28"/>
        </w:rPr>
      </w:pPr>
    </w:p>
    <w:p>
      <w:pPr>
        <w:pStyle w:val="ListParagraph"/>
        <w:numPr>
          <w:ilvl w:val="0"/>
          <w:numId w:val="1"/>
        </w:numPr>
        <w:tabs>
          <w:tab w:pos="970" w:val="left" w:leader="none"/>
        </w:tabs>
        <w:spacing w:line="240" w:lineRule="auto" w:before="101" w:after="0"/>
        <w:ind w:left="969" w:right="0" w:hanging="541"/>
        <w:jc w:val="left"/>
        <w:rPr>
          <w:rFonts w:ascii="Trebuchet MS"/>
          <w:b/>
          <w:sz w:val="35"/>
        </w:rPr>
      </w:pPr>
      <w:r>
        <w:rPr>
          <w:rFonts w:ascii="Trebuchet MS"/>
          <w:b/>
          <w:color w:val="1F497C"/>
          <w:sz w:val="35"/>
        </w:rPr>
        <w:t>violates the provision of rule</w:t>
      </w:r>
      <w:r>
        <w:rPr>
          <w:rFonts w:ascii="Trebuchet MS"/>
          <w:b/>
          <w:color w:val="1F497C"/>
          <w:spacing w:val="-13"/>
          <w:sz w:val="35"/>
        </w:rPr>
        <w:t> </w:t>
      </w:r>
      <w:r>
        <w:rPr>
          <w:rFonts w:ascii="Trebuchet MS"/>
          <w:b/>
          <w:color w:val="1F497C"/>
          <w:sz w:val="35"/>
        </w:rPr>
        <w:t>86B</w:t>
      </w:r>
    </w:p>
    <w:p>
      <w:pPr>
        <w:spacing w:after="0" w:line="240" w:lineRule="auto"/>
        <w:jc w:val="left"/>
        <w:rPr>
          <w:rFonts w:ascii="Trebuchet MS"/>
          <w:sz w:val="35"/>
        </w:rPr>
        <w:sectPr>
          <w:pgSz w:w="16840" w:h="11910" w:orient="landscape"/>
          <w:pgMar w:top="1100" w:bottom="280" w:left="120" w:right="0"/>
        </w:sectPr>
      </w:pPr>
    </w:p>
    <w:p>
      <w:pPr>
        <w:pStyle w:val="BodyText"/>
        <w:spacing w:before="9"/>
        <w:rPr>
          <w:rFonts w:ascii="Trebuchet MS"/>
          <w:b/>
          <w:sz w:val="28"/>
        </w:rPr>
      </w:pPr>
      <w:r>
        <w:rPr/>
        <w:pict>
          <v:group style="position:absolute;margin-left:0pt;margin-top:60.840004pt;width:841.95pt;height:473.55pt;mso-position-horizontal-relative:page;mso-position-vertical-relative:page;z-index:-252211200"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pStyle w:val="Heading3"/>
      </w:pPr>
      <w:r>
        <w:rPr>
          <w:color w:val="FF0000"/>
        </w:rPr>
        <w:t>Impact of amendment of Rule 21</w:t>
      </w:r>
    </w:p>
    <w:p>
      <w:pPr>
        <w:pStyle w:val="BodyText"/>
        <w:spacing w:line="254" w:lineRule="auto" w:before="414"/>
        <w:ind w:left="323" w:right="744"/>
        <w:jc w:val="both"/>
      </w:pPr>
      <w:r>
        <w:rPr>
          <w:color w:val="366091"/>
        </w:rPr>
        <w:t>Previously the Commissioner did not have a prescribed Rule for cancelling the registration incase of Sec 16 violation or  when there was a major difference between outward </w:t>
      </w:r>
      <w:r>
        <w:rPr>
          <w:color w:val="366091"/>
          <w:spacing w:val="-3"/>
        </w:rPr>
        <w:t>tax</w:t>
      </w:r>
      <w:r>
        <w:rPr>
          <w:color w:val="366091"/>
          <w:spacing w:val="99"/>
        </w:rPr>
        <w:t> </w:t>
      </w:r>
      <w:r>
        <w:rPr>
          <w:color w:val="366091"/>
        </w:rPr>
        <w:t>liability as per GSTR 3B and outward tax liability as per GSTR</w:t>
      </w:r>
      <w:r>
        <w:rPr>
          <w:color w:val="366091"/>
          <w:spacing w:val="20"/>
        </w:rPr>
        <w:t> </w:t>
      </w:r>
      <w:r>
        <w:rPr>
          <w:color w:val="366091"/>
        </w:rPr>
        <w:t>1.</w:t>
      </w:r>
    </w:p>
    <w:p>
      <w:pPr>
        <w:pStyle w:val="BodyText"/>
        <w:spacing w:before="4"/>
        <w:rPr>
          <w:sz w:val="40"/>
        </w:rPr>
      </w:pPr>
    </w:p>
    <w:p>
      <w:pPr>
        <w:pStyle w:val="BodyText"/>
        <w:spacing w:line="254" w:lineRule="auto"/>
        <w:ind w:left="323" w:right="747"/>
        <w:jc w:val="both"/>
      </w:pPr>
      <w:r>
        <w:rPr>
          <w:color w:val="366091"/>
        </w:rPr>
        <w:t>Now with the insertion of clauses (e) &amp; (f) in Rule 21, the Commisisoner shall also have the prescribed powers to cancel GST Registration incase there is a non compliance as per Sec</w:t>
      </w:r>
    </w:p>
    <w:p>
      <w:pPr>
        <w:pStyle w:val="ListParagraph"/>
        <w:numPr>
          <w:ilvl w:val="0"/>
          <w:numId w:val="2"/>
        </w:numPr>
        <w:tabs>
          <w:tab w:pos="977" w:val="left" w:leader="none"/>
        </w:tabs>
        <w:spacing w:line="254" w:lineRule="auto" w:before="0" w:after="0"/>
        <w:ind w:left="323" w:right="744" w:firstLine="0"/>
        <w:jc w:val="both"/>
        <w:rPr>
          <w:sz w:val="38"/>
        </w:rPr>
      </w:pPr>
      <w:r>
        <w:rPr>
          <w:color w:val="366091"/>
          <w:sz w:val="38"/>
        </w:rPr>
        <w:t>Most important is Sec 16(2)(c) wherein requires proof of payment of tax by the </w:t>
      </w:r>
      <w:r>
        <w:rPr>
          <w:color w:val="366091"/>
          <w:spacing w:val="-3"/>
          <w:sz w:val="38"/>
        </w:rPr>
        <w:t>supplier. </w:t>
      </w:r>
      <w:r>
        <w:rPr>
          <w:color w:val="366091"/>
          <w:sz w:val="38"/>
        </w:rPr>
        <w:t>Hence incase the amount pf GST paid by the recipient to the supplier is ultimately not paid  to the Govt., the dept. may invoke Rule</w:t>
      </w:r>
      <w:r>
        <w:rPr>
          <w:color w:val="366091"/>
          <w:spacing w:val="-6"/>
          <w:sz w:val="38"/>
        </w:rPr>
        <w:t> </w:t>
      </w:r>
      <w:r>
        <w:rPr>
          <w:color w:val="366091"/>
          <w:sz w:val="38"/>
        </w:rPr>
        <w:t>21.</w:t>
      </w:r>
    </w:p>
    <w:p>
      <w:pPr>
        <w:pStyle w:val="BodyText"/>
        <w:rPr>
          <w:sz w:val="40"/>
        </w:rPr>
      </w:pPr>
    </w:p>
    <w:p>
      <w:pPr>
        <w:pStyle w:val="BodyText"/>
        <w:spacing w:line="254" w:lineRule="auto" w:before="1"/>
        <w:ind w:left="323" w:right="744"/>
        <w:jc w:val="both"/>
      </w:pPr>
      <w:r>
        <w:rPr>
          <w:color w:val="366091"/>
        </w:rPr>
        <w:t>Furthermore, Rule 21A(2) provides that atleast suspension of GST Registration may  be done incase of violation of Rule 21. The suspension can now happen even without  a hearing. The vires of Rule 21A(2) with Article 14 of The Constitution may be tested in time   to come</w:t>
      </w:r>
    </w:p>
    <w:p>
      <w:pPr>
        <w:spacing w:after="0" w:line="254" w:lineRule="auto"/>
        <w:jc w:val="both"/>
        <w:sectPr>
          <w:pgSz w:w="16840" w:h="11910" w:orient="landscape"/>
          <w:pgMar w:top="1100" w:bottom="280" w:left="120" w:right="0"/>
        </w:sectPr>
      </w:pPr>
    </w:p>
    <w:p>
      <w:pPr>
        <w:pStyle w:val="BodyText"/>
        <w:spacing w:before="1"/>
        <w:rPr>
          <w:sz w:val="29"/>
        </w:rPr>
      </w:pPr>
    </w:p>
    <w:p>
      <w:pPr>
        <w:pStyle w:val="Heading3"/>
      </w:pPr>
      <w:r>
        <w:rPr>
          <w:color w:val="FF0000"/>
        </w:rPr>
        <w:t>No Natural Justice for Suspension of Registration!</w:t>
      </w:r>
    </w:p>
    <w:p>
      <w:pPr>
        <w:spacing w:before="389"/>
        <w:ind w:left="324" w:right="0" w:firstLine="0"/>
        <w:jc w:val="left"/>
        <w:rPr>
          <w:rFonts w:ascii="Verdana"/>
          <w:b/>
          <w:sz w:val="63"/>
        </w:rPr>
      </w:pPr>
      <w:r>
        <w:rPr>
          <w:rFonts w:ascii="Verdana"/>
          <w:b/>
          <w:color w:val="1F497C"/>
          <w:sz w:val="63"/>
        </w:rPr>
        <w:t>Suspension of registration</w:t>
      </w:r>
    </w:p>
    <w:p>
      <w:pPr>
        <w:pStyle w:val="BodyText"/>
        <w:spacing w:before="7"/>
        <w:rPr>
          <w:rFonts w:ascii="Verdana"/>
          <w:b/>
          <w:sz w:val="58"/>
        </w:rPr>
      </w:pPr>
    </w:p>
    <w:p>
      <w:pPr>
        <w:tabs>
          <w:tab w:pos="3071" w:val="left" w:leader="none"/>
          <w:tab w:pos="5363" w:val="left" w:leader="none"/>
          <w:tab w:pos="6696" w:val="left" w:leader="none"/>
          <w:tab w:pos="9035" w:val="left" w:leader="none"/>
          <w:tab w:pos="11267" w:val="left" w:leader="none"/>
          <w:tab w:pos="12672" w:val="left" w:leader="none"/>
          <w:tab w:pos="15368" w:val="left" w:leader="none"/>
        </w:tabs>
        <w:spacing w:before="0"/>
        <w:ind w:left="324" w:right="746" w:firstLine="0"/>
        <w:jc w:val="left"/>
        <w:rPr>
          <w:rFonts w:ascii="Verdana"/>
          <w:sz w:val="59"/>
        </w:rPr>
      </w:pPr>
      <w:r>
        <w:rPr>
          <w:rFonts w:ascii="Verdana"/>
          <w:b/>
          <w:color w:val="1F497C"/>
          <w:sz w:val="59"/>
        </w:rPr>
        <w:t>21A(2)</w:t>
        <w:tab/>
      </w:r>
      <w:r>
        <w:rPr>
          <w:rFonts w:ascii="Verdana"/>
          <w:color w:val="1F497C"/>
          <w:sz w:val="59"/>
        </w:rPr>
        <w:t>Where</w:t>
        <w:tab/>
        <w:t>the</w:t>
        <w:tab/>
        <w:t>proper</w:t>
        <w:tab/>
        <w:t>officer</w:t>
        <w:tab/>
        <w:t>has</w:t>
        <w:tab/>
        <w:t>reasons</w:t>
        <w:tab/>
      </w:r>
      <w:r>
        <w:rPr>
          <w:rFonts w:ascii="Verdana"/>
          <w:color w:val="1F497C"/>
          <w:spacing w:val="-7"/>
          <w:sz w:val="59"/>
        </w:rPr>
        <w:t>to </w:t>
      </w:r>
      <w:r>
        <w:rPr>
          <w:rFonts w:ascii="Verdana"/>
          <w:color w:val="1F497C"/>
          <w:sz w:val="59"/>
        </w:rPr>
        <w:t>believe</w:t>
      </w:r>
      <w:r>
        <w:rPr>
          <w:rFonts w:ascii="Verdana"/>
          <w:color w:val="1F497C"/>
          <w:spacing w:val="61"/>
          <w:sz w:val="59"/>
        </w:rPr>
        <w:t> </w:t>
      </w:r>
      <w:r>
        <w:rPr>
          <w:rFonts w:ascii="Verdana"/>
          <w:color w:val="1F497C"/>
          <w:sz w:val="59"/>
        </w:rPr>
        <w:t>that</w:t>
      </w:r>
      <w:r>
        <w:rPr>
          <w:rFonts w:ascii="Verdana"/>
          <w:color w:val="1F497C"/>
          <w:spacing w:val="63"/>
          <w:sz w:val="59"/>
        </w:rPr>
        <w:t> </w:t>
      </w:r>
      <w:r>
        <w:rPr>
          <w:rFonts w:ascii="Verdana"/>
          <w:color w:val="1F497C"/>
          <w:sz w:val="59"/>
        </w:rPr>
        <w:t>the</w:t>
      </w:r>
      <w:r>
        <w:rPr>
          <w:rFonts w:ascii="Verdana"/>
          <w:color w:val="1F497C"/>
          <w:spacing w:val="61"/>
          <w:sz w:val="59"/>
        </w:rPr>
        <w:t> </w:t>
      </w:r>
      <w:r>
        <w:rPr>
          <w:rFonts w:ascii="Verdana"/>
          <w:color w:val="1F497C"/>
          <w:sz w:val="59"/>
        </w:rPr>
        <w:t>registration</w:t>
      </w:r>
      <w:r>
        <w:rPr>
          <w:rFonts w:ascii="Verdana"/>
          <w:color w:val="1F497C"/>
          <w:spacing w:val="63"/>
          <w:sz w:val="59"/>
        </w:rPr>
        <w:t> </w:t>
      </w:r>
      <w:r>
        <w:rPr>
          <w:rFonts w:ascii="Verdana"/>
          <w:color w:val="1F497C"/>
          <w:sz w:val="59"/>
        </w:rPr>
        <w:t>of</w:t>
      </w:r>
      <w:r>
        <w:rPr>
          <w:rFonts w:ascii="Verdana"/>
          <w:color w:val="1F497C"/>
          <w:spacing w:val="57"/>
          <w:sz w:val="59"/>
        </w:rPr>
        <w:t> </w:t>
      </w:r>
      <w:r>
        <w:rPr>
          <w:rFonts w:ascii="Verdana"/>
          <w:color w:val="1F497C"/>
          <w:sz w:val="59"/>
        </w:rPr>
        <w:t>a</w:t>
      </w:r>
      <w:r>
        <w:rPr>
          <w:rFonts w:ascii="Verdana"/>
          <w:color w:val="1F497C"/>
          <w:spacing w:val="65"/>
          <w:sz w:val="59"/>
        </w:rPr>
        <w:t> </w:t>
      </w:r>
      <w:r>
        <w:rPr>
          <w:rFonts w:ascii="Verdana"/>
          <w:color w:val="1F497C"/>
          <w:sz w:val="59"/>
        </w:rPr>
        <w:t>person</w:t>
      </w:r>
      <w:r>
        <w:rPr>
          <w:rFonts w:ascii="Verdana"/>
          <w:color w:val="1F497C"/>
          <w:spacing w:val="63"/>
          <w:sz w:val="59"/>
        </w:rPr>
        <w:t> </w:t>
      </w:r>
      <w:r>
        <w:rPr>
          <w:rFonts w:ascii="Verdana"/>
          <w:color w:val="1F497C"/>
          <w:sz w:val="59"/>
        </w:rPr>
        <w:t>is</w:t>
      </w:r>
      <w:r>
        <w:rPr>
          <w:rFonts w:ascii="Verdana"/>
          <w:color w:val="1F497C"/>
          <w:spacing w:val="63"/>
          <w:sz w:val="59"/>
        </w:rPr>
        <w:t> </w:t>
      </w:r>
      <w:r>
        <w:rPr>
          <w:rFonts w:ascii="Verdana"/>
          <w:color w:val="1F497C"/>
          <w:sz w:val="59"/>
        </w:rPr>
        <w:t>liable</w:t>
      </w:r>
      <w:r>
        <w:rPr>
          <w:rFonts w:ascii="Verdana"/>
          <w:color w:val="1F497C"/>
          <w:spacing w:val="62"/>
          <w:sz w:val="59"/>
        </w:rPr>
        <w:t> </w:t>
      </w:r>
      <w:r>
        <w:rPr>
          <w:rFonts w:ascii="Verdana"/>
          <w:color w:val="1F497C"/>
          <w:sz w:val="59"/>
        </w:rPr>
        <w:t>to</w:t>
      </w:r>
    </w:p>
    <w:p>
      <w:pPr>
        <w:spacing w:after="0"/>
        <w:jc w:val="left"/>
        <w:rPr>
          <w:rFonts w:ascii="Verdana"/>
          <w:sz w:val="59"/>
        </w:rPr>
        <w:sectPr>
          <w:pgSz w:w="16840" w:h="11910" w:orient="landscape"/>
          <w:pgMar w:top="1100" w:bottom="280" w:left="120" w:right="0"/>
        </w:sectPr>
      </w:pPr>
    </w:p>
    <w:p>
      <w:pPr>
        <w:spacing w:line="707" w:lineRule="exact" w:before="0"/>
        <w:ind w:left="324" w:right="0" w:firstLine="0"/>
        <w:jc w:val="left"/>
        <w:rPr>
          <w:rFonts w:ascii="Verdana"/>
          <w:sz w:val="59"/>
        </w:rPr>
      </w:pPr>
      <w:r>
        <w:rPr>
          <w:rFonts w:ascii="Verdana"/>
          <w:color w:val="1F497C"/>
          <w:sz w:val="59"/>
        </w:rPr>
        <w:t>be cancelled</w:t>
      </w:r>
      <w:r>
        <w:rPr>
          <w:rFonts w:ascii="Verdana"/>
          <w:color w:val="1F497C"/>
          <w:spacing w:val="-55"/>
          <w:sz w:val="59"/>
        </w:rPr>
        <w:t> </w:t>
      </w:r>
      <w:r>
        <w:rPr>
          <w:rFonts w:ascii="Verdana"/>
          <w:color w:val="1F497C"/>
          <w:spacing w:val="-3"/>
          <w:sz w:val="59"/>
        </w:rPr>
        <w:t>under</w:t>
      </w:r>
    </w:p>
    <w:p>
      <w:pPr>
        <w:spacing w:line="707" w:lineRule="exact" w:before="0"/>
        <w:ind w:left="217" w:right="0" w:firstLine="0"/>
        <w:jc w:val="left"/>
        <w:rPr>
          <w:rFonts w:ascii="Verdana"/>
          <w:sz w:val="59"/>
        </w:rPr>
      </w:pPr>
      <w:r>
        <w:rPr/>
        <w:br w:type="column"/>
      </w:r>
      <w:r>
        <w:rPr>
          <w:rFonts w:ascii="Verdana"/>
          <w:color w:val="1F497C"/>
          <w:spacing w:val="-309"/>
          <w:sz w:val="59"/>
          <w:u w:val="thick" w:color="1F497C"/>
        </w:rPr>
        <w:t>s</w:t>
      </w:r>
      <w:r>
        <w:rPr>
          <w:rFonts w:ascii="Verdana"/>
          <w:color w:val="1F497C"/>
          <w:spacing w:val="116"/>
          <w:sz w:val="59"/>
        </w:rPr>
        <w:t> </w:t>
      </w:r>
      <w:r>
        <w:rPr>
          <w:rFonts w:ascii="Verdana"/>
          <w:color w:val="1F497C"/>
          <w:sz w:val="59"/>
          <w:u w:val="thick" w:color="1F497C"/>
        </w:rPr>
        <w:t>ection 29</w:t>
      </w:r>
      <w:r>
        <w:rPr>
          <w:rFonts w:ascii="Verdana"/>
          <w:color w:val="1F497C"/>
          <w:sz w:val="59"/>
        </w:rPr>
        <w:t> or</w:t>
      </w:r>
      <w:r>
        <w:rPr>
          <w:rFonts w:ascii="Verdana"/>
          <w:color w:val="1F497C"/>
          <w:spacing w:val="197"/>
          <w:sz w:val="59"/>
        </w:rPr>
        <w:t> </w:t>
      </w:r>
      <w:r>
        <w:rPr>
          <w:rFonts w:ascii="Verdana"/>
          <w:color w:val="1F497C"/>
          <w:spacing w:val="-4"/>
          <w:sz w:val="59"/>
        </w:rPr>
        <w:t>under</w:t>
      </w:r>
    </w:p>
    <w:p>
      <w:pPr>
        <w:spacing w:line="707" w:lineRule="exact" w:before="0"/>
        <w:ind w:left="217" w:right="0" w:firstLine="0"/>
        <w:jc w:val="left"/>
        <w:rPr>
          <w:rFonts w:ascii="Verdana"/>
          <w:sz w:val="59"/>
        </w:rPr>
      </w:pPr>
      <w:r>
        <w:rPr/>
        <w:br w:type="column"/>
      </w:r>
      <w:r>
        <w:rPr>
          <w:rFonts w:ascii="Verdana"/>
          <w:color w:val="1F497C"/>
          <w:spacing w:val="-253"/>
          <w:sz w:val="59"/>
          <w:u w:val="thick" w:color="1F497C"/>
        </w:rPr>
        <w:t>r</w:t>
      </w:r>
      <w:r>
        <w:rPr>
          <w:rFonts w:ascii="Verdana"/>
          <w:color w:val="1F497C"/>
          <w:spacing w:val="53"/>
          <w:sz w:val="59"/>
        </w:rPr>
        <w:t> </w:t>
      </w:r>
      <w:r>
        <w:rPr>
          <w:rFonts w:ascii="Verdana"/>
          <w:color w:val="1F497C"/>
          <w:sz w:val="59"/>
          <w:u w:val="thick" w:color="1F497C"/>
        </w:rPr>
        <w:t>ule 21</w:t>
      </w:r>
      <w:r>
        <w:rPr>
          <w:rFonts w:ascii="Verdana"/>
          <w:color w:val="1F497C"/>
          <w:sz w:val="59"/>
        </w:rPr>
        <w:t>,</w:t>
      </w:r>
      <w:r>
        <w:rPr>
          <w:rFonts w:ascii="Verdana"/>
          <w:color w:val="1F497C"/>
          <w:spacing w:val="113"/>
          <w:sz w:val="59"/>
        </w:rPr>
        <w:t> </w:t>
      </w:r>
      <w:r>
        <w:rPr>
          <w:rFonts w:ascii="Verdana"/>
          <w:color w:val="1F497C"/>
          <w:sz w:val="59"/>
        </w:rPr>
        <w:t>he</w:t>
      </w:r>
    </w:p>
    <w:p>
      <w:pPr>
        <w:spacing w:after="0" w:line="707" w:lineRule="exact"/>
        <w:jc w:val="left"/>
        <w:rPr>
          <w:rFonts w:ascii="Verdana"/>
          <w:sz w:val="59"/>
        </w:rPr>
        <w:sectPr>
          <w:type w:val="continuous"/>
          <w:pgSz w:w="16840" w:h="11910" w:orient="landscape"/>
          <w:pgMar w:top="1100" w:bottom="280" w:left="120" w:right="0"/>
          <w:cols w:num="3" w:equalWidth="0">
            <w:col w:w="6072" w:space="40"/>
            <w:col w:w="6222" w:space="39"/>
            <w:col w:w="4347"/>
          </w:cols>
        </w:sectPr>
      </w:pPr>
    </w:p>
    <w:p>
      <w:pPr>
        <w:tabs>
          <w:tab w:pos="2097" w:val="left" w:leader="none"/>
          <w:tab w:pos="3835" w:val="left" w:leader="none"/>
          <w:tab w:pos="6841" w:val="left" w:leader="none"/>
          <w:tab w:pos="8132" w:val="left" w:leader="none"/>
          <w:tab w:pos="9662" w:val="left" w:leader="none"/>
          <w:tab w:pos="12019" w:val="left" w:leader="none"/>
          <w:tab w:pos="12703" w:val="left" w:leader="none"/>
        </w:tabs>
        <w:spacing w:line="710" w:lineRule="exact" w:before="5"/>
        <w:ind w:left="324" w:right="0" w:firstLine="0"/>
        <w:jc w:val="left"/>
        <w:rPr>
          <w:rFonts w:ascii="Verdana"/>
          <w:sz w:val="59"/>
        </w:rPr>
      </w:pPr>
      <w:r>
        <w:rPr/>
        <w:pict>
          <v:group style="position:absolute;margin-left:0pt;margin-top:60.840004pt;width:841.95pt;height:473.55pt;mso-position-horizontal-relative:page;mso-position-vertical-relative:page;z-index:-252210176"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v:line style="position:absolute" from="444,7184" to="10594,7184" stroked="true" strokeweight="1.8pt" strokecolor="#953634">
              <v:stroke dashstyle="solid"/>
            </v:line>
            <w10:wrap type="none"/>
          </v:group>
        </w:pict>
      </w:r>
      <w:r>
        <w:rPr>
          <w:rFonts w:ascii="Verdana"/>
          <w:color w:val="1F497C"/>
          <w:spacing w:val="-16"/>
          <w:sz w:val="59"/>
        </w:rPr>
        <w:t>may,</w:t>
        <w:tab/>
      </w:r>
      <w:r>
        <w:rPr>
          <w:rFonts w:ascii="Verdana"/>
          <w:strike/>
          <w:color w:val="953634"/>
          <w:spacing w:val="-358"/>
          <w:sz w:val="59"/>
        </w:rPr>
        <w:t>a</w:t>
      </w:r>
      <w:r>
        <w:rPr>
          <w:rFonts w:ascii="Verdana"/>
          <w:strike w:val="0"/>
          <w:color w:val="953634"/>
          <w:spacing w:val="158"/>
          <w:sz w:val="59"/>
        </w:rPr>
        <w:t> </w:t>
      </w:r>
      <w:r>
        <w:rPr>
          <w:rFonts w:ascii="Verdana"/>
          <w:strike/>
          <w:color w:val="953634"/>
          <w:sz w:val="59"/>
        </w:rPr>
        <w:t>fter</w:t>
        <w:tab/>
        <w:t>affording</w:t>
        <w:tab/>
        <w:t>the</w:t>
        <w:tab/>
        <w:t>said</w:t>
        <w:tab/>
        <w:t>person</w:t>
        <w:tab/>
        <w:t>a</w:t>
        <w:tab/>
        <w:t>reasonable</w:t>
      </w:r>
    </w:p>
    <w:p>
      <w:pPr>
        <w:spacing w:before="5"/>
        <w:ind w:left="324" w:right="745" w:firstLine="0"/>
        <w:jc w:val="both"/>
        <w:rPr>
          <w:rFonts w:ascii="Verdana"/>
          <w:sz w:val="59"/>
        </w:rPr>
      </w:pPr>
      <w:r>
        <w:rPr>
          <w:rFonts w:ascii="Verdana"/>
          <w:color w:val="953634"/>
          <w:sz w:val="59"/>
        </w:rPr>
        <w:t>opportunity of being heard</w:t>
      </w:r>
      <w:r>
        <w:rPr>
          <w:rFonts w:ascii="Verdana"/>
          <w:color w:val="1F497C"/>
          <w:sz w:val="59"/>
        </w:rPr>
        <w:t>, suspend the  registration of such person with effect from a date to be determined by him, pending the completion  of the proceedings for cancellation of registration under</w:t>
      </w:r>
      <w:r>
        <w:rPr>
          <w:rFonts w:ascii="Verdana"/>
          <w:color w:val="1F497C"/>
          <w:sz w:val="59"/>
          <w:u w:val="thick" w:color="1F497C"/>
        </w:rPr>
        <w:t> rule</w:t>
      </w:r>
      <w:r>
        <w:rPr>
          <w:rFonts w:ascii="Verdana"/>
          <w:color w:val="1F497C"/>
          <w:spacing w:val="6"/>
          <w:sz w:val="59"/>
          <w:u w:val="thick" w:color="1F497C"/>
        </w:rPr>
        <w:t> </w:t>
      </w:r>
      <w:r>
        <w:rPr>
          <w:rFonts w:ascii="Verdana"/>
          <w:color w:val="1F497C"/>
          <w:sz w:val="59"/>
          <w:u w:val="thick" w:color="1F497C"/>
        </w:rPr>
        <w:t>22</w:t>
      </w:r>
      <w:r>
        <w:rPr>
          <w:rFonts w:ascii="Verdana"/>
          <w:color w:val="1F497C"/>
          <w:sz w:val="59"/>
        </w:rPr>
        <w:t>.</w:t>
      </w:r>
    </w:p>
    <w:p>
      <w:pPr>
        <w:spacing w:after="0"/>
        <w:jc w:val="both"/>
        <w:rPr>
          <w:rFonts w:ascii="Verdana"/>
          <w:sz w:val="59"/>
        </w:rPr>
        <w:sectPr>
          <w:type w:val="continuous"/>
          <w:pgSz w:w="16840" w:h="11910" w:orient="landscape"/>
          <w:pgMar w:top="1100" w:bottom="280" w:left="120" w:right="0"/>
        </w:sectPr>
      </w:pPr>
    </w:p>
    <w:p>
      <w:pPr>
        <w:pStyle w:val="BodyText"/>
        <w:spacing w:before="6"/>
        <w:rPr>
          <w:rFonts w:ascii="Verdana"/>
          <w:sz w:val="27"/>
        </w:rPr>
      </w:pPr>
      <w:r>
        <w:rPr/>
        <w:pict>
          <v:group style="position:absolute;margin-left:0pt;margin-top:60.840004pt;width:841.95pt;height:473.55pt;mso-position-horizontal-relative:page;mso-position-vertical-relative:page;z-index:-252209152"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3"/>
        <w:ind w:left="916" w:right="0" w:firstLine="0"/>
        <w:jc w:val="left"/>
        <w:rPr>
          <w:rFonts w:ascii="Calibri"/>
          <w:b/>
          <w:sz w:val="49"/>
        </w:rPr>
      </w:pPr>
      <w:r>
        <w:rPr>
          <w:rFonts w:ascii="Calibri"/>
          <w:b/>
          <w:color w:val="FF0000"/>
          <w:sz w:val="49"/>
        </w:rPr>
        <w:t>Impact of amendment of Rule 21A(2)</w:t>
      </w:r>
    </w:p>
    <w:p>
      <w:pPr>
        <w:pStyle w:val="BodyText"/>
        <w:spacing w:line="254" w:lineRule="auto" w:before="414"/>
        <w:ind w:left="323" w:right="742"/>
        <w:jc w:val="both"/>
      </w:pPr>
      <w:r>
        <w:rPr>
          <w:color w:val="366091"/>
        </w:rPr>
        <w:t>Rule 21A(2) provides that suspension of GST Registration may be done incase there is reason to believe that there is a violation of Rule 21 or Section 29. The suspension can now happen even without a hearing.</w:t>
      </w:r>
    </w:p>
    <w:p>
      <w:pPr>
        <w:pStyle w:val="BodyText"/>
        <w:spacing w:before="4"/>
        <w:rPr>
          <w:sz w:val="40"/>
        </w:rPr>
      </w:pPr>
    </w:p>
    <w:p>
      <w:pPr>
        <w:pStyle w:val="BodyText"/>
        <w:spacing w:line="254" w:lineRule="auto"/>
        <w:ind w:left="323" w:right="744"/>
        <w:jc w:val="both"/>
      </w:pPr>
      <w:r>
        <w:rPr>
          <w:color w:val="366091"/>
        </w:rPr>
        <w:t>Reason to believe should ordinarily be strong enough and one expects that the department shall be careful in implementing suspension as invocation of this provision would result in a standtill of the business of the taxpayer whereby it would not be able of issue invoices or waybills till such suspension continues.</w:t>
      </w:r>
    </w:p>
    <w:p>
      <w:pPr>
        <w:pStyle w:val="BodyText"/>
        <w:rPr>
          <w:sz w:val="40"/>
        </w:rPr>
      </w:pPr>
    </w:p>
    <w:p>
      <w:pPr>
        <w:pStyle w:val="BodyText"/>
        <w:spacing w:before="1"/>
        <w:ind w:left="323"/>
        <w:jc w:val="both"/>
      </w:pPr>
      <w:r>
        <w:rPr>
          <w:color w:val="366091"/>
        </w:rPr>
        <w:t>The vires of Rule 21A(2) with Article 14 of The Constitution may be tested in time to</w:t>
      </w:r>
      <w:r>
        <w:rPr>
          <w:color w:val="366091"/>
          <w:spacing w:val="93"/>
        </w:rPr>
        <w:t> </w:t>
      </w:r>
      <w:r>
        <w:rPr>
          <w:color w:val="366091"/>
        </w:rPr>
        <w:t>come</w:t>
      </w:r>
    </w:p>
    <w:p>
      <w:pPr>
        <w:spacing w:after="0"/>
        <w:jc w:val="both"/>
        <w:sectPr>
          <w:pgSz w:w="16840" w:h="11910" w:orient="landscape"/>
          <w:pgMar w:top="1100" w:bottom="280" w:left="120" w:right="0"/>
        </w:sectPr>
      </w:pPr>
    </w:p>
    <w:p>
      <w:pPr>
        <w:pStyle w:val="BodyText"/>
        <w:spacing w:before="1"/>
        <w:rPr>
          <w:sz w:val="29"/>
        </w:rPr>
      </w:pPr>
      <w:r>
        <w:rPr/>
        <w:pict>
          <v:group style="position:absolute;margin-left:0pt;margin-top:60.840004pt;width:841.95pt;height:473.55pt;mso-position-horizontal-relative:page;mso-position-vertical-relative:page;z-index:-252208128"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pStyle w:val="Heading3"/>
      </w:pPr>
      <w:r>
        <w:rPr>
          <w:color w:val="FF0000"/>
        </w:rPr>
        <w:t>SCN </w:t>
      </w:r>
      <w:r>
        <w:rPr>
          <w:color w:val="FF0000"/>
          <w:spacing w:val="-4"/>
        </w:rPr>
        <w:t>incase </w:t>
      </w:r>
      <w:r>
        <w:rPr>
          <w:color w:val="FF0000"/>
        </w:rPr>
        <w:t>of </w:t>
      </w:r>
      <w:r>
        <w:rPr>
          <w:color w:val="FF0000"/>
          <w:spacing w:val="-5"/>
        </w:rPr>
        <w:t>differences </w:t>
      </w:r>
      <w:r>
        <w:rPr>
          <w:color w:val="FF0000"/>
        </w:rPr>
        <w:t>as </w:t>
      </w:r>
      <w:r>
        <w:rPr>
          <w:color w:val="FF0000"/>
          <w:spacing w:val="-2"/>
        </w:rPr>
        <w:t>per </w:t>
      </w:r>
      <w:r>
        <w:rPr>
          <w:color w:val="FF0000"/>
        </w:rPr>
        <w:t>SOME</w:t>
      </w:r>
      <w:r>
        <w:rPr>
          <w:color w:val="FF0000"/>
          <w:spacing w:val="-75"/>
        </w:rPr>
        <w:t> </w:t>
      </w:r>
      <w:r>
        <w:rPr>
          <w:color w:val="FF0000"/>
          <w:spacing w:val="-9"/>
        </w:rPr>
        <w:t>ANALYSIS </w:t>
      </w:r>
      <w:r>
        <w:rPr>
          <w:color w:val="FF0000"/>
        </w:rPr>
        <w:t>-</w:t>
      </w:r>
    </w:p>
    <w:p>
      <w:pPr>
        <w:pStyle w:val="Heading4"/>
        <w:tabs>
          <w:tab w:pos="1267" w:val="left" w:leader="none"/>
          <w:tab w:pos="2282" w:val="left" w:leader="none"/>
          <w:tab w:pos="3383" w:val="left" w:leader="none"/>
          <w:tab w:pos="5048" w:val="left" w:leader="none"/>
          <w:tab w:pos="5527" w:val="left" w:leader="none"/>
          <w:tab w:pos="8012" w:val="left" w:leader="none"/>
          <w:tab w:pos="8654" w:val="left" w:leader="none"/>
          <w:tab w:pos="9550" w:val="left" w:leader="none"/>
          <w:tab w:pos="11210" w:val="left" w:leader="none"/>
          <w:tab w:pos="13292" w:val="left" w:leader="none"/>
          <w:tab w:pos="13999" w:val="left" w:leader="none"/>
          <w:tab w:pos="14477" w:val="left" w:leader="none"/>
        </w:tabs>
        <w:spacing w:line="247" w:lineRule="auto" w:before="182"/>
        <w:ind w:right="241"/>
      </w:pPr>
      <w:r>
        <w:rPr>
          <w:b/>
          <w:color w:val="1F497C"/>
        </w:rPr>
        <w:t>Rule</w:t>
        <w:tab/>
        <w:t>21A</w:t>
        <w:tab/>
        <w:t>(2A)</w:t>
        <w:tab/>
      </w:r>
      <w:r>
        <w:rPr>
          <w:color w:val="1F497C"/>
        </w:rPr>
        <w:t>Where,</w:t>
        <w:tab/>
        <w:t>a</w:t>
        <w:tab/>
        <w:t>comparison</w:t>
        <w:tab/>
        <w:t>of</w:t>
        <w:tab/>
        <w:t>the</w:t>
        <w:tab/>
        <w:t>returns</w:t>
        <w:tab/>
        <w:t>furnished</w:t>
        <w:tab/>
        <w:t>by</w:t>
        <w:tab/>
        <w:t>a</w:t>
        <w:tab/>
      </w:r>
      <w:r>
        <w:rPr>
          <w:color w:val="1F497C"/>
          <w:spacing w:val="-3"/>
        </w:rPr>
        <w:t>registered </w:t>
      </w:r>
      <w:r>
        <w:rPr>
          <w:color w:val="1F497C"/>
        </w:rPr>
        <w:t>person under section 39 with</w:t>
      </w:r>
      <w:r>
        <w:rPr>
          <w:color w:val="1F497C"/>
          <w:spacing w:val="-26"/>
        </w:rPr>
        <w:t> </w:t>
      </w:r>
      <w:r>
        <w:rPr>
          <w:color w:val="1F497C"/>
        </w:rPr>
        <w:t>–</w:t>
      </w:r>
    </w:p>
    <w:p>
      <w:pPr>
        <w:pStyle w:val="BodyText"/>
        <w:spacing w:before="4"/>
        <w:rPr>
          <w:rFonts w:ascii="Trebuchet MS"/>
          <w:sz w:val="45"/>
        </w:rPr>
      </w:pPr>
    </w:p>
    <w:p>
      <w:pPr>
        <w:pStyle w:val="ListParagraph"/>
        <w:numPr>
          <w:ilvl w:val="0"/>
          <w:numId w:val="3"/>
        </w:numPr>
        <w:tabs>
          <w:tab w:pos="794" w:val="left" w:leader="none"/>
        </w:tabs>
        <w:spacing w:line="240" w:lineRule="auto" w:before="0" w:after="0"/>
        <w:ind w:left="793" w:right="0" w:hanging="682"/>
        <w:jc w:val="left"/>
        <w:rPr>
          <w:rFonts w:ascii="Trebuchet MS"/>
          <w:sz w:val="44"/>
        </w:rPr>
      </w:pPr>
      <w:r>
        <w:rPr>
          <w:rFonts w:ascii="Trebuchet MS"/>
          <w:color w:val="1F497C"/>
          <w:sz w:val="44"/>
        </w:rPr>
        <w:t>the details of outward supplies furnished in FORM GSTR-1;</w:t>
      </w:r>
      <w:r>
        <w:rPr>
          <w:rFonts w:ascii="Trebuchet MS"/>
          <w:color w:val="1F497C"/>
          <w:spacing w:val="-64"/>
          <w:sz w:val="44"/>
        </w:rPr>
        <w:t> </w:t>
      </w:r>
      <w:r>
        <w:rPr>
          <w:rFonts w:ascii="Trebuchet MS"/>
          <w:color w:val="1F497C"/>
          <w:sz w:val="44"/>
        </w:rPr>
        <w:t>or</w:t>
      </w:r>
    </w:p>
    <w:p>
      <w:pPr>
        <w:pStyle w:val="BodyText"/>
        <w:spacing w:before="6"/>
        <w:rPr>
          <w:rFonts w:ascii="Trebuchet MS"/>
          <w:sz w:val="46"/>
        </w:rPr>
      </w:pPr>
    </w:p>
    <w:p>
      <w:pPr>
        <w:pStyle w:val="ListParagraph"/>
        <w:numPr>
          <w:ilvl w:val="0"/>
          <w:numId w:val="3"/>
        </w:numPr>
        <w:tabs>
          <w:tab w:pos="820" w:val="left" w:leader="none"/>
        </w:tabs>
        <w:spacing w:line="240" w:lineRule="auto" w:before="1" w:after="0"/>
        <w:ind w:left="820" w:right="0" w:hanging="708"/>
        <w:jc w:val="left"/>
        <w:rPr>
          <w:rFonts w:ascii="Trebuchet MS"/>
          <w:sz w:val="44"/>
        </w:rPr>
      </w:pPr>
      <w:r>
        <w:rPr>
          <w:rFonts w:ascii="Trebuchet MS"/>
          <w:color w:val="1F497C"/>
          <w:sz w:val="44"/>
        </w:rPr>
        <w:t>the details of inward supplies derived based on the details of outward</w:t>
      </w:r>
      <w:r>
        <w:rPr>
          <w:rFonts w:ascii="Trebuchet MS"/>
          <w:color w:val="1F497C"/>
          <w:spacing w:val="60"/>
          <w:sz w:val="44"/>
        </w:rPr>
        <w:t> </w:t>
      </w:r>
      <w:r>
        <w:rPr>
          <w:rFonts w:ascii="Trebuchet MS"/>
          <w:color w:val="1F497C"/>
          <w:sz w:val="44"/>
        </w:rPr>
        <w:t>supplies</w:t>
      </w:r>
    </w:p>
    <w:p>
      <w:pPr>
        <w:spacing w:before="14"/>
        <w:ind w:left="112" w:right="0" w:firstLine="0"/>
        <w:jc w:val="left"/>
        <w:rPr>
          <w:rFonts w:ascii="Trebuchet MS"/>
          <w:sz w:val="44"/>
        </w:rPr>
      </w:pPr>
      <w:r>
        <w:rPr>
          <w:rFonts w:ascii="Trebuchet MS"/>
          <w:color w:val="1F497C"/>
          <w:sz w:val="44"/>
        </w:rPr>
        <w:t>furnished by his suppliers in their FORM GSTR-1, </w:t>
      </w:r>
      <w:r>
        <w:rPr>
          <w:rFonts w:ascii="Trebuchet MS"/>
          <w:b/>
          <w:color w:val="BF504D"/>
          <w:spacing w:val="-249"/>
          <w:sz w:val="44"/>
          <w:u w:val="thick" w:color="BF504D"/>
        </w:rPr>
        <w:t>o</w:t>
      </w:r>
      <w:r>
        <w:rPr>
          <w:rFonts w:ascii="Trebuchet MS"/>
          <w:b/>
          <w:color w:val="BF504D"/>
          <w:spacing w:val="108"/>
          <w:sz w:val="44"/>
        </w:rPr>
        <w:t> </w:t>
      </w:r>
      <w:r>
        <w:rPr>
          <w:rFonts w:ascii="Trebuchet MS"/>
          <w:b/>
          <w:color w:val="BF504D"/>
          <w:sz w:val="44"/>
          <w:u w:val="thick" w:color="BF504D"/>
        </w:rPr>
        <w:t>r such other analysis</w:t>
      </w:r>
      <w:r>
        <w:rPr>
          <w:rFonts w:ascii="Trebuchet MS"/>
          <w:color w:val="1F497C"/>
          <w:sz w:val="44"/>
        </w:rPr>
        <w:t>, as may</w:t>
      </w:r>
      <w:r>
        <w:rPr>
          <w:rFonts w:ascii="Trebuchet MS"/>
          <w:color w:val="1F497C"/>
          <w:spacing w:val="-74"/>
          <w:sz w:val="44"/>
        </w:rPr>
        <w:t> </w:t>
      </w:r>
      <w:r>
        <w:rPr>
          <w:rFonts w:ascii="Trebuchet MS"/>
          <w:color w:val="1F497C"/>
          <w:sz w:val="44"/>
        </w:rPr>
        <w:t>be</w:t>
      </w:r>
    </w:p>
    <w:p>
      <w:pPr>
        <w:pStyle w:val="Heading4"/>
        <w:tabs>
          <w:tab w:pos="1834" w:val="left" w:leader="none"/>
          <w:tab w:pos="2805" w:val="left" w:leader="none"/>
          <w:tab w:pos="3600" w:val="left" w:leader="none"/>
          <w:tab w:pos="4575" w:val="left" w:leader="none"/>
          <w:tab w:pos="8387" w:val="left" w:leader="none"/>
          <w:tab w:pos="9107" w:val="left" w:leader="none"/>
          <w:tab w:pos="10082" w:val="left" w:leader="none"/>
          <w:tab w:pos="12010" w:val="left" w:leader="none"/>
          <w:tab w:pos="13310" w:val="left" w:leader="none"/>
          <w:tab w:pos="14448" w:val="left" w:leader="none"/>
          <w:tab w:pos="15836" w:val="left" w:leader="none"/>
        </w:tabs>
      </w:pPr>
      <w:r>
        <w:rPr>
          <w:color w:val="1F497C"/>
        </w:rPr>
        <w:t>carried</w:t>
        <w:tab/>
        <w:t>out</w:t>
        <w:tab/>
        <w:t>on</w:t>
        <w:tab/>
        <w:t>the</w:t>
        <w:tab/>
        <w:t>recommendations</w:t>
        <w:tab/>
        <w:t>of</w:t>
        <w:tab/>
        <w:t>the</w:t>
        <w:tab/>
        <w:t>Council,</w:t>
        <w:tab/>
        <w:t>show</w:t>
        <w:tab/>
        <w:t>that</w:t>
        <w:tab/>
        <w:t>there</w:t>
        <w:tab/>
        <w:t>are</w:t>
      </w:r>
    </w:p>
    <w:p>
      <w:pPr>
        <w:spacing w:before="17"/>
        <w:ind w:left="112" w:right="0" w:firstLine="0"/>
        <w:jc w:val="left"/>
        <w:rPr>
          <w:rFonts w:ascii="Trebuchet MS"/>
          <w:b/>
          <w:sz w:val="44"/>
        </w:rPr>
      </w:pPr>
      <w:r>
        <w:rPr>
          <w:rFonts w:ascii="Times New Roman"/>
          <w:color w:val="BF504D"/>
          <w:spacing w:val="-110"/>
          <w:w w:val="99"/>
          <w:sz w:val="44"/>
          <w:u w:val="thick" w:color="BF504D"/>
        </w:rPr>
        <w:t> </w:t>
      </w:r>
      <w:r>
        <w:rPr>
          <w:rFonts w:ascii="Trebuchet MS"/>
          <w:b/>
          <w:color w:val="BF504D"/>
          <w:sz w:val="44"/>
          <w:u w:val="thick" w:color="BF504D"/>
        </w:rPr>
        <w:t>significant differences or anomalies indicating </w:t>
      </w:r>
      <w:r>
        <w:rPr>
          <w:rFonts w:ascii="Trebuchet MS"/>
          <w:b/>
          <w:color w:val="BF504D"/>
          <w:spacing w:val="-3"/>
          <w:sz w:val="44"/>
          <w:u w:val="thick" w:color="BF504D"/>
        </w:rPr>
        <w:t>contravention </w:t>
      </w:r>
      <w:r>
        <w:rPr>
          <w:rFonts w:ascii="Trebuchet MS"/>
          <w:b/>
          <w:color w:val="BF504D"/>
          <w:sz w:val="44"/>
          <w:u w:val="thick" w:color="BF504D"/>
        </w:rPr>
        <w:t>of the provisions</w:t>
      </w:r>
    </w:p>
    <w:p>
      <w:pPr>
        <w:pStyle w:val="Heading4"/>
        <w:spacing w:line="247" w:lineRule="auto"/>
        <w:ind w:right="240" w:hanging="1"/>
        <w:jc w:val="both"/>
      </w:pPr>
      <w:r>
        <w:rPr>
          <w:rFonts w:ascii="Times New Roman"/>
          <w:color w:val="BF504D"/>
          <w:spacing w:val="-110"/>
          <w:w w:val="99"/>
          <w:u w:val="thick" w:color="BF504D"/>
        </w:rPr>
        <w:t> </w:t>
      </w:r>
      <w:r>
        <w:rPr>
          <w:b/>
          <w:color w:val="BF504D"/>
          <w:u w:val="thick" w:color="BF504D"/>
        </w:rPr>
        <w:t>of the Act or the rules made thereunder</w:t>
      </w:r>
      <w:r>
        <w:rPr>
          <w:color w:val="1F497C"/>
        </w:rPr>
        <w:t>, leading to cancellation of registration of the said person,</w:t>
      </w:r>
      <w:r>
        <w:rPr>
          <w:color w:val="BF504D"/>
          <w:u w:val="thick" w:color="BF504D"/>
        </w:rPr>
        <w:t> </w:t>
      </w:r>
      <w:r>
        <w:rPr>
          <w:b/>
          <w:color w:val="BF504D"/>
          <w:u w:val="thick" w:color="BF504D"/>
        </w:rPr>
        <w:t>his registration shall be suspended</w:t>
      </w:r>
      <w:r>
        <w:rPr>
          <w:b/>
          <w:color w:val="BF504D"/>
        </w:rPr>
        <w:t> </w:t>
      </w:r>
      <w:r>
        <w:rPr>
          <w:color w:val="1F497C"/>
        </w:rPr>
        <w:t>and the said person shall be intimated in FORM GST REG-31, </w:t>
      </w:r>
      <w:r>
        <w:rPr>
          <w:color w:val="1F497C"/>
          <w:spacing w:val="-5"/>
        </w:rPr>
        <w:t>electronically, </w:t>
      </w:r>
      <w:r>
        <w:rPr>
          <w:color w:val="1F497C"/>
        </w:rPr>
        <w:t>on the common portal, or by sending a communication to his e-mail address provided at the time of</w:t>
      </w:r>
      <w:r>
        <w:rPr>
          <w:color w:val="1F497C"/>
          <w:spacing w:val="-73"/>
        </w:rPr>
        <w:t> </w:t>
      </w:r>
      <w:r>
        <w:rPr>
          <w:color w:val="1F497C"/>
        </w:rPr>
        <w:t>registration or as amended from time to time, highlighting the said differences and anomalies and asking him to explain, within a period of thirty days, as to why his registration shall not be cancelled</w:t>
      </w:r>
    </w:p>
    <w:p>
      <w:pPr>
        <w:spacing w:after="0" w:line="247" w:lineRule="auto"/>
        <w:jc w:val="both"/>
        <w:sectPr>
          <w:pgSz w:w="16840" w:h="11910" w:orient="landscape"/>
          <w:pgMar w:top="1100" w:bottom="280" w:left="120" w:right="0"/>
        </w:sectPr>
      </w:pPr>
    </w:p>
    <w:p>
      <w:pPr>
        <w:pStyle w:val="BodyText"/>
        <w:spacing w:before="9"/>
        <w:rPr>
          <w:rFonts w:ascii="Trebuchet MS"/>
          <w:sz w:val="28"/>
        </w:rPr>
      </w:pPr>
      <w:r>
        <w:rPr/>
        <w:pict>
          <v:group style="position:absolute;margin-left:0pt;margin-top:60.840004pt;width:841.95pt;height:473.55pt;mso-position-horizontal-relative:page;mso-position-vertical-relative:page;z-index:-252207104"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3"/>
        <w:ind w:left="916" w:right="0" w:firstLine="0"/>
        <w:jc w:val="left"/>
        <w:rPr>
          <w:rFonts w:ascii="Calibri"/>
          <w:b/>
          <w:sz w:val="49"/>
        </w:rPr>
      </w:pPr>
      <w:r>
        <w:rPr>
          <w:rFonts w:ascii="Calibri"/>
          <w:b/>
          <w:color w:val="FF0000"/>
          <w:sz w:val="49"/>
        </w:rPr>
        <w:t>Impact of amendment of Rule 21A(2A)</w:t>
      </w:r>
    </w:p>
    <w:p>
      <w:pPr>
        <w:pStyle w:val="BodyText"/>
        <w:spacing w:line="254" w:lineRule="auto" w:before="414"/>
        <w:ind w:left="323" w:right="744"/>
        <w:jc w:val="both"/>
      </w:pPr>
      <w:r>
        <w:rPr>
          <w:color w:val="366091"/>
        </w:rPr>
        <w:t>Again Rule 21A(2A) is a stringent Rule whereby incase of significant differences between GSTR 2A &amp; GSTR 3B or between GSTR 1 &amp; GSTR 3B, suspension of  GST Registration can be invoked immediately and in future cancellation pf GST Registration too can be invoked.</w:t>
      </w:r>
    </w:p>
    <w:p>
      <w:pPr>
        <w:pStyle w:val="BodyText"/>
        <w:spacing w:before="4"/>
        <w:rPr>
          <w:sz w:val="40"/>
        </w:rPr>
      </w:pPr>
    </w:p>
    <w:p>
      <w:pPr>
        <w:pStyle w:val="BodyText"/>
        <w:spacing w:line="254" w:lineRule="auto"/>
        <w:ind w:left="323" w:right="746"/>
        <w:jc w:val="both"/>
      </w:pPr>
      <w:r>
        <w:rPr>
          <w:color w:val="366091"/>
        </w:rPr>
        <w:t>One expects here too, that the department shall be careful in implementing suspension as invocation of this provision would result in a standtill of the business of the  taxpayer  whereby</w:t>
      </w:r>
      <w:r>
        <w:rPr>
          <w:color w:val="366091"/>
          <w:spacing w:val="9"/>
        </w:rPr>
        <w:t> </w:t>
      </w:r>
      <w:r>
        <w:rPr>
          <w:color w:val="366091"/>
        </w:rPr>
        <w:t>it</w:t>
      </w:r>
      <w:r>
        <w:rPr>
          <w:color w:val="366091"/>
          <w:spacing w:val="12"/>
        </w:rPr>
        <w:t> </w:t>
      </w:r>
      <w:r>
        <w:rPr>
          <w:color w:val="366091"/>
        </w:rPr>
        <w:t>would</w:t>
      </w:r>
      <w:r>
        <w:rPr>
          <w:color w:val="366091"/>
          <w:spacing w:val="12"/>
        </w:rPr>
        <w:t> </w:t>
      </w:r>
      <w:r>
        <w:rPr>
          <w:color w:val="366091"/>
        </w:rPr>
        <w:t>not</w:t>
      </w:r>
      <w:r>
        <w:rPr>
          <w:color w:val="366091"/>
          <w:spacing w:val="11"/>
        </w:rPr>
        <w:t> </w:t>
      </w:r>
      <w:r>
        <w:rPr>
          <w:color w:val="366091"/>
        </w:rPr>
        <w:t>be</w:t>
      </w:r>
      <w:r>
        <w:rPr>
          <w:color w:val="366091"/>
          <w:spacing w:val="16"/>
        </w:rPr>
        <w:t> </w:t>
      </w:r>
      <w:r>
        <w:rPr>
          <w:color w:val="366091"/>
        </w:rPr>
        <w:t>able</w:t>
      </w:r>
      <w:r>
        <w:rPr>
          <w:color w:val="366091"/>
          <w:spacing w:val="8"/>
        </w:rPr>
        <w:t> </w:t>
      </w:r>
      <w:r>
        <w:rPr>
          <w:color w:val="366091"/>
        </w:rPr>
        <w:t>of</w:t>
      </w:r>
      <w:r>
        <w:rPr>
          <w:color w:val="366091"/>
          <w:spacing w:val="16"/>
        </w:rPr>
        <w:t> </w:t>
      </w:r>
      <w:r>
        <w:rPr>
          <w:color w:val="366091"/>
        </w:rPr>
        <w:t>issue</w:t>
      </w:r>
      <w:r>
        <w:rPr>
          <w:color w:val="366091"/>
          <w:spacing w:val="7"/>
        </w:rPr>
        <w:t> </w:t>
      </w:r>
      <w:r>
        <w:rPr>
          <w:color w:val="366091"/>
        </w:rPr>
        <w:t>invoices</w:t>
      </w:r>
      <w:r>
        <w:rPr>
          <w:color w:val="366091"/>
          <w:spacing w:val="6"/>
        </w:rPr>
        <w:t> </w:t>
      </w:r>
      <w:r>
        <w:rPr>
          <w:color w:val="366091"/>
        </w:rPr>
        <w:t>or</w:t>
      </w:r>
      <w:r>
        <w:rPr>
          <w:color w:val="366091"/>
          <w:spacing w:val="13"/>
        </w:rPr>
        <w:t> </w:t>
      </w:r>
      <w:r>
        <w:rPr>
          <w:color w:val="366091"/>
        </w:rPr>
        <w:t>waybills</w:t>
      </w:r>
      <w:r>
        <w:rPr>
          <w:color w:val="366091"/>
          <w:spacing w:val="10"/>
        </w:rPr>
        <w:t> </w:t>
      </w:r>
      <w:r>
        <w:rPr>
          <w:color w:val="366091"/>
        </w:rPr>
        <w:t>till</w:t>
      </w:r>
      <w:r>
        <w:rPr>
          <w:color w:val="366091"/>
          <w:spacing w:val="9"/>
        </w:rPr>
        <w:t> </w:t>
      </w:r>
      <w:r>
        <w:rPr>
          <w:color w:val="366091"/>
        </w:rPr>
        <w:t>such</w:t>
      </w:r>
      <w:r>
        <w:rPr>
          <w:color w:val="366091"/>
          <w:spacing w:val="12"/>
        </w:rPr>
        <w:t> </w:t>
      </w:r>
      <w:r>
        <w:rPr>
          <w:color w:val="366091"/>
        </w:rPr>
        <w:t>suspension</w:t>
      </w:r>
      <w:r>
        <w:rPr>
          <w:color w:val="366091"/>
          <w:spacing w:val="3"/>
        </w:rPr>
        <w:t> </w:t>
      </w:r>
      <w:r>
        <w:rPr>
          <w:color w:val="366091"/>
        </w:rPr>
        <w:t>continues.</w:t>
      </w:r>
    </w:p>
    <w:p>
      <w:pPr>
        <w:spacing w:after="0" w:line="254" w:lineRule="auto"/>
        <w:jc w:val="both"/>
        <w:sectPr>
          <w:pgSz w:w="16840" w:h="11910" w:orient="landscape"/>
          <w:pgMar w:top="1100" w:bottom="280" w:left="120" w:right="0"/>
        </w:sectPr>
      </w:pPr>
    </w:p>
    <w:p>
      <w:pPr>
        <w:pStyle w:val="BodyText"/>
        <w:spacing w:before="9"/>
        <w:rPr>
          <w:sz w:val="29"/>
        </w:rPr>
      </w:pPr>
      <w:r>
        <w:rPr/>
        <w:pict>
          <v:group style="position:absolute;margin-left:.24pt;margin-top:60.840004pt;width:841.7pt;height:473.55pt;mso-position-horizontal-relative:page;mso-position-vertical-relative:page;z-index:-252206080" coordorigin="5,1217" coordsize="16834,9471">
            <v:shape style="position:absolute;left:4;top:1216;width:16834;height:9471" type="#_x0000_t75" stroked="false">
              <v:imagedata r:id="rId10" o:title=""/>
            </v:shape>
            <v:shape style="position:absolute;left:13051;top:1216;width:3788;height:826" type="#_x0000_t75" stroked="false">
              <v:imagedata r:id="rId6" o:title=""/>
            </v:shape>
            <w10:wrap type="none"/>
          </v:group>
        </w:pict>
      </w:r>
    </w:p>
    <w:p>
      <w:pPr>
        <w:pStyle w:val="Heading2"/>
        <w:ind w:left="916"/>
        <w:rPr>
          <w:rFonts w:ascii="Calibri"/>
        </w:rPr>
      </w:pPr>
      <w:r>
        <w:rPr>
          <w:rFonts w:ascii="Calibri"/>
          <w:color w:val="FF0000"/>
        </w:rPr>
        <w:t>Addition of Rule 21A (3A)</w:t>
      </w:r>
    </w:p>
    <w:p>
      <w:pPr>
        <w:spacing w:line="247" w:lineRule="auto" w:before="379"/>
        <w:ind w:left="429" w:right="744" w:firstLine="0"/>
        <w:jc w:val="both"/>
        <w:rPr>
          <w:rFonts w:ascii="Trebuchet MS" w:hAnsi="Trebuchet MS"/>
          <w:sz w:val="70"/>
        </w:rPr>
      </w:pPr>
      <w:r>
        <w:rPr>
          <w:rFonts w:ascii="Trebuchet MS" w:hAnsi="Trebuchet MS"/>
          <w:color w:val="1F497C"/>
          <w:sz w:val="70"/>
        </w:rPr>
        <w:t>“(3A) A registered person, whose registration has been suspended under sub-rule (2) or sub-rule (2A), shall not be granted any refund under section 54, during the period of suspension of his registration.</w:t>
      </w:r>
    </w:p>
    <w:p>
      <w:pPr>
        <w:spacing w:after="0" w:line="247" w:lineRule="auto"/>
        <w:jc w:val="both"/>
        <w:rPr>
          <w:rFonts w:ascii="Trebuchet MS" w:hAnsi="Trebuchet MS"/>
          <w:sz w:val="70"/>
        </w:rPr>
        <w:sectPr>
          <w:pgSz w:w="16840" w:h="11910" w:orient="landscape"/>
          <w:pgMar w:top="1100" w:bottom="280" w:left="120" w:right="0"/>
        </w:sectPr>
      </w:pPr>
    </w:p>
    <w:p>
      <w:pPr>
        <w:pStyle w:val="BodyText"/>
        <w:spacing w:before="8"/>
        <w:rPr>
          <w:rFonts w:ascii="Trebuchet MS"/>
          <w:sz w:val="27"/>
        </w:rPr>
      </w:pPr>
      <w:r>
        <w:rPr/>
        <w:pict>
          <v:group style="position:absolute;margin-left:0pt;margin-top:60.840004pt;width:841.95pt;height:473.55pt;mso-position-horizontal-relative:page;mso-position-vertical-relative:page;z-index:-252205056"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5"/>
        <w:ind w:left="916" w:right="0" w:firstLine="0"/>
        <w:jc w:val="left"/>
        <w:rPr>
          <w:rFonts w:ascii="Calibri"/>
          <w:b/>
          <w:sz w:val="42"/>
        </w:rPr>
      </w:pPr>
      <w:r>
        <w:rPr>
          <w:rFonts w:ascii="Calibri"/>
          <w:b/>
          <w:color w:val="FF0000"/>
          <w:sz w:val="42"/>
        </w:rPr>
        <w:t>Rule 138E</w:t>
      </w:r>
    </w:p>
    <w:p>
      <w:pPr>
        <w:pStyle w:val="BodyText"/>
        <w:spacing w:before="12"/>
        <w:rPr>
          <w:rFonts w:ascii="Calibri"/>
          <w:b/>
          <w:sz w:val="41"/>
        </w:rPr>
      </w:pPr>
    </w:p>
    <w:p>
      <w:pPr>
        <w:spacing w:line="249" w:lineRule="auto" w:before="0"/>
        <w:ind w:left="429" w:right="0" w:firstLine="0"/>
        <w:jc w:val="left"/>
        <w:rPr>
          <w:rFonts w:ascii="Trebuchet MS"/>
          <w:sz w:val="73"/>
        </w:rPr>
      </w:pPr>
      <w:r>
        <w:rPr>
          <w:rFonts w:ascii="Trebuchet MS"/>
          <w:color w:val="1F497C"/>
          <w:sz w:val="73"/>
        </w:rPr>
        <w:t>U/r 138E : Waybills will also be suspended for such Taxpayers</w:t>
      </w:r>
    </w:p>
    <w:p>
      <w:pPr>
        <w:spacing w:after="0" w:line="249" w:lineRule="auto"/>
        <w:jc w:val="left"/>
        <w:rPr>
          <w:rFonts w:ascii="Trebuchet MS"/>
          <w:sz w:val="73"/>
        </w:rPr>
        <w:sectPr>
          <w:pgSz w:w="16840" w:h="11910" w:orient="landscape"/>
          <w:pgMar w:top="1100" w:bottom="280" w:left="120" w:right="0"/>
        </w:sectPr>
      </w:pPr>
    </w:p>
    <w:p>
      <w:pPr>
        <w:pStyle w:val="BodyText"/>
        <w:spacing w:before="9"/>
        <w:rPr>
          <w:rFonts w:ascii="Trebuchet MS"/>
          <w:sz w:val="28"/>
        </w:rPr>
      </w:pPr>
      <w:r>
        <w:rPr/>
        <w:pict>
          <v:group style="position:absolute;margin-left:0pt;margin-top:60.840004pt;width:841.95pt;height:473.55pt;mso-position-horizontal-relative:page;mso-position-vertical-relative:page;z-index:-252204032"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3"/>
        <w:ind w:left="916" w:right="0" w:firstLine="0"/>
        <w:jc w:val="left"/>
        <w:rPr>
          <w:rFonts w:ascii="Calibri"/>
          <w:b/>
          <w:sz w:val="49"/>
        </w:rPr>
      </w:pPr>
      <w:r>
        <w:rPr>
          <w:rFonts w:ascii="Calibri"/>
          <w:b/>
          <w:color w:val="FF0000"/>
          <w:sz w:val="49"/>
        </w:rPr>
        <w:t>Impact of amendment of Rule 21A(3A) &amp; 138E</w:t>
      </w:r>
    </w:p>
    <w:p>
      <w:pPr>
        <w:pStyle w:val="BodyText"/>
        <w:spacing w:line="254" w:lineRule="auto" w:before="414"/>
        <w:ind w:left="323"/>
      </w:pPr>
      <w:r>
        <w:rPr>
          <w:color w:val="366091"/>
        </w:rPr>
        <w:t>Rule 21A(3A) is in addition to earlier Rules whereby incase suspension of GST Registration refunds will be denied. Also under Rule 138E, waybills will be blocked.</w:t>
      </w:r>
    </w:p>
    <w:p>
      <w:pPr>
        <w:spacing w:after="0" w:line="254" w:lineRule="auto"/>
        <w:sectPr>
          <w:pgSz w:w="16840" w:h="11910" w:orient="landscape"/>
          <w:pgMar w:top="1100" w:bottom="280" w:left="120" w:right="0"/>
        </w:sectPr>
      </w:pPr>
    </w:p>
    <w:p>
      <w:pPr>
        <w:pStyle w:val="BodyText"/>
        <w:spacing w:before="11"/>
        <w:rPr>
          <w:sz w:val="27"/>
        </w:rPr>
      </w:pPr>
      <w:r>
        <w:rPr/>
        <w:pict>
          <v:group style="position:absolute;margin-left:0pt;margin-top:60.840004pt;width:841.95pt;height:473.55pt;mso-position-horizontal-relative:page;mso-position-vertical-relative:page;z-index:-252203008"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5"/>
        <w:ind w:left="916" w:right="0" w:firstLine="0"/>
        <w:jc w:val="left"/>
        <w:rPr>
          <w:rFonts w:ascii="Calibri" w:hAnsi="Calibri"/>
          <w:b/>
          <w:sz w:val="42"/>
        </w:rPr>
      </w:pPr>
      <w:r>
        <w:rPr>
          <w:rFonts w:ascii="Calibri" w:hAnsi="Calibri"/>
          <w:b/>
          <w:color w:val="FF0000"/>
          <w:sz w:val="42"/>
        </w:rPr>
        <w:t>Rule 59 – No GSTR 1 incase Last Period’s GSTR 3B has not been filed!</w:t>
      </w:r>
    </w:p>
    <w:p>
      <w:pPr>
        <w:pStyle w:val="BodyText"/>
        <w:spacing w:before="276"/>
        <w:ind w:left="218"/>
        <w:jc w:val="both"/>
        <w:rPr>
          <w:rFonts w:ascii="Verdana" w:hAnsi="Verdana"/>
        </w:rPr>
      </w:pPr>
      <w:r>
        <w:rPr>
          <w:rFonts w:ascii="Verdana" w:hAnsi="Verdana"/>
          <w:color w:val="1F497C"/>
        </w:rPr>
        <w:t>“(5) Notwithstanding anything contained in this rule, -</w:t>
      </w:r>
    </w:p>
    <w:p>
      <w:pPr>
        <w:pStyle w:val="BodyText"/>
        <w:rPr>
          <w:rFonts w:ascii="Verdana"/>
        </w:rPr>
      </w:pPr>
    </w:p>
    <w:p>
      <w:pPr>
        <w:pStyle w:val="ListParagraph"/>
        <w:numPr>
          <w:ilvl w:val="1"/>
          <w:numId w:val="3"/>
        </w:numPr>
        <w:tabs>
          <w:tab w:pos="1038" w:val="left" w:leader="none"/>
        </w:tabs>
        <w:spacing w:line="240" w:lineRule="auto" w:before="0" w:after="0"/>
        <w:ind w:left="218" w:right="337" w:firstLine="0"/>
        <w:jc w:val="both"/>
        <w:rPr>
          <w:rFonts w:ascii="Verdana"/>
          <w:sz w:val="38"/>
        </w:rPr>
      </w:pPr>
      <w:r>
        <w:rPr>
          <w:rFonts w:ascii="Verdana"/>
          <w:color w:val="1F497C"/>
          <w:sz w:val="38"/>
        </w:rPr>
        <w:t>a registered person shall not be allowed to furnish the details of outward supplies of goods or services or both under section 37 in </w:t>
      </w:r>
      <w:r>
        <w:rPr>
          <w:rFonts w:ascii="Verdana"/>
          <w:b/>
          <w:color w:val="1F497C"/>
          <w:sz w:val="38"/>
        </w:rPr>
        <w:t>FORM GSTR-1</w:t>
      </w:r>
      <w:r>
        <w:rPr>
          <w:rFonts w:ascii="Verdana"/>
          <w:color w:val="1F497C"/>
          <w:sz w:val="38"/>
        </w:rPr>
        <w:t>, if he has not furnished the return in </w:t>
      </w:r>
      <w:r>
        <w:rPr>
          <w:rFonts w:ascii="Verdana"/>
          <w:b/>
          <w:color w:val="1F497C"/>
          <w:sz w:val="38"/>
        </w:rPr>
        <w:t>FORM GSTR-3B </w:t>
      </w:r>
      <w:r>
        <w:rPr>
          <w:rFonts w:ascii="Verdana"/>
          <w:color w:val="1F497C"/>
          <w:sz w:val="38"/>
        </w:rPr>
        <w:t>for preceding two</w:t>
      </w:r>
      <w:r>
        <w:rPr>
          <w:rFonts w:ascii="Verdana"/>
          <w:color w:val="1F497C"/>
          <w:spacing w:val="46"/>
          <w:sz w:val="38"/>
        </w:rPr>
        <w:t> </w:t>
      </w:r>
      <w:r>
        <w:rPr>
          <w:rFonts w:ascii="Verdana"/>
          <w:color w:val="1F497C"/>
          <w:sz w:val="38"/>
        </w:rPr>
        <w:t>months;</w:t>
      </w:r>
    </w:p>
    <w:p>
      <w:pPr>
        <w:pStyle w:val="BodyText"/>
        <w:spacing w:before="5"/>
        <w:rPr>
          <w:rFonts w:ascii="Verdana"/>
        </w:rPr>
      </w:pPr>
    </w:p>
    <w:p>
      <w:pPr>
        <w:pStyle w:val="ListParagraph"/>
        <w:numPr>
          <w:ilvl w:val="1"/>
          <w:numId w:val="3"/>
        </w:numPr>
        <w:tabs>
          <w:tab w:pos="1027" w:val="left" w:leader="none"/>
        </w:tabs>
        <w:spacing w:line="240" w:lineRule="auto" w:before="0" w:after="0"/>
        <w:ind w:left="218" w:right="337" w:firstLine="0"/>
        <w:jc w:val="both"/>
        <w:rPr>
          <w:rFonts w:ascii="Verdana"/>
          <w:b/>
          <w:sz w:val="38"/>
        </w:rPr>
      </w:pPr>
      <w:r>
        <w:rPr>
          <w:rFonts w:ascii="Verdana"/>
          <w:color w:val="1F497C"/>
          <w:sz w:val="38"/>
        </w:rPr>
        <w:t>a registered person, required to furnish return for every quarter under the proviso </w:t>
      </w:r>
      <w:r>
        <w:rPr>
          <w:rFonts w:ascii="Verdana"/>
          <w:color w:val="1F497C"/>
          <w:spacing w:val="-3"/>
          <w:sz w:val="38"/>
        </w:rPr>
        <w:t>to </w:t>
      </w:r>
      <w:r>
        <w:rPr>
          <w:rFonts w:ascii="Verdana"/>
          <w:color w:val="1F497C"/>
          <w:sz w:val="38"/>
        </w:rPr>
        <w:t>sub-section (1) of section 39, shall not be allowed to furnish the details of</w:t>
      </w:r>
      <w:r>
        <w:rPr>
          <w:rFonts w:ascii="Verdana"/>
          <w:color w:val="1F497C"/>
          <w:spacing w:val="22"/>
          <w:sz w:val="38"/>
        </w:rPr>
        <w:t> </w:t>
      </w:r>
      <w:r>
        <w:rPr>
          <w:rFonts w:ascii="Verdana"/>
          <w:color w:val="1F497C"/>
          <w:sz w:val="38"/>
        </w:rPr>
        <w:t>outward</w:t>
      </w:r>
      <w:r>
        <w:rPr>
          <w:rFonts w:ascii="Verdana"/>
          <w:color w:val="1F497C"/>
          <w:spacing w:val="22"/>
          <w:sz w:val="38"/>
        </w:rPr>
        <w:t> </w:t>
      </w:r>
      <w:r>
        <w:rPr>
          <w:rFonts w:ascii="Verdana"/>
          <w:color w:val="1F497C"/>
          <w:sz w:val="38"/>
        </w:rPr>
        <w:t>supplies</w:t>
      </w:r>
      <w:r>
        <w:rPr>
          <w:rFonts w:ascii="Verdana"/>
          <w:color w:val="1F497C"/>
          <w:spacing w:val="19"/>
          <w:sz w:val="38"/>
        </w:rPr>
        <w:t> </w:t>
      </w:r>
      <w:r>
        <w:rPr>
          <w:rFonts w:ascii="Verdana"/>
          <w:color w:val="1F497C"/>
          <w:sz w:val="38"/>
        </w:rPr>
        <w:t>of</w:t>
      </w:r>
      <w:r>
        <w:rPr>
          <w:rFonts w:ascii="Verdana"/>
          <w:color w:val="1F497C"/>
          <w:spacing w:val="18"/>
          <w:sz w:val="38"/>
        </w:rPr>
        <w:t> </w:t>
      </w:r>
      <w:r>
        <w:rPr>
          <w:rFonts w:ascii="Verdana"/>
          <w:color w:val="1F497C"/>
          <w:sz w:val="38"/>
        </w:rPr>
        <w:t>goods</w:t>
      </w:r>
      <w:r>
        <w:rPr>
          <w:rFonts w:ascii="Verdana"/>
          <w:color w:val="1F497C"/>
          <w:spacing w:val="23"/>
          <w:sz w:val="38"/>
        </w:rPr>
        <w:t> </w:t>
      </w:r>
      <w:r>
        <w:rPr>
          <w:rFonts w:ascii="Verdana"/>
          <w:color w:val="1F497C"/>
          <w:sz w:val="38"/>
        </w:rPr>
        <w:t>or</w:t>
      </w:r>
      <w:r>
        <w:rPr>
          <w:rFonts w:ascii="Verdana"/>
          <w:color w:val="1F497C"/>
          <w:spacing w:val="20"/>
          <w:sz w:val="38"/>
        </w:rPr>
        <w:t> </w:t>
      </w:r>
      <w:r>
        <w:rPr>
          <w:rFonts w:ascii="Verdana"/>
          <w:color w:val="1F497C"/>
          <w:sz w:val="38"/>
        </w:rPr>
        <w:t>services</w:t>
      </w:r>
      <w:r>
        <w:rPr>
          <w:rFonts w:ascii="Verdana"/>
          <w:color w:val="1F497C"/>
          <w:spacing w:val="22"/>
          <w:sz w:val="38"/>
        </w:rPr>
        <w:t> </w:t>
      </w:r>
      <w:r>
        <w:rPr>
          <w:rFonts w:ascii="Verdana"/>
          <w:color w:val="1F497C"/>
          <w:sz w:val="38"/>
        </w:rPr>
        <w:t>or</w:t>
      </w:r>
      <w:r>
        <w:rPr>
          <w:rFonts w:ascii="Verdana"/>
          <w:color w:val="1F497C"/>
          <w:spacing w:val="16"/>
          <w:sz w:val="38"/>
        </w:rPr>
        <w:t> </w:t>
      </w:r>
      <w:r>
        <w:rPr>
          <w:rFonts w:ascii="Verdana"/>
          <w:color w:val="1F497C"/>
          <w:sz w:val="38"/>
        </w:rPr>
        <w:t>both</w:t>
      </w:r>
      <w:r>
        <w:rPr>
          <w:rFonts w:ascii="Verdana"/>
          <w:color w:val="1F497C"/>
          <w:spacing w:val="18"/>
          <w:sz w:val="38"/>
        </w:rPr>
        <w:t> </w:t>
      </w:r>
      <w:r>
        <w:rPr>
          <w:rFonts w:ascii="Verdana"/>
          <w:color w:val="1F497C"/>
          <w:sz w:val="38"/>
        </w:rPr>
        <w:t>under</w:t>
      </w:r>
      <w:r>
        <w:rPr>
          <w:rFonts w:ascii="Verdana"/>
          <w:color w:val="1F497C"/>
          <w:spacing w:val="20"/>
          <w:sz w:val="38"/>
        </w:rPr>
        <w:t> </w:t>
      </w:r>
      <w:r>
        <w:rPr>
          <w:rFonts w:ascii="Verdana"/>
          <w:color w:val="1F497C"/>
          <w:sz w:val="38"/>
        </w:rPr>
        <w:t>section</w:t>
      </w:r>
      <w:r>
        <w:rPr>
          <w:rFonts w:ascii="Verdana"/>
          <w:color w:val="1F497C"/>
          <w:spacing w:val="22"/>
          <w:sz w:val="38"/>
        </w:rPr>
        <w:t> </w:t>
      </w:r>
      <w:r>
        <w:rPr>
          <w:rFonts w:ascii="Verdana"/>
          <w:color w:val="1F497C"/>
          <w:sz w:val="38"/>
        </w:rPr>
        <w:t>37</w:t>
      </w:r>
      <w:r>
        <w:rPr>
          <w:rFonts w:ascii="Verdana"/>
          <w:color w:val="1F497C"/>
          <w:spacing w:val="22"/>
          <w:sz w:val="38"/>
        </w:rPr>
        <w:t> </w:t>
      </w:r>
      <w:r>
        <w:rPr>
          <w:rFonts w:ascii="Verdana"/>
          <w:color w:val="1F497C"/>
          <w:sz w:val="38"/>
        </w:rPr>
        <w:t>in</w:t>
      </w:r>
      <w:r>
        <w:rPr>
          <w:rFonts w:ascii="Verdana"/>
          <w:color w:val="1F497C"/>
          <w:spacing w:val="14"/>
          <w:sz w:val="38"/>
        </w:rPr>
        <w:t> </w:t>
      </w:r>
      <w:r>
        <w:rPr>
          <w:rFonts w:ascii="Verdana"/>
          <w:b/>
          <w:color w:val="1F497C"/>
          <w:sz w:val="38"/>
        </w:rPr>
        <w:t>FORM</w:t>
      </w:r>
      <w:r>
        <w:rPr>
          <w:rFonts w:ascii="Verdana"/>
          <w:b/>
          <w:color w:val="1F497C"/>
          <w:spacing w:val="28"/>
          <w:sz w:val="38"/>
        </w:rPr>
        <w:t> </w:t>
      </w:r>
      <w:r>
        <w:rPr>
          <w:rFonts w:ascii="Verdana"/>
          <w:b/>
          <w:color w:val="1F497C"/>
          <w:sz w:val="38"/>
        </w:rPr>
        <w:t>GSTR-</w:t>
      </w:r>
    </w:p>
    <w:p>
      <w:pPr>
        <w:pStyle w:val="BodyText"/>
        <w:spacing w:before="2"/>
        <w:ind w:left="218"/>
        <w:jc w:val="both"/>
        <w:rPr>
          <w:rFonts w:ascii="Verdana"/>
        </w:rPr>
      </w:pPr>
      <w:r>
        <w:rPr>
          <w:rFonts w:ascii="Verdana"/>
          <w:b/>
          <w:color w:val="1F497C"/>
        </w:rPr>
        <w:t>1</w:t>
      </w:r>
      <w:r>
        <w:rPr>
          <w:rFonts w:ascii="Verdana"/>
          <w:b/>
          <w:color w:val="1F497C"/>
          <w:spacing w:val="109"/>
        </w:rPr>
        <w:t> </w:t>
      </w:r>
      <w:r>
        <w:rPr>
          <w:rFonts w:ascii="Verdana"/>
          <w:color w:val="1F497C"/>
        </w:rPr>
        <w:t>or</w:t>
      </w:r>
      <w:r>
        <w:rPr>
          <w:rFonts w:ascii="Verdana"/>
          <w:color w:val="1F497C"/>
          <w:spacing w:val="108"/>
        </w:rPr>
        <w:t> </w:t>
      </w:r>
      <w:r>
        <w:rPr>
          <w:rFonts w:ascii="Verdana"/>
          <w:color w:val="1F497C"/>
        </w:rPr>
        <w:t>using</w:t>
      </w:r>
      <w:r>
        <w:rPr>
          <w:rFonts w:ascii="Verdana"/>
          <w:color w:val="1F497C"/>
          <w:spacing w:val="105"/>
        </w:rPr>
        <w:t> </w:t>
      </w:r>
      <w:r>
        <w:rPr>
          <w:rFonts w:ascii="Verdana"/>
          <w:color w:val="1F497C"/>
        </w:rPr>
        <w:t>the</w:t>
      </w:r>
      <w:r>
        <w:rPr>
          <w:rFonts w:ascii="Verdana"/>
          <w:color w:val="1F497C"/>
          <w:spacing w:val="104"/>
        </w:rPr>
        <w:t> </w:t>
      </w:r>
      <w:r>
        <w:rPr>
          <w:rFonts w:ascii="Verdana"/>
          <w:color w:val="1F497C"/>
        </w:rPr>
        <w:t>invoice</w:t>
      </w:r>
      <w:r>
        <w:rPr>
          <w:rFonts w:ascii="Verdana"/>
          <w:color w:val="1F497C"/>
          <w:spacing w:val="104"/>
        </w:rPr>
        <w:t> </w:t>
      </w:r>
      <w:r>
        <w:rPr>
          <w:rFonts w:ascii="Verdana"/>
          <w:color w:val="1F497C"/>
        </w:rPr>
        <w:t>furnishing</w:t>
      </w:r>
      <w:r>
        <w:rPr>
          <w:rFonts w:ascii="Verdana"/>
          <w:color w:val="1F497C"/>
          <w:spacing w:val="105"/>
        </w:rPr>
        <w:t> </w:t>
      </w:r>
      <w:r>
        <w:rPr>
          <w:rFonts w:ascii="Verdana"/>
          <w:color w:val="1F497C"/>
          <w:spacing w:val="-5"/>
        </w:rPr>
        <w:t>facility,</w:t>
      </w:r>
      <w:r>
        <w:rPr>
          <w:rFonts w:ascii="Verdana"/>
          <w:color w:val="1F497C"/>
          <w:spacing w:val="105"/>
        </w:rPr>
        <w:t> </w:t>
      </w:r>
      <w:r>
        <w:rPr>
          <w:rFonts w:ascii="Verdana"/>
          <w:color w:val="1F497C"/>
        </w:rPr>
        <w:t>if</w:t>
      </w:r>
      <w:r>
        <w:rPr>
          <w:rFonts w:ascii="Verdana"/>
          <w:color w:val="1F497C"/>
          <w:spacing w:val="101"/>
        </w:rPr>
        <w:t> </w:t>
      </w:r>
      <w:r>
        <w:rPr>
          <w:rFonts w:ascii="Verdana"/>
          <w:color w:val="1F497C"/>
        </w:rPr>
        <w:t>he</w:t>
      </w:r>
      <w:r>
        <w:rPr>
          <w:rFonts w:ascii="Verdana"/>
          <w:color w:val="1F497C"/>
          <w:spacing w:val="104"/>
        </w:rPr>
        <w:t> </w:t>
      </w:r>
      <w:r>
        <w:rPr>
          <w:rFonts w:ascii="Verdana"/>
          <w:color w:val="1F497C"/>
        </w:rPr>
        <w:t>has</w:t>
      </w:r>
      <w:r>
        <w:rPr>
          <w:rFonts w:ascii="Verdana"/>
          <w:color w:val="1F497C"/>
          <w:spacing w:val="110"/>
        </w:rPr>
        <w:t> </w:t>
      </w:r>
      <w:r>
        <w:rPr>
          <w:rFonts w:ascii="Verdana"/>
          <w:color w:val="1F497C"/>
        </w:rPr>
        <w:t>not</w:t>
      </w:r>
      <w:r>
        <w:rPr>
          <w:rFonts w:ascii="Verdana"/>
          <w:color w:val="1F497C"/>
          <w:spacing w:val="105"/>
        </w:rPr>
        <w:t> </w:t>
      </w:r>
      <w:r>
        <w:rPr>
          <w:rFonts w:ascii="Verdana"/>
          <w:color w:val="1F497C"/>
        </w:rPr>
        <w:t>furnished</w:t>
      </w:r>
      <w:r>
        <w:rPr>
          <w:rFonts w:ascii="Verdana"/>
          <w:color w:val="1F497C"/>
          <w:spacing w:val="105"/>
        </w:rPr>
        <w:t> </w:t>
      </w:r>
      <w:r>
        <w:rPr>
          <w:rFonts w:ascii="Verdana"/>
          <w:color w:val="1F497C"/>
        </w:rPr>
        <w:t>the</w:t>
      </w:r>
      <w:r>
        <w:rPr>
          <w:rFonts w:ascii="Verdana"/>
          <w:color w:val="1F497C"/>
          <w:spacing w:val="104"/>
        </w:rPr>
        <w:t> </w:t>
      </w:r>
      <w:r>
        <w:rPr>
          <w:rFonts w:ascii="Verdana"/>
          <w:color w:val="1F497C"/>
        </w:rPr>
        <w:t>return</w:t>
      </w:r>
      <w:r>
        <w:rPr>
          <w:rFonts w:ascii="Verdana"/>
          <w:color w:val="1F497C"/>
          <w:spacing w:val="105"/>
        </w:rPr>
        <w:t> </w:t>
      </w:r>
      <w:r>
        <w:rPr>
          <w:rFonts w:ascii="Verdana"/>
          <w:color w:val="1F497C"/>
        </w:rPr>
        <w:t>in</w:t>
      </w:r>
    </w:p>
    <w:p>
      <w:pPr>
        <w:spacing w:before="2"/>
        <w:ind w:left="218" w:right="0" w:firstLine="0"/>
        <w:jc w:val="both"/>
        <w:rPr>
          <w:rFonts w:ascii="Verdana"/>
          <w:sz w:val="38"/>
        </w:rPr>
      </w:pPr>
      <w:r>
        <w:rPr>
          <w:rFonts w:ascii="Verdana"/>
          <w:b/>
          <w:color w:val="1F497C"/>
          <w:sz w:val="38"/>
        </w:rPr>
        <w:t>FORM GSTR-3B </w:t>
      </w:r>
      <w:r>
        <w:rPr>
          <w:rFonts w:ascii="Verdana"/>
          <w:color w:val="1F497C"/>
          <w:sz w:val="38"/>
        </w:rPr>
        <w:t>for preceding tax period;</w:t>
      </w:r>
    </w:p>
    <w:p>
      <w:pPr>
        <w:pStyle w:val="BodyText"/>
        <w:spacing w:before="2"/>
        <w:rPr>
          <w:rFonts w:ascii="Verdana"/>
        </w:rPr>
      </w:pPr>
    </w:p>
    <w:p>
      <w:pPr>
        <w:pStyle w:val="ListParagraph"/>
        <w:numPr>
          <w:ilvl w:val="1"/>
          <w:numId w:val="3"/>
        </w:numPr>
        <w:tabs>
          <w:tab w:pos="1015" w:val="left" w:leader="none"/>
        </w:tabs>
        <w:spacing w:line="240" w:lineRule="auto" w:before="0" w:after="0"/>
        <w:ind w:left="218" w:right="337" w:firstLine="0"/>
        <w:jc w:val="both"/>
        <w:rPr>
          <w:rFonts w:ascii="Verdana"/>
          <w:sz w:val="38"/>
        </w:rPr>
      </w:pPr>
      <w:r>
        <w:rPr>
          <w:rFonts w:ascii="Verdana"/>
          <w:color w:val="1F497C"/>
          <w:sz w:val="38"/>
        </w:rPr>
        <w:t>a registered person, who is restricted from using </w:t>
      </w:r>
      <w:r>
        <w:rPr>
          <w:rFonts w:ascii="Verdana"/>
          <w:color w:val="1F497C"/>
          <w:spacing w:val="-3"/>
          <w:sz w:val="38"/>
        </w:rPr>
        <w:t>the </w:t>
      </w:r>
      <w:r>
        <w:rPr>
          <w:rFonts w:ascii="Verdana"/>
          <w:color w:val="1F497C"/>
          <w:sz w:val="38"/>
        </w:rPr>
        <w:t>amount available in electronic credit ledger to discharge his liability towards tax in excess of </w:t>
      </w:r>
      <w:r>
        <w:rPr>
          <w:rFonts w:ascii="Verdana"/>
          <w:color w:val="1F497C"/>
          <w:spacing w:val="-3"/>
          <w:sz w:val="38"/>
        </w:rPr>
        <w:t>ninety- </w:t>
      </w:r>
      <w:r>
        <w:rPr>
          <w:rFonts w:ascii="Verdana"/>
          <w:color w:val="1F497C"/>
          <w:sz w:val="38"/>
        </w:rPr>
        <w:t>nine per cent. of such tax liability under rule </w:t>
      </w:r>
      <w:r>
        <w:rPr>
          <w:rFonts w:ascii="Verdana"/>
          <w:color w:val="1F497C"/>
          <w:spacing w:val="-3"/>
          <w:sz w:val="38"/>
        </w:rPr>
        <w:t>86B,  </w:t>
      </w:r>
      <w:r>
        <w:rPr>
          <w:rFonts w:ascii="Verdana"/>
          <w:color w:val="1F497C"/>
          <w:sz w:val="38"/>
        </w:rPr>
        <w:t>shall not be allowed to furnish the details of outward supplies of goods or services or both under section 37 in </w:t>
      </w:r>
      <w:r>
        <w:rPr>
          <w:rFonts w:ascii="Verdana"/>
          <w:b/>
          <w:color w:val="1F497C"/>
          <w:sz w:val="38"/>
        </w:rPr>
        <w:t>FORM GSTR-1 </w:t>
      </w:r>
      <w:r>
        <w:rPr>
          <w:rFonts w:ascii="Verdana"/>
          <w:color w:val="1F497C"/>
          <w:sz w:val="38"/>
        </w:rPr>
        <w:t>or using the invoice furnishing </w:t>
      </w:r>
      <w:r>
        <w:rPr>
          <w:rFonts w:ascii="Verdana"/>
          <w:color w:val="1F497C"/>
          <w:spacing w:val="-5"/>
          <w:sz w:val="38"/>
        </w:rPr>
        <w:t>facility, </w:t>
      </w:r>
      <w:r>
        <w:rPr>
          <w:rFonts w:ascii="Verdana"/>
          <w:color w:val="1F497C"/>
          <w:sz w:val="38"/>
        </w:rPr>
        <w:t>if he has not furnished the return in </w:t>
      </w:r>
      <w:r>
        <w:rPr>
          <w:rFonts w:ascii="Verdana"/>
          <w:b/>
          <w:color w:val="1F497C"/>
          <w:sz w:val="38"/>
        </w:rPr>
        <w:t>FORM GSTR-3B </w:t>
      </w:r>
      <w:r>
        <w:rPr>
          <w:rFonts w:ascii="Verdana"/>
          <w:color w:val="1F497C"/>
          <w:sz w:val="38"/>
        </w:rPr>
        <w:t>for preceding tax</w:t>
      </w:r>
      <w:r>
        <w:rPr>
          <w:rFonts w:ascii="Verdana"/>
          <w:color w:val="1F497C"/>
          <w:spacing w:val="8"/>
          <w:sz w:val="38"/>
        </w:rPr>
        <w:t> </w:t>
      </w:r>
      <w:r>
        <w:rPr>
          <w:rFonts w:ascii="Verdana"/>
          <w:color w:val="1F497C"/>
          <w:sz w:val="38"/>
        </w:rPr>
        <w:t>period.</w:t>
      </w:r>
    </w:p>
    <w:p>
      <w:pPr>
        <w:spacing w:after="0" w:line="240" w:lineRule="auto"/>
        <w:jc w:val="both"/>
        <w:rPr>
          <w:rFonts w:ascii="Verdana"/>
          <w:sz w:val="38"/>
        </w:rPr>
        <w:sectPr>
          <w:pgSz w:w="16840" w:h="11910" w:orient="landscape"/>
          <w:pgMar w:top="1100" w:bottom="280" w:left="120" w:right="0"/>
        </w:sectPr>
      </w:pPr>
    </w:p>
    <w:p>
      <w:pPr>
        <w:pStyle w:val="BodyText"/>
        <w:spacing w:before="6"/>
        <w:rPr>
          <w:rFonts w:ascii="Verdana"/>
          <w:sz w:val="27"/>
        </w:rPr>
      </w:pPr>
      <w:r>
        <w:rPr/>
        <w:pict>
          <v:group style="position:absolute;margin-left:0pt;margin-top:60.840004pt;width:841.95pt;height:473.55pt;mso-position-horizontal-relative:page;mso-position-vertical-relative:page;z-index:-252201984"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pStyle w:val="Heading3"/>
      </w:pPr>
      <w:r>
        <w:rPr>
          <w:color w:val="FF0000"/>
        </w:rPr>
        <w:t>Impact of amendment of Rule 59(5)</w:t>
      </w:r>
    </w:p>
    <w:p>
      <w:pPr>
        <w:pStyle w:val="BodyText"/>
        <w:spacing w:line="254" w:lineRule="auto" w:before="414"/>
        <w:ind w:left="323" w:right="744"/>
        <w:jc w:val="both"/>
      </w:pPr>
      <w:r>
        <w:rPr>
          <w:color w:val="366091"/>
        </w:rPr>
        <w:t>Critical to note here that incase last period’s GSTR 3B </w:t>
      </w:r>
      <w:r>
        <w:rPr>
          <w:color w:val="366091"/>
          <w:spacing w:val="-3"/>
        </w:rPr>
        <w:t>is </w:t>
      </w:r>
      <w:r>
        <w:rPr>
          <w:color w:val="366091"/>
        </w:rPr>
        <w:t>not filed, the current GSTR 1 cannot be filed. Hence only after tax payment of last period would the supplier be eligible to issue</w:t>
      </w:r>
      <w:r>
        <w:rPr>
          <w:color w:val="366091"/>
          <w:spacing w:val="-4"/>
        </w:rPr>
        <w:t> </w:t>
      </w:r>
      <w:r>
        <w:rPr>
          <w:color w:val="366091"/>
        </w:rPr>
        <w:t>invoices.</w:t>
      </w:r>
    </w:p>
    <w:p>
      <w:pPr>
        <w:pStyle w:val="BodyText"/>
        <w:spacing w:before="4"/>
        <w:rPr>
          <w:sz w:val="40"/>
        </w:rPr>
      </w:pPr>
    </w:p>
    <w:p>
      <w:pPr>
        <w:pStyle w:val="BodyText"/>
        <w:spacing w:line="254" w:lineRule="auto"/>
        <w:ind w:left="323" w:right="747"/>
        <w:jc w:val="both"/>
      </w:pPr>
      <w:r>
        <w:rPr>
          <w:color w:val="366091"/>
        </w:rPr>
        <w:t>In this case it is important for recipients to ensure that the GSTR 3B of their suppliers </w:t>
      </w:r>
      <w:r>
        <w:rPr>
          <w:color w:val="366091"/>
          <w:spacing w:val="-3"/>
        </w:rPr>
        <w:t>is  </w:t>
      </w:r>
      <w:r>
        <w:rPr>
          <w:color w:val="366091"/>
          <w:spacing w:val="99"/>
        </w:rPr>
        <w:t> </w:t>
      </w:r>
      <w:r>
        <w:rPr>
          <w:color w:val="366091"/>
        </w:rPr>
        <w:t>filed and the amount of </w:t>
      </w:r>
      <w:r>
        <w:rPr>
          <w:color w:val="366091"/>
          <w:spacing w:val="-3"/>
        </w:rPr>
        <w:t>GST </w:t>
      </w:r>
      <w:r>
        <w:rPr>
          <w:color w:val="366091"/>
        </w:rPr>
        <w:t>is reflecting in their GSTR 2A before they may payment of the GST amount to the</w:t>
      </w:r>
      <w:r>
        <w:rPr>
          <w:color w:val="366091"/>
          <w:spacing w:val="-5"/>
        </w:rPr>
        <w:t> </w:t>
      </w:r>
      <w:r>
        <w:rPr>
          <w:color w:val="366091"/>
        </w:rPr>
        <w:t>suppliers.</w:t>
      </w:r>
    </w:p>
    <w:p>
      <w:pPr>
        <w:spacing w:after="0" w:line="254" w:lineRule="auto"/>
        <w:jc w:val="both"/>
        <w:sectPr>
          <w:pgSz w:w="16840" w:h="11910" w:orient="landscape"/>
          <w:pgMar w:top="1100" w:bottom="280" w:left="120" w:right="0"/>
        </w:sectPr>
      </w:pPr>
    </w:p>
    <w:p>
      <w:pPr>
        <w:pStyle w:val="BodyText"/>
        <w:spacing w:before="6"/>
        <w:rPr>
          <w:sz w:val="28"/>
        </w:rPr>
      </w:pPr>
      <w:r>
        <w:rPr/>
        <w:pict>
          <v:group style="position:absolute;margin-left:0pt;margin-top:60.840004pt;width:841.95pt;height:473.55pt;mso-position-horizontal-relative:page;mso-position-vertical-relative:page;z-index:-252200960"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4"/>
        <w:ind w:left="916" w:right="0" w:firstLine="0"/>
        <w:jc w:val="left"/>
        <w:rPr>
          <w:rFonts w:ascii="Calibri" w:hAnsi="Calibri"/>
          <w:b/>
          <w:sz w:val="45"/>
        </w:rPr>
      </w:pPr>
      <w:r>
        <w:rPr>
          <w:rFonts w:ascii="Calibri" w:hAnsi="Calibri"/>
          <w:b/>
          <w:color w:val="FF0000"/>
          <w:sz w:val="45"/>
        </w:rPr>
        <w:t>Rule 86B – Restriction of ITC to 99%</w:t>
      </w:r>
    </w:p>
    <w:p>
      <w:pPr>
        <w:spacing w:line="242" w:lineRule="auto" w:before="235"/>
        <w:ind w:left="218" w:right="550" w:firstLine="0"/>
        <w:jc w:val="both"/>
        <w:rPr>
          <w:rFonts w:ascii="Verdana"/>
          <w:sz w:val="36"/>
        </w:rPr>
      </w:pPr>
      <w:r>
        <w:rPr>
          <w:rFonts w:ascii="Verdana"/>
          <w:b/>
          <w:color w:val="1F497C"/>
          <w:sz w:val="36"/>
        </w:rPr>
        <w:t>86B</w:t>
      </w:r>
      <w:r>
        <w:rPr>
          <w:rFonts w:ascii="Verdana"/>
          <w:color w:val="1F497C"/>
          <w:sz w:val="36"/>
        </w:rPr>
        <w:t>. </w:t>
      </w:r>
      <w:r>
        <w:rPr>
          <w:rFonts w:ascii="Verdana"/>
          <w:b/>
          <w:color w:val="1F497C"/>
          <w:sz w:val="36"/>
        </w:rPr>
        <w:t>Restrictions on use of amount available in electronic credit </w:t>
      </w:r>
      <w:r>
        <w:rPr>
          <w:rFonts w:ascii="Verdana"/>
          <w:b/>
          <w:color w:val="1F497C"/>
          <w:spacing w:val="-4"/>
          <w:sz w:val="36"/>
        </w:rPr>
        <w:t>ledger</w:t>
      </w:r>
      <w:r>
        <w:rPr>
          <w:rFonts w:ascii="Verdana"/>
          <w:color w:val="1F497C"/>
          <w:spacing w:val="-4"/>
          <w:sz w:val="36"/>
        </w:rPr>
        <w:t>.- </w:t>
      </w:r>
      <w:r>
        <w:rPr>
          <w:rFonts w:ascii="Verdana"/>
          <w:color w:val="1F497C"/>
          <w:sz w:val="36"/>
        </w:rPr>
        <w:t>Notwithstanding anything contained in these rules, the registered person  shall not   use the amount available in electronic credit ledger to discharge his liability towards output tax in excess of</w:t>
      </w:r>
      <w:r>
        <w:rPr>
          <w:rFonts w:ascii="Verdana"/>
          <w:color w:val="1F497C"/>
          <w:sz w:val="36"/>
          <w:u w:val="thick" w:color="1F497C"/>
        </w:rPr>
        <w:t> </w:t>
      </w:r>
      <w:r>
        <w:rPr>
          <w:rFonts w:ascii="Verdana"/>
          <w:b/>
          <w:color w:val="1F497C"/>
          <w:sz w:val="36"/>
          <w:u w:val="thick" w:color="1F497C"/>
        </w:rPr>
        <w:t>99% of such tax liability</w:t>
      </w:r>
      <w:r>
        <w:rPr>
          <w:rFonts w:ascii="Verdana"/>
          <w:color w:val="1F497C"/>
          <w:sz w:val="36"/>
        </w:rPr>
        <w:t>, in cases where the value of </w:t>
      </w:r>
      <w:r>
        <w:rPr>
          <w:rFonts w:ascii="Verdana"/>
          <w:color w:val="1F497C"/>
          <w:spacing w:val="-38"/>
          <w:sz w:val="36"/>
        </w:rPr>
        <w:t> </w:t>
      </w:r>
      <w:r>
        <w:rPr>
          <w:rFonts w:ascii="Verdana"/>
          <w:b/>
          <w:color w:val="1F497C"/>
          <w:spacing w:val="-168"/>
          <w:sz w:val="36"/>
          <w:u w:val="thick" w:color="1F497C"/>
        </w:rPr>
        <w:t>t</w:t>
      </w:r>
      <w:r>
        <w:rPr>
          <w:rFonts w:ascii="Verdana"/>
          <w:b/>
          <w:color w:val="1F497C"/>
          <w:spacing w:val="57"/>
          <w:sz w:val="36"/>
        </w:rPr>
        <w:t> </w:t>
      </w:r>
      <w:r>
        <w:rPr>
          <w:rFonts w:ascii="Verdana"/>
          <w:b/>
          <w:color w:val="1F497C"/>
          <w:sz w:val="36"/>
          <w:u w:val="thick" w:color="1F497C"/>
        </w:rPr>
        <w:t>axable supply </w:t>
      </w:r>
      <w:r>
        <w:rPr>
          <w:rFonts w:ascii="Verdana"/>
          <w:color w:val="1F497C"/>
          <w:sz w:val="36"/>
        </w:rPr>
        <w:t>other than exempt supply and zero-rated </w:t>
      </w:r>
      <w:r>
        <w:rPr>
          <w:rFonts w:ascii="Verdana"/>
          <w:color w:val="1F497C"/>
          <w:spacing w:val="-5"/>
          <w:sz w:val="36"/>
        </w:rPr>
        <w:t>supply,  </w:t>
      </w:r>
      <w:r>
        <w:rPr>
          <w:rFonts w:ascii="Verdana"/>
          <w:color w:val="1F497C"/>
          <w:sz w:val="36"/>
        </w:rPr>
        <w:t>in  a  month exceeds fifty lakh</w:t>
      </w:r>
      <w:r>
        <w:rPr>
          <w:rFonts w:ascii="Verdana"/>
          <w:color w:val="1F497C"/>
          <w:spacing w:val="11"/>
          <w:sz w:val="36"/>
        </w:rPr>
        <w:t> </w:t>
      </w:r>
      <w:r>
        <w:rPr>
          <w:rFonts w:ascii="Verdana"/>
          <w:color w:val="1F497C"/>
          <w:sz w:val="36"/>
        </w:rPr>
        <w:t>rupees</w:t>
      </w:r>
    </w:p>
    <w:p>
      <w:pPr>
        <w:pStyle w:val="BodyText"/>
        <w:spacing w:before="4"/>
        <w:rPr>
          <w:rFonts w:ascii="Verdana"/>
          <w:sz w:val="36"/>
        </w:rPr>
      </w:pPr>
    </w:p>
    <w:p>
      <w:pPr>
        <w:spacing w:before="0"/>
        <w:ind w:left="218" w:right="0" w:firstLine="0"/>
        <w:jc w:val="both"/>
        <w:rPr>
          <w:rFonts w:ascii="Verdana" w:hAnsi="Verdana"/>
          <w:sz w:val="36"/>
        </w:rPr>
      </w:pPr>
      <w:r>
        <w:rPr>
          <w:rFonts w:ascii="Verdana" w:hAnsi="Verdana"/>
          <w:color w:val="1F497C"/>
          <w:sz w:val="36"/>
        </w:rPr>
        <w:t>Provided that the said restriction shall not apply where</w:t>
      </w:r>
      <w:r>
        <w:rPr>
          <w:rFonts w:ascii="Verdana" w:hAnsi="Verdana"/>
          <w:color w:val="1F497C"/>
          <w:spacing w:val="70"/>
          <w:sz w:val="36"/>
        </w:rPr>
        <w:t> </w:t>
      </w:r>
      <w:r>
        <w:rPr>
          <w:rFonts w:ascii="Verdana" w:hAnsi="Verdana"/>
          <w:color w:val="1F497C"/>
          <w:sz w:val="36"/>
        </w:rPr>
        <w:t>–</w:t>
      </w:r>
    </w:p>
    <w:p>
      <w:pPr>
        <w:pStyle w:val="BodyText"/>
        <w:spacing w:before="8"/>
        <w:rPr>
          <w:rFonts w:ascii="Verdana"/>
          <w:sz w:val="36"/>
        </w:rPr>
      </w:pPr>
    </w:p>
    <w:p>
      <w:pPr>
        <w:pStyle w:val="ListParagraph"/>
        <w:numPr>
          <w:ilvl w:val="0"/>
          <w:numId w:val="4"/>
        </w:numPr>
        <w:tabs>
          <w:tab w:pos="931" w:val="left" w:leader="none"/>
        </w:tabs>
        <w:spacing w:line="242" w:lineRule="auto" w:before="0" w:after="0"/>
        <w:ind w:left="218" w:right="553" w:firstLine="0"/>
        <w:jc w:val="left"/>
        <w:rPr>
          <w:rFonts w:ascii="Verdana"/>
          <w:color w:val="1F497C"/>
          <w:sz w:val="36"/>
        </w:rPr>
      </w:pPr>
      <w:r>
        <w:rPr>
          <w:rFonts w:ascii="Verdana"/>
          <w:color w:val="1F497C"/>
          <w:sz w:val="36"/>
        </w:rPr>
        <w:t>the said person or the proprietor or karta or the managing director or any of its  two</w:t>
      </w:r>
      <w:r>
        <w:rPr>
          <w:rFonts w:ascii="Verdana"/>
          <w:color w:val="1F497C"/>
          <w:spacing w:val="45"/>
          <w:sz w:val="36"/>
        </w:rPr>
        <w:t> </w:t>
      </w:r>
      <w:r>
        <w:rPr>
          <w:rFonts w:ascii="Verdana"/>
          <w:color w:val="1F497C"/>
          <w:sz w:val="36"/>
        </w:rPr>
        <w:t>partners,</w:t>
      </w:r>
      <w:r>
        <w:rPr>
          <w:rFonts w:ascii="Verdana"/>
          <w:color w:val="1F497C"/>
          <w:spacing w:val="41"/>
          <w:sz w:val="36"/>
        </w:rPr>
        <w:t> </w:t>
      </w:r>
      <w:r>
        <w:rPr>
          <w:rFonts w:ascii="Verdana"/>
          <w:color w:val="1F497C"/>
          <w:sz w:val="36"/>
        </w:rPr>
        <w:t>whole-time</w:t>
      </w:r>
      <w:r>
        <w:rPr>
          <w:rFonts w:ascii="Verdana"/>
          <w:color w:val="1F497C"/>
          <w:spacing w:val="46"/>
          <w:sz w:val="36"/>
        </w:rPr>
        <w:t> </w:t>
      </w:r>
      <w:r>
        <w:rPr>
          <w:rFonts w:ascii="Verdana"/>
          <w:color w:val="1F497C"/>
          <w:sz w:val="36"/>
        </w:rPr>
        <w:t>Directors,</w:t>
      </w:r>
      <w:r>
        <w:rPr>
          <w:rFonts w:ascii="Verdana"/>
          <w:color w:val="1F497C"/>
          <w:spacing w:val="46"/>
          <w:sz w:val="36"/>
        </w:rPr>
        <w:t> </w:t>
      </w:r>
      <w:r>
        <w:rPr>
          <w:rFonts w:ascii="Verdana"/>
          <w:color w:val="1F497C"/>
          <w:sz w:val="36"/>
        </w:rPr>
        <w:t>Members</w:t>
      </w:r>
      <w:r>
        <w:rPr>
          <w:rFonts w:ascii="Verdana"/>
          <w:color w:val="1F497C"/>
          <w:spacing w:val="48"/>
          <w:sz w:val="36"/>
        </w:rPr>
        <w:t> </w:t>
      </w:r>
      <w:r>
        <w:rPr>
          <w:rFonts w:ascii="Verdana"/>
          <w:color w:val="1F497C"/>
          <w:sz w:val="36"/>
        </w:rPr>
        <w:t>of</w:t>
      </w:r>
      <w:r>
        <w:rPr>
          <w:rFonts w:ascii="Verdana"/>
          <w:color w:val="1F497C"/>
          <w:spacing w:val="42"/>
          <w:sz w:val="36"/>
        </w:rPr>
        <w:t> </w:t>
      </w:r>
      <w:r>
        <w:rPr>
          <w:rFonts w:ascii="Verdana"/>
          <w:color w:val="1F497C"/>
          <w:sz w:val="36"/>
        </w:rPr>
        <w:t>Managing</w:t>
      </w:r>
      <w:r>
        <w:rPr>
          <w:rFonts w:ascii="Verdana"/>
          <w:color w:val="1F497C"/>
          <w:spacing w:val="42"/>
          <w:sz w:val="36"/>
        </w:rPr>
        <w:t> </w:t>
      </w:r>
      <w:r>
        <w:rPr>
          <w:rFonts w:ascii="Verdana"/>
          <w:color w:val="1F497C"/>
          <w:sz w:val="36"/>
        </w:rPr>
        <w:t>Committee</w:t>
      </w:r>
      <w:r>
        <w:rPr>
          <w:rFonts w:ascii="Verdana"/>
          <w:color w:val="1F497C"/>
          <w:spacing w:val="40"/>
          <w:sz w:val="36"/>
        </w:rPr>
        <w:t> </w:t>
      </w:r>
      <w:r>
        <w:rPr>
          <w:rFonts w:ascii="Verdana"/>
          <w:color w:val="1F497C"/>
          <w:sz w:val="36"/>
        </w:rPr>
        <w:t>of</w:t>
      </w:r>
      <w:r>
        <w:rPr>
          <w:rFonts w:ascii="Verdana"/>
          <w:color w:val="1F497C"/>
          <w:spacing w:val="43"/>
          <w:sz w:val="36"/>
        </w:rPr>
        <w:t> </w:t>
      </w:r>
      <w:r>
        <w:rPr>
          <w:rFonts w:ascii="Verdana"/>
          <w:color w:val="1F497C"/>
          <w:sz w:val="36"/>
        </w:rPr>
        <w:t>Associations</w:t>
      </w:r>
    </w:p>
    <w:p>
      <w:pPr>
        <w:spacing w:line="434" w:lineRule="exact" w:before="0"/>
        <w:ind w:left="218" w:right="0" w:firstLine="0"/>
        <w:jc w:val="left"/>
        <w:rPr>
          <w:rFonts w:ascii="Verdana"/>
          <w:sz w:val="36"/>
        </w:rPr>
      </w:pPr>
      <w:r>
        <w:rPr>
          <w:rFonts w:ascii="Verdana"/>
          <w:color w:val="1F497C"/>
          <w:sz w:val="36"/>
        </w:rPr>
        <w:t>or Board of </w:t>
      </w:r>
      <w:r>
        <w:rPr>
          <w:rFonts w:ascii="Verdana"/>
          <w:color w:val="1F497C"/>
          <w:spacing w:val="-4"/>
          <w:sz w:val="36"/>
        </w:rPr>
        <w:t>Trustees, </w:t>
      </w:r>
      <w:r>
        <w:rPr>
          <w:rFonts w:ascii="Verdana"/>
          <w:color w:val="1F497C"/>
          <w:sz w:val="36"/>
        </w:rPr>
        <w:t>as the case may be, have paid more than </w:t>
      </w:r>
      <w:r>
        <w:rPr>
          <w:rFonts w:ascii="Verdana"/>
          <w:color w:val="1F497C"/>
          <w:spacing w:val="44"/>
          <w:sz w:val="36"/>
        </w:rPr>
        <w:t> </w:t>
      </w:r>
      <w:r>
        <w:rPr>
          <w:rFonts w:ascii="Verdana"/>
          <w:b/>
          <w:color w:val="1F497C"/>
          <w:spacing w:val="-253"/>
          <w:sz w:val="36"/>
          <w:u w:val="thick" w:color="1F497C"/>
        </w:rPr>
        <w:t>o</w:t>
      </w:r>
      <w:r>
        <w:rPr>
          <w:rFonts w:ascii="Verdana"/>
          <w:b/>
          <w:color w:val="1F497C"/>
          <w:spacing w:val="156"/>
          <w:sz w:val="36"/>
        </w:rPr>
        <w:t> </w:t>
      </w:r>
      <w:r>
        <w:rPr>
          <w:rFonts w:ascii="Verdana"/>
          <w:b/>
          <w:color w:val="1F497C"/>
          <w:sz w:val="36"/>
          <w:u w:val="thick" w:color="1F497C"/>
        </w:rPr>
        <w:t>ne  lakh  rupees  </w:t>
      </w:r>
      <w:r>
        <w:rPr>
          <w:rFonts w:ascii="Verdana"/>
          <w:color w:val="1F497C"/>
          <w:sz w:val="36"/>
        </w:rPr>
        <w:t>as</w:t>
      </w:r>
    </w:p>
    <w:p>
      <w:pPr>
        <w:spacing w:line="437" w:lineRule="exact" w:before="7"/>
        <w:ind w:left="218" w:right="0" w:firstLine="0"/>
        <w:jc w:val="left"/>
        <w:rPr>
          <w:rFonts w:ascii="Verdana"/>
          <w:b/>
          <w:sz w:val="36"/>
        </w:rPr>
      </w:pPr>
      <w:r>
        <w:rPr>
          <w:rFonts w:ascii="Verdana"/>
          <w:color w:val="1F497C"/>
          <w:sz w:val="36"/>
        </w:rPr>
        <w:t>income</w:t>
      </w:r>
      <w:r>
        <w:rPr>
          <w:rFonts w:ascii="Verdana"/>
          <w:color w:val="1F497C"/>
          <w:spacing w:val="78"/>
          <w:sz w:val="36"/>
        </w:rPr>
        <w:t> </w:t>
      </w:r>
      <w:r>
        <w:rPr>
          <w:rFonts w:ascii="Verdana"/>
          <w:color w:val="1F497C"/>
          <w:sz w:val="36"/>
        </w:rPr>
        <w:t>tax</w:t>
      </w:r>
      <w:r>
        <w:rPr>
          <w:rFonts w:ascii="Verdana"/>
          <w:color w:val="1F497C"/>
          <w:spacing w:val="81"/>
          <w:sz w:val="36"/>
        </w:rPr>
        <w:t> </w:t>
      </w:r>
      <w:r>
        <w:rPr>
          <w:rFonts w:ascii="Verdana"/>
          <w:color w:val="1F497C"/>
          <w:sz w:val="36"/>
        </w:rPr>
        <w:t>under</w:t>
      </w:r>
      <w:r>
        <w:rPr>
          <w:rFonts w:ascii="Verdana"/>
          <w:color w:val="1F497C"/>
          <w:spacing w:val="74"/>
          <w:sz w:val="36"/>
        </w:rPr>
        <w:t> </w:t>
      </w:r>
      <w:r>
        <w:rPr>
          <w:rFonts w:ascii="Verdana"/>
          <w:color w:val="1F497C"/>
          <w:sz w:val="36"/>
        </w:rPr>
        <w:t>the</w:t>
      </w:r>
      <w:r>
        <w:rPr>
          <w:rFonts w:ascii="Verdana"/>
          <w:color w:val="1F497C"/>
          <w:spacing w:val="75"/>
          <w:sz w:val="36"/>
        </w:rPr>
        <w:t> </w:t>
      </w:r>
      <w:r>
        <w:rPr>
          <w:rFonts w:ascii="Verdana"/>
          <w:color w:val="1F497C"/>
          <w:sz w:val="36"/>
        </w:rPr>
        <w:t>Income-tax</w:t>
      </w:r>
      <w:r>
        <w:rPr>
          <w:rFonts w:ascii="Verdana"/>
          <w:color w:val="1F497C"/>
          <w:spacing w:val="76"/>
          <w:sz w:val="36"/>
        </w:rPr>
        <w:t> </w:t>
      </w:r>
      <w:r>
        <w:rPr>
          <w:rFonts w:ascii="Verdana"/>
          <w:color w:val="1F497C"/>
          <w:sz w:val="36"/>
        </w:rPr>
        <w:t>Act,</w:t>
      </w:r>
      <w:r>
        <w:rPr>
          <w:rFonts w:ascii="Verdana"/>
          <w:color w:val="1F497C"/>
          <w:spacing w:val="76"/>
          <w:sz w:val="36"/>
        </w:rPr>
        <w:t> </w:t>
      </w:r>
      <w:r>
        <w:rPr>
          <w:rFonts w:ascii="Verdana"/>
          <w:color w:val="1F497C"/>
          <w:sz w:val="36"/>
        </w:rPr>
        <w:t>1961</w:t>
      </w:r>
      <w:r>
        <w:rPr>
          <w:rFonts w:ascii="Verdana"/>
          <w:color w:val="1F497C"/>
          <w:spacing w:val="74"/>
          <w:sz w:val="36"/>
        </w:rPr>
        <w:t> </w:t>
      </w:r>
      <w:r>
        <w:rPr>
          <w:rFonts w:ascii="Verdana"/>
          <w:color w:val="1F497C"/>
          <w:sz w:val="36"/>
        </w:rPr>
        <w:t>(43</w:t>
      </w:r>
      <w:r>
        <w:rPr>
          <w:rFonts w:ascii="Verdana"/>
          <w:color w:val="1F497C"/>
          <w:spacing w:val="79"/>
          <w:sz w:val="36"/>
        </w:rPr>
        <w:t> </w:t>
      </w:r>
      <w:r>
        <w:rPr>
          <w:rFonts w:ascii="Verdana"/>
          <w:color w:val="1F497C"/>
          <w:sz w:val="36"/>
        </w:rPr>
        <w:t>of</w:t>
      </w:r>
      <w:r>
        <w:rPr>
          <w:rFonts w:ascii="Verdana"/>
          <w:color w:val="1F497C"/>
          <w:spacing w:val="76"/>
          <w:sz w:val="36"/>
        </w:rPr>
        <w:t> </w:t>
      </w:r>
      <w:r>
        <w:rPr>
          <w:rFonts w:ascii="Verdana"/>
          <w:color w:val="1F497C"/>
          <w:sz w:val="36"/>
        </w:rPr>
        <w:t>1961)</w:t>
      </w:r>
      <w:r>
        <w:rPr>
          <w:rFonts w:ascii="Verdana"/>
          <w:color w:val="1F497C"/>
          <w:spacing w:val="76"/>
          <w:sz w:val="36"/>
        </w:rPr>
        <w:t> </w:t>
      </w:r>
      <w:r>
        <w:rPr>
          <w:rFonts w:ascii="Verdana"/>
          <w:color w:val="1F497C"/>
          <w:sz w:val="36"/>
        </w:rPr>
        <w:t>in</w:t>
      </w:r>
      <w:r>
        <w:rPr>
          <w:rFonts w:ascii="Verdana"/>
          <w:color w:val="1F497C"/>
          <w:spacing w:val="75"/>
          <w:sz w:val="36"/>
        </w:rPr>
        <w:t> </w:t>
      </w:r>
      <w:r>
        <w:rPr>
          <w:rFonts w:ascii="Verdana"/>
          <w:color w:val="1F497C"/>
          <w:sz w:val="36"/>
        </w:rPr>
        <w:t>each</w:t>
      </w:r>
      <w:r>
        <w:rPr>
          <w:rFonts w:ascii="Verdana"/>
          <w:color w:val="1F497C"/>
          <w:spacing w:val="76"/>
          <w:sz w:val="36"/>
        </w:rPr>
        <w:t> </w:t>
      </w:r>
      <w:r>
        <w:rPr>
          <w:rFonts w:ascii="Verdana"/>
          <w:color w:val="1F497C"/>
          <w:sz w:val="36"/>
        </w:rPr>
        <w:t>of</w:t>
      </w:r>
      <w:r>
        <w:rPr>
          <w:rFonts w:ascii="Verdana"/>
          <w:color w:val="1F497C"/>
          <w:spacing w:val="76"/>
          <w:sz w:val="36"/>
        </w:rPr>
        <w:t> </w:t>
      </w:r>
      <w:r>
        <w:rPr>
          <w:rFonts w:ascii="Verdana"/>
          <w:color w:val="1F497C"/>
          <w:sz w:val="36"/>
        </w:rPr>
        <w:t>the</w:t>
      </w:r>
      <w:r>
        <w:rPr>
          <w:rFonts w:ascii="Verdana"/>
          <w:color w:val="1F497C"/>
          <w:spacing w:val="77"/>
          <w:sz w:val="36"/>
        </w:rPr>
        <w:t> </w:t>
      </w:r>
      <w:r>
        <w:rPr>
          <w:rFonts w:ascii="Verdana"/>
          <w:b/>
          <w:color w:val="1F497C"/>
          <w:spacing w:val="-126"/>
          <w:sz w:val="36"/>
          <w:u w:val="thick" w:color="1F497C"/>
        </w:rPr>
        <w:t>l</w:t>
      </w:r>
      <w:r>
        <w:rPr>
          <w:rFonts w:ascii="Verdana"/>
          <w:b/>
          <w:color w:val="1F497C"/>
          <w:spacing w:val="13"/>
          <w:sz w:val="36"/>
        </w:rPr>
        <w:t> </w:t>
      </w:r>
      <w:r>
        <w:rPr>
          <w:rFonts w:ascii="Verdana"/>
          <w:b/>
          <w:color w:val="1F497C"/>
          <w:sz w:val="36"/>
          <w:u w:val="thick" w:color="1F497C"/>
        </w:rPr>
        <w:t>ast</w:t>
      </w:r>
      <w:r>
        <w:rPr>
          <w:rFonts w:ascii="Verdana"/>
          <w:b/>
          <w:color w:val="1F497C"/>
          <w:spacing w:val="82"/>
          <w:sz w:val="36"/>
          <w:u w:val="thick" w:color="1F497C"/>
        </w:rPr>
        <w:t> </w:t>
      </w:r>
      <w:r>
        <w:rPr>
          <w:rFonts w:ascii="Verdana"/>
          <w:b/>
          <w:color w:val="1F497C"/>
          <w:sz w:val="36"/>
          <w:u w:val="thick" w:color="1F497C"/>
        </w:rPr>
        <w:t>two</w:t>
      </w:r>
    </w:p>
    <w:p>
      <w:pPr>
        <w:spacing w:before="7"/>
        <w:ind w:left="218" w:right="0" w:firstLine="0"/>
        <w:jc w:val="left"/>
        <w:rPr>
          <w:rFonts w:ascii="Verdana"/>
          <w:sz w:val="36"/>
        </w:rPr>
      </w:pPr>
      <w:r>
        <w:rPr>
          <w:rFonts w:ascii="Verdana"/>
          <w:b/>
          <w:color w:val="1F497C"/>
          <w:spacing w:val="-156"/>
          <w:sz w:val="36"/>
          <w:u w:val="thick" w:color="1F497C"/>
        </w:rPr>
        <w:t>f</w:t>
      </w:r>
      <w:r>
        <w:rPr>
          <w:rFonts w:ascii="Verdana"/>
          <w:b/>
          <w:color w:val="1F497C"/>
          <w:spacing w:val="47"/>
          <w:sz w:val="36"/>
        </w:rPr>
        <w:t> </w:t>
      </w:r>
      <w:r>
        <w:rPr>
          <w:rFonts w:ascii="Verdana"/>
          <w:b/>
          <w:color w:val="1F497C"/>
          <w:sz w:val="36"/>
          <w:u w:val="thick" w:color="1F497C"/>
        </w:rPr>
        <w:t>inancial</w:t>
      </w:r>
      <w:r>
        <w:rPr>
          <w:rFonts w:ascii="Verdana"/>
          <w:b/>
          <w:color w:val="1F497C"/>
          <w:spacing w:val="72"/>
          <w:sz w:val="36"/>
          <w:u w:val="thick" w:color="1F497C"/>
        </w:rPr>
        <w:t> </w:t>
      </w:r>
      <w:r>
        <w:rPr>
          <w:rFonts w:ascii="Verdana"/>
          <w:b/>
          <w:color w:val="1F497C"/>
          <w:sz w:val="36"/>
          <w:u w:val="thick" w:color="1F497C"/>
        </w:rPr>
        <w:t>years</w:t>
      </w:r>
      <w:r>
        <w:rPr>
          <w:rFonts w:ascii="Verdana"/>
          <w:b/>
          <w:color w:val="1F497C"/>
          <w:spacing w:val="77"/>
          <w:sz w:val="36"/>
          <w:u w:val="thick" w:color="1F497C"/>
        </w:rPr>
        <w:t> </w:t>
      </w:r>
      <w:r>
        <w:rPr>
          <w:rFonts w:ascii="Verdana"/>
          <w:color w:val="1F497C"/>
          <w:sz w:val="36"/>
        </w:rPr>
        <w:t>for</w:t>
      </w:r>
      <w:r>
        <w:rPr>
          <w:rFonts w:ascii="Verdana"/>
          <w:color w:val="1F497C"/>
          <w:spacing w:val="74"/>
          <w:sz w:val="36"/>
        </w:rPr>
        <w:t> </w:t>
      </w:r>
      <w:r>
        <w:rPr>
          <w:rFonts w:ascii="Verdana"/>
          <w:color w:val="1F497C"/>
          <w:sz w:val="36"/>
        </w:rPr>
        <w:t>which</w:t>
      </w:r>
      <w:r>
        <w:rPr>
          <w:rFonts w:ascii="Verdana"/>
          <w:color w:val="1F497C"/>
          <w:spacing w:val="72"/>
          <w:sz w:val="36"/>
        </w:rPr>
        <w:t> </w:t>
      </w:r>
      <w:r>
        <w:rPr>
          <w:rFonts w:ascii="Verdana"/>
          <w:color w:val="1F497C"/>
          <w:sz w:val="36"/>
        </w:rPr>
        <w:t>the</w:t>
      </w:r>
      <w:r>
        <w:rPr>
          <w:rFonts w:ascii="Verdana"/>
          <w:color w:val="1F497C"/>
          <w:spacing w:val="71"/>
          <w:sz w:val="36"/>
        </w:rPr>
        <w:t> </w:t>
      </w:r>
      <w:r>
        <w:rPr>
          <w:rFonts w:ascii="Verdana"/>
          <w:color w:val="1F497C"/>
          <w:sz w:val="36"/>
        </w:rPr>
        <w:t>time</w:t>
      </w:r>
      <w:r>
        <w:rPr>
          <w:rFonts w:ascii="Verdana"/>
          <w:color w:val="1F497C"/>
          <w:spacing w:val="70"/>
          <w:sz w:val="36"/>
        </w:rPr>
        <w:t> </w:t>
      </w:r>
      <w:r>
        <w:rPr>
          <w:rFonts w:ascii="Verdana"/>
          <w:color w:val="1F497C"/>
          <w:sz w:val="36"/>
        </w:rPr>
        <w:t>limit</w:t>
      </w:r>
      <w:r>
        <w:rPr>
          <w:rFonts w:ascii="Verdana"/>
          <w:color w:val="1F497C"/>
          <w:spacing w:val="67"/>
          <w:sz w:val="36"/>
        </w:rPr>
        <w:t> </w:t>
      </w:r>
      <w:r>
        <w:rPr>
          <w:rFonts w:ascii="Verdana"/>
          <w:color w:val="1F497C"/>
          <w:sz w:val="36"/>
        </w:rPr>
        <w:t>to</w:t>
      </w:r>
      <w:r>
        <w:rPr>
          <w:rFonts w:ascii="Verdana"/>
          <w:color w:val="1F497C"/>
          <w:spacing w:val="74"/>
          <w:sz w:val="36"/>
        </w:rPr>
        <w:t> </w:t>
      </w:r>
      <w:r>
        <w:rPr>
          <w:rFonts w:ascii="Verdana"/>
          <w:color w:val="1F497C"/>
          <w:sz w:val="36"/>
        </w:rPr>
        <w:t>file</w:t>
      </w:r>
      <w:r>
        <w:rPr>
          <w:rFonts w:ascii="Verdana"/>
          <w:color w:val="1F497C"/>
          <w:spacing w:val="71"/>
          <w:sz w:val="36"/>
        </w:rPr>
        <w:t> </w:t>
      </w:r>
      <w:r>
        <w:rPr>
          <w:rFonts w:ascii="Verdana"/>
          <w:color w:val="1F497C"/>
          <w:sz w:val="36"/>
        </w:rPr>
        <w:t>return</w:t>
      </w:r>
      <w:r>
        <w:rPr>
          <w:rFonts w:ascii="Verdana"/>
          <w:color w:val="1F497C"/>
          <w:spacing w:val="67"/>
          <w:sz w:val="36"/>
        </w:rPr>
        <w:t> </w:t>
      </w:r>
      <w:r>
        <w:rPr>
          <w:rFonts w:ascii="Verdana"/>
          <w:color w:val="1F497C"/>
          <w:sz w:val="36"/>
        </w:rPr>
        <w:t>of</w:t>
      </w:r>
      <w:r>
        <w:rPr>
          <w:rFonts w:ascii="Verdana"/>
          <w:color w:val="1F497C"/>
          <w:spacing w:val="72"/>
          <w:sz w:val="36"/>
        </w:rPr>
        <w:t> </w:t>
      </w:r>
      <w:r>
        <w:rPr>
          <w:rFonts w:ascii="Verdana"/>
          <w:color w:val="1F497C"/>
          <w:sz w:val="36"/>
        </w:rPr>
        <w:t>income</w:t>
      </w:r>
      <w:r>
        <w:rPr>
          <w:rFonts w:ascii="Verdana"/>
          <w:color w:val="1F497C"/>
          <w:spacing w:val="70"/>
          <w:sz w:val="36"/>
        </w:rPr>
        <w:t> </w:t>
      </w:r>
      <w:r>
        <w:rPr>
          <w:rFonts w:ascii="Verdana"/>
          <w:color w:val="1F497C"/>
          <w:sz w:val="36"/>
        </w:rPr>
        <w:t>under</w:t>
      </w:r>
      <w:r>
        <w:rPr>
          <w:rFonts w:ascii="Verdana"/>
          <w:color w:val="1F497C"/>
          <w:spacing w:val="70"/>
          <w:sz w:val="36"/>
        </w:rPr>
        <w:t> </w:t>
      </w:r>
      <w:r>
        <w:rPr>
          <w:rFonts w:ascii="Verdana"/>
          <w:color w:val="1F497C"/>
          <w:sz w:val="36"/>
        </w:rPr>
        <w:t>sub-section</w:t>
      </w:r>
    </w:p>
    <w:p>
      <w:pPr>
        <w:spacing w:before="4"/>
        <w:ind w:left="218" w:right="0" w:firstLine="0"/>
        <w:jc w:val="both"/>
        <w:rPr>
          <w:rFonts w:ascii="Verdana"/>
          <w:sz w:val="36"/>
        </w:rPr>
      </w:pPr>
      <w:r>
        <w:rPr>
          <w:rFonts w:ascii="Verdana"/>
          <w:color w:val="1F497C"/>
          <w:sz w:val="36"/>
        </w:rPr>
        <w:t>(1) of section 139 of the said Act has</w:t>
      </w:r>
      <w:r>
        <w:rPr>
          <w:rFonts w:ascii="Verdana"/>
          <w:color w:val="1F497C"/>
          <w:spacing w:val="63"/>
          <w:sz w:val="36"/>
        </w:rPr>
        <w:t> </w:t>
      </w:r>
      <w:r>
        <w:rPr>
          <w:rFonts w:ascii="Verdana"/>
          <w:color w:val="1F497C"/>
          <w:sz w:val="36"/>
        </w:rPr>
        <w:t>expired;</w:t>
      </w:r>
    </w:p>
    <w:p>
      <w:pPr>
        <w:pStyle w:val="BodyText"/>
        <w:spacing w:before="8"/>
        <w:rPr>
          <w:rFonts w:ascii="Verdana"/>
          <w:sz w:val="36"/>
        </w:rPr>
      </w:pPr>
    </w:p>
    <w:p>
      <w:pPr>
        <w:pStyle w:val="ListParagraph"/>
        <w:numPr>
          <w:ilvl w:val="0"/>
          <w:numId w:val="4"/>
        </w:numPr>
        <w:tabs>
          <w:tab w:pos="997" w:val="left" w:leader="none"/>
        </w:tabs>
        <w:spacing w:line="240" w:lineRule="auto" w:before="1" w:after="0"/>
        <w:ind w:left="218" w:right="552" w:firstLine="0"/>
        <w:jc w:val="both"/>
        <w:rPr>
          <w:rFonts w:ascii="Verdana"/>
          <w:color w:val="1F497C"/>
          <w:sz w:val="36"/>
        </w:rPr>
      </w:pPr>
      <w:r>
        <w:rPr>
          <w:rFonts w:ascii="Verdana"/>
          <w:color w:val="1F497C"/>
          <w:sz w:val="36"/>
        </w:rPr>
        <w:t>the registered person has received a refund amount of more than</w:t>
      </w:r>
      <w:r>
        <w:rPr>
          <w:rFonts w:ascii="Verdana"/>
          <w:color w:val="1F497C"/>
          <w:sz w:val="36"/>
          <w:u w:val="thick" w:color="1F497C"/>
        </w:rPr>
        <w:t> </w:t>
      </w:r>
      <w:r>
        <w:rPr>
          <w:rFonts w:ascii="Verdana"/>
          <w:b/>
          <w:color w:val="1F497C"/>
          <w:sz w:val="36"/>
          <w:u w:val="thick" w:color="1F497C"/>
        </w:rPr>
        <w:t>one lakh </w:t>
      </w:r>
      <w:r>
        <w:rPr>
          <w:rFonts w:ascii="Verdana"/>
          <w:b/>
          <w:color w:val="1F497C"/>
          <w:spacing w:val="-26"/>
          <w:sz w:val="36"/>
          <w:u w:val="thick" w:color="1F497C"/>
        </w:rPr>
        <w:t> </w:t>
      </w:r>
      <w:r>
        <w:rPr>
          <w:rFonts w:ascii="Verdana"/>
          <w:b/>
          <w:color w:val="1F497C"/>
          <w:spacing w:val="-183"/>
          <w:sz w:val="36"/>
          <w:u w:val="thick" w:color="1F497C"/>
        </w:rPr>
        <w:t>r</w:t>
      </w:r>
      <w:r>
        <w:rPr>
          <w:rFonts w:ascii="Verdana"/>
          <w:b/>
          <w:color w:val="1F497C"/>
          <w:spacing w:val="85"/>
          <w:sz w:val="36"/>
        </w:rPr>
        <w:t> </w:t>
      </w:r>
      <w:r>
        <w:rPr>
          <w:rFonts w:ascii="Verdana"/>
          <w:b/>
          <w:color w:val="1F497C"/>
          <w:sz w:val="36"/>
          <w:u w:val="thick" w:color="1F497C"/>
        </w:rPr>
        <w:t>upees</w:t>
      </w:r>
      <w:r>
        <w:rPr>
          <w:rFonts w:ascii="Verdana"/>
          <w:b/>
          <w:color w:val="1F497C"/>
          <w:sz w:val="36"/>
        </w:rPr>
        <w:t> </w:t>
      </w:r>
      <w:r>
        <w:rPr>
          <w:rFonts w:ascii="Verdana"/>
          <w:color w:val="1F497C"/>
          <w:sz w:val="36"/>
        </w:rPr>
        <w:t>in the preceding financial year on account of unutilised input tax credit under clause (i) of first proviso of sub-section (3) of section 54;</w:t>
      </w:r>
      <w:r>
        <w:rPr>
          <w:rFonts w:ascii="Verdana"/>
          <w:color w:val="1F497C"/>
          <w:spacing w:val="94"/>
          <w:sz w:val="36"/>
        </w:rPr>
        <w:t> </w:t>
      </w:r>
      <w:r>
        <w:rPr>
          <w:rFonts w:ascii="Verdana"/>
          <w:color w:val="1F497C"/>
          <w:sz w:val="36"/>
        </w:rPr>
        <w:t>or</w:t>
      </w:r>
    </w:p>
    <w:p>
      <w:pPr>
        <w:spacing w:after="0" w:line="240" w:lineRule="auto"/>
        <w:jc w:val="both"/>
        <w:rPr>
          <w:rFonts w:ascii="Verdana"/>
          <w:sz w:val="36"/>
        </w:rPr>
        <w:sectPr>
          <w:pgSz w:w="16840" w:h="11910" w:orient="landscape"/>
          <w:pgMar w:top="1100" w:bottom="280" w:left="120" w:right="0"/>
        </w:sectPr>
      </w:pPr>
    </w:p>
    <w:p>
      <w:pPr>
        <w:pStyle w:val="BodyText"/>
        <w:spacing w:before="5"/>
        <w:rPr>
          <w:rFonts w:ascii="Verdana"/>
          <w:sz w:val="26"/>
        </w:rPr>
      </w:pPr>
      <w:r>
        <w:rPr/>
        <w:pict>
          <v:group style="position:absolute;margin-left:0pt;margin-top:60.840004pt;width:841.95pt;height:473.55pt;mso-position-horizontal-relative:page;mso-position-vertical-relative:page;z-index:-252199936" coordorigin="0,1217" coordsize="16839,9471">
            <v:shape style="position:absolute;left:0;top:1216;width:16839;height:9471" type="#_x0000_t75" stroked="false">
              <v:imagedata r:id="rId11" o:title=""/>
            </v:shape>
            <v:shape style="position:absolute;left:13051;top:1216;width:3788;height:826" type="#_x0000_t75" stroked="false">
              <v:imagedata r:id="rId6" o:title=""/>
            </v:shape>
            <w10:wrap type="none"/>
          </v:group>
        </w:pict>
      </w:r>
    </w:p>
    <w:p>
      <w:pPr>
        <w:spacing w:before="16"/>
        <w:ind w:left="916" w:right="0" w:firstLine="0"/>
        <w:jc w:val="left"/>
        <w:rPr>
          <w:rFonts w:ascii="Calibri" w:hAnsi="Calibri"/>
          <w:b/>
          <w:sz w:val="42"/>
        </w:rPr>
      </w:pPr>
      <w:r>
        <w:rPr>
          <w:rFonts w:ascii="Calibri" w:hAnsi="Calibri"/>
          <w:b/>
          <w:color w:val="FF0000"/>
          <w:sz w:val="42"/>
        </w:rPr>
        <w:t>Rule 86B – </w:t>
      </w:r>
      <w:r>
        <w:rPr>
          <w:rFonts w:ascii="Calibri" w:hAnsi="Calibri"/>
          <w:b/>
          <w:color w:val="FF0000"/>
          <w:spacing w:val="-4"/>
          <w:sz w:val="42"/>
        </w:rPr>
        <w:t>Restriction </w:t>
      </w:r>
      <w:r>
        <w:rPr>
          <w:rFonts w:ascii="Calibri" w:hAnsi="Calibri"/>
          <w:b/>
          <w:color w:val="FF0000"/>
          <w:sz w:val="42"/>
        </w:rPr>
        <w:t>of </w:t>
      </w:r>
      <w:r>
        <w:rPr>
          <w:rFonts w:ascii="Calibri" w:hAnsi="Calibri"/>
          <w:b/>
          <w:color w:val="FF0000"/>
          <w:spacing w:val="-5"/>
          <w:sz w:val="42"/>
        </w:rPr>
        <w:t>ITC </w:t>
      </w:r>
      <w:r>
        <w:rPr>
          <w:rFonts w:ascii="Calibri" w:hAnsi="Calibri"/>
          <w:b/>
          <w:color w:val="FF0000"/>
          <w:sz w:val="42"/>
        </w:rPr>
        <w:t>to</w:t>
      </w:r>
      <w:r>
        <w:rPr>
          <w:rFonts w:ascii="Calibri" w:hAnsi="Calibri"/>
          <w:b/>
          <w:color w:val="FF0000"/>
          <w:spacing w:val="-68"/>
          <w:sz w:val="42"/>
        </w:rPr>
        <w:t> </w:t>
      </w:r>
      <w:r>
        <w:rPr>
          <w:rFonts w:ascii="Calibri" w:hAnsi="Calibri"/>
          <w:b/>
          <w:color w:val="FF0000"/>
          <w:sz w:val="42"/>
        </w:rPr>
        <w:t>99%</w:t>
      </w:r>
    </w:p>
    <w:p>
      <w:pPr>
        <w:pStyle w:val="ListParagraph"/>
        <w:numPr>
          <w:ilvl w:val="0"/>
          <w:numId w:val="4"/>
        </w:numPr>
        <w:tabs>
          <w:tab w:pos="887" w:val="left" w:leader="none"/>
        </w:tabs>
        <w:spacing w:line="242" w:lineRule="auto" w:before="276" w:after="0"/>
        <w:ind w:left="218" w:right="339" w:firstLine="0"/>
        <w:jc w:val="both"/>
        <w:rPr>
          <w:rFonts w:ascii="Verdana"/>
          <w:color w:val="1F497C"/>
          <w:sz w:val="36"/>
        </w:rPr>
      </w:pPr>
      <w:r>
        <w:rPr>
          <w:rFonts w:ascii="Verdana"/>
          <w:color w:val="1F497C"/>
          <w:sz w:val="36"/>
        </w:rPr>
        <w:t>the registered person has received a refund amount of more than one lakh rupees  in the preceding financial year on account of unutilised input tax credit under</w:t>
      </w:r>
      <w:r>
        <w:rPr>
          <w:rFonts w:ascii="Verdana"/>
          <w:color w:val="1F497C"/>
          <w:spacing w:val="93"/>
          <w:sz w:val="36"/>
        </w:rPr>
        <w:t> </w:t>
      </w:r>
      <w:r>
        <w:rPr>
          <w:rFonts w:ascii="Verdana"/>
          <w:color w:val="1F497C"/>
          <w:sz w:val="36"/>
        </w:rPr>
        <w:t>clause</w:t>
      </w:r>
    </w:p>
    <w:p>
      <w:pPr>
        <w:spacing w:line="437" w:lineRule="exact" w:before="0"/>
        <w:ind w:left="218" w:right="0" w:firstLine="0"/>
        <w:jc w:val="both"/>
        <w:rPr>
          <w:rFonts w:ascii="Verdana"/>
          <w:sz w:val="36"/>
        </w:rPr>
      </w:pPr>
      <w:r>
        <w:rPr>
          <w:rFonts w:ascii="Verdana"/>
          <w:color w:val="1F497C"/>
          <w:sz w:val="36"/>
        </w:rPr>
        <w:t>(ii) of first proviso of sub-section (3) of section</w:t>
      </w:r>
      <w:r>
        <w:rPr>
          <w:rFonts w:ascii="Verdana"/>
          <w:color w:val="1F497C"/>
          <w:spacing w:val="58"/>
          <w:sz w:val="36"/>
        </w:rPr>
        <w:t> </w:t>
      </w:r>
      <w:r>
        <w:rPr>
          <w:rFonts w:ascii="Verdana"/>
          <w:color w:val="1F497C"/>
          <w:sz w:val="36"/>
        </w:rPr>
        <w:t>54;</w:t>
      </w:r>
    </w:p>
    <w:p>
      <w:pPr>
        <w:pStyle w:val="BodyText"/>
        <w:spacing w:before="10"/>
        <w:rPr>
          <w:rFonts w:ascii="Verdana"/>
          <w:sz w:val="36"/>
        </w:rPr>
      </w:pPr>
    </w:p>
    <w:p>
      <w:pPr>
        <w:pStyle w:val="ListParagraph"/>
        <w:numPr>
          <w:ilvl w:val="0"/>
          <w:numId w:val="4"/>
        </w:numPr>
        <w:tabs>
          <w:tab w:pos="1115" w:val="left" w:leader="none"/>
        </w:tabs>
        <w:spacing w:line="242" w:lineRule="auto" w:before="1" w:after="0"/>
        <w:ind w:left="218" w:right="340" w:firstLine="0"/>
        <w:jc w:val="both"/>
        <w:rPr>
          <w:rFonts w:ascii="Verdana"/>
          <w:b/>
          <w:color w:val="1F497C"/>
          <w:sz w:val="36"/>
        </w:rPr>
      </w:pPr>
      <w:r>
        <w:rPr>
          <w:rFonts w:ascii="Verdana"/>
          <w:b/>
          <w:color w:val="1F497C"/>
          <w:sz w:val="36"/>
        </w:rPr>
        <w:t>the registered person has discharged his liability towards output tax through the electronic cash ledger for an amount which is in excess of 1% of the total output tax liability, applied cumulatively, upto the said month in the current financial year;</w:t>
      </w:r>
      <w:r>
        <w:rPr>
          <w:rFonts w:ascii="Verdana"/>
          <w:b/>
          <w:color w:val="1F497C"/>
          <w:spacing w:val="28"/>
          <w:sz w:val="36"/>
        </w:rPr>
        <w:t> </w:t>
      </w:r>
      <w:r>
        <w:rPr>
          <w:rFonts w:ascii="Verdana"/>
          <w:b/>
          <w:color w:val="1F497C"/>
          <w:sz w:val="36"/>
        </w:rPr>
        <w:t>or</w:t>
      </w:r>
    </w:p>
    <w:p>
      <w:pPr>
        <w:pStyle w:val="BodyText"/>
        <w:spacing w:before="2"/>
        <w:rPr>
          <w:rFonts w:ascii="Verdana"/>
          <w:b/>
          <w:sz w:val="36"/>
        </w:rPr>
      </w:pPr>
    </w:p>
    <w:p>
      <w:pPr>
        <w:pStyle w:val="ListParagraph"/>
        <w:numPr>
          <w:ilvl w:val="0"/>
          <w:numId w:val="4"/>
        </w:numPr>
        <w:tabs>
          <w:tab w:pos="902" w:val="left" w:leader="none"/>
        </w:tabs>
        <w:spacing w:line="240" w:lineRule="auto" w:before="1" w:after="0"/>
        <w:ind w:left="901" w:right="0" w:hanging="684"/>
        <w:jc w:val="left"/>
        <w:rPr>
          <w:rFonts w:ascii="Verdana" w:hAnsi="Verdana"/>
          <w:color w:val="1F497C"/>
          <w:sz w:val="36"/>
        </w:rPr>
      </w:pPr>
      <w:r>
        <w:rPr>
          <w:rFonts w:ascii="Verdana" w:hAnsi="Verdana"/>
          <w:color w:val="1F497C"/>
          <w:sz w:val="36"/>
        </w:rPr>
        <w:t>the registered person is</w:t>
      </w:r>
      <w:r>
        <w:rPr>
          <w:rFonts w:ascii="Verdana" w:hAnsi="Verdana"/>
          <w:color w:val="1F497C"/>
          <w:spacing w:val="30"/>
          <w:sz w:val="36"/>
        </w:rPr>
        <w:t> </w:t>
      </w:r>
      <w:r>
        <w:rPr>
          <w:rFonts w:ascii="Verdana" w:hAnsi="Verdana"/>
          <w:color w:val="1F497C"/>
          <w:sz w:val="36"/>
        </w:rPr>
        <w:t>–</w:t>
      </w:r>
    </w:p>
    <w:p>
      <w:pPr>
        <w:pStyle w:val="BodyText"/>
        <w:spacing w:before="8"/>
        <w:rPr>
          <w:rFonts w:ascii="Verdana"/>
          <w:sz w:val="36"/>
        </w:rPr>
      </w:pPr>
    </w:p>
    <w:p>
      <w:pPr>
        <w:pStyle w:val="ListParagraph"/>
        <w:numPr>
          <w:ilvl w:val="0"/>
          <w:numId w:val="5"/>
        </w:numPr>
        <w:tabs>
          <w:tab w:pos="784" w:val="left" w:leader="none"/>
        </w:tabs>
        <w:spacing w:line="240" w:lineRule="auto" w:before="0" w:after="0"/>
        <w:ind w:left="783" w:right="0" w:hanging="566"/>
        <w:jc w:val="left"/>
        <w:rPr>
          <w:rFonts w:ascii="Verdana"/>
          <w:sz w:val="36"/>
        </w:rPr>
      </w:pPr>
      <w:r>
        <w:rPr>
          <w:rFonts w:ascii="Verdana"/>
          <w:color w:val="1F497C"/>
          <w:sz w:val="36"/>
        </w:rPr>
        <w:t>Government Department;</w:t>
      </w:r>
      <w:r>
        <w:rPr>
          <w:rFonts w:ascii="Verdana"/>
          <w:color w:val="1F497C"/>
          <w:spacing w:val="8"/>
          <w:sz w:val="36"/>
        </w:rPr>
        <w:t> </w:t>
      </w:r>
      <w:r>
        <w:rPr>
          <w:rFonts w:ascii="Verdana"/>
          <w:color w:val="1F497C"/>
          <w:sz w:val="36"/>
        </w:rPr>
        <w:t>or</w:t>
      </w:r>
    </w:p>
    <w:p>
      <w:pPr>
        <w:pStyle w:val="ListParagraph"/>
        <w:numPr>
          <w:ilvl w:val="0"/>
          <w:numId w:val="5"/>
        </w:numPr>
        <w:tabs>
          <w:tab w:pos="883" w:val="left" w:leader="none"/>
        </w:tabs>
        <w:spacing w:line="240" w:lineRule="auto" w:before="4" w:after="0"/>
        <w:ind w:left="882" w:right="0" w:hanging="665"/>
        <w:jc w:val="left"/>
        <w:rPr>
          <w:rFonts w:ascii="Verdana"/>
          <w:sz w:val="36"/>
        </w:rPr>
      </w:pPr>
      <w:r>
        <w:rPr>
          <w:rFonts w:ascii="Verdana"/>
          <w:color w:val="1F497C"/>
          <w:sz w:val="36"/>
        </w:rPr>
        <w:t>a Public Sector Undertaking;</w:t>
      </w:r>
      <w:r>
        <w:rPr>
          <w:rFonts w:ascii="Verdana"/>
          <w:color w:val="1F497C"/>
          <w:spacing w:val="23"/>
          <w:sz w:val="36"/>
        </w:rPr>
        <w:t> </w:t>
      </w:r>
      <w:r>
        <w:rPr>
          <w:rFonts w:ascii="Verdana"/>
          <w:color w:val="1F497C"/>
          <w:sz w:val="36"/>
        </w:rPr>
        <w:t>or</w:t>
      </w:r>
    </w:p>
    <w:p>
      <w:pPr>
        <w:pStyle w:val="ListParagraph"/>
        <w:numPr>
          <w:ilvl w:val="0"/>
          <w:numId w:val="5"/>
        </w:numPr>
        <w:tabs>
          <w:tab w:pos="983" w:val="left" w:leader="none"/>
        </w:tabs>
        <w:spacing w:line="240" w:lineRule="auto" w:before="6" w:after="0"/>
        <w:ind w:left="982" w:right="0" w:hanging="765"/>
        <w:jc w:val="left"/>
        <w:rPr>
          <w:rFonts w:ascii="Verdana"/>
          <w:sz w:val="36"/>
        </w:rPr>
      </w:pPr>
      <w:r>
        <w:rPr>
          <w:rFonts w:ascii="Verdana"/>
          <w:color w:val="1F497C"/>
          <w:sz w:val="36"/>
        </w:rPr>
        <w:t>a local authority;</w:t>
      </w:r>
      <w:r>
        <w:rPr>
          <w:rFonts w:ascii="Verdana"/>
          <w:color w:val="1F497C"/>
          <w:spacing w:val="13"/>
          <w:sz w:val="36"/>
        </w:rPr>
        <w:t> </w:t>
      </w:r>
      <w:r>
        <w:rPr>
          <w:rFonts w:ascii="Verdana"/>
          <w:color w:val="1F497C"/>
          <w:sz w:val="36"/>
        </w:rPr>
        <w:t>or</w:t>
      </w:r>
    </w:p>
    <w:p>
      <w:pPr>
        <w:pStyle w:val="ListParagraph"/>
        <w:numPr>
          <w:ilvl w:val="0"/>
          <w:numId w:val="5"/>
        </w:numPr>
        <w:tabs>
          <w:tab w:pos="997" w:val="left" w:leader="none"/>
        </w:tabs>
        <w:spacing w:line="240" w:lineRule="auto" w:before="4" w:after="0"/>
        <w:ind w:left="996" w:right="0" w:hanging="779"/>
        <w:jc w:val="left"/>
        <w:rPr>
          <w:rFonts w:ascii="Verdana"/>
          <w:sz w:val="36"/>
        </w:rPr>
      </w:pPr>
      <w:r>
        <w:rPr>
          <w:rFonts w:ascii="Verdana"/>
          <w:color w:val="1F497C"/>
          <w:sz w:val="36"/>
        </w:rPr>
        <w:t>a statutory</w:t>
      </w:r>
      <w:r>
        <w:rPr>
          <w:rFonts w:ascii="Verdana"/>
          <w:color w:val="1F497C"/>
          <w:spacing w:val="14"/>
          <w:sz w:val="36"/>
        </w:rPr>
        <w:t> </w:t>
      </w:r>
      <w:r>
        <w:rPr>
          <w:rFonts w:ascii="Verdana"/>
          <w:color w:val="1F497C"/>
          <w:sz w:val="36"/>
        </w:rPr>
        <w:t>body:</w:t>
      </w:r>
    </w:p>
    <w:p>
      <w:pPr>
        <w:pStyle w:val="BodyText"/>
        <w:spacing w:before="8"/>
        <w:rPr>
          <w:rFonts w:ascii="Verdana"/>
          <w:sz w:val="36"/>
        </w:rPr>
      </w:pPr>
    </w:p>
    <w:p>
      <w:pPr>
        <w:spacing w:line="242" w:lineRule="auto" w:before="1"/>
        <w:ind w:left="218" w:right="855" w:firstLine="0"/>
        <w:jc w:val="left"/>
        <w:rPr>
          <w:rFonts w:ascii="Verdana"/>
          <w:sz w:val="36"/>
        </w:rPr>
      </w:pPr>
      <w:r>
        <w:rPr>
          <w:rFonts w:ascii="Verdana"/>
          <w:color w:val="1F497C"/>
          <w:sz w:val="36"/>
        </w:rPr>
        <w:t>Provided further that the Commissioner or an officer authorised by him in this behalf may remove the said restriction after such verifications and such safeguards as he may deem fit</w:t>
      </w:r>
    </w:p>
    <w:p>
      <w:pPr>
        <w:spacing w:after="0" w:line="242" w:lineRule="auto"/>
        <w:jc w:val="left"/>
        <w:rPr>
          <w:rFonts w:ascii="Verdana"/>
          <w:sz w:val="36"/>
        </w:rPr>
        <w:sectPr>
          <w:pgSz w:w="16840" w:h="11910" w:orient="landscape"/>
          <w:pgMar w:top="1100" w:bottom="280" w:left="120" w:right="0"/>
        </w:sectPr>
      </w:pPr>
    </w:p>
    <w:p>
      <w:pPr>
        <w:pStyle w:val="BodyText"/>
        <w:spacing w:before="6"/>
        <w:rPr>
          <w:rFonts w:ascii="Verdana"/>
          <w:sz w:val="27"/>
        </w:rPr>
      </w:pPr>
      <w:r>
        <w:rPr/>
        <w:pict>
          <v:group style="position:absolute;margin-left:0pt;margin-top:60.840004pt;width:841.95pt;height:473.55pt;mso-position-horizontal-relative:page;mso-position-vertical-relative:page;z-index:-252198912"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pStyle w:val="Heading3"/>
      </w:pPr>
      <w:r>
        <w:rPr>
          <w:color w:val="FF0000"/>
        </w:rPr>
        <w:t>Impact of amendment of Rule 86B</w:t>
      </w:r>
    </w:p>
    <w:p>
      <w:pPr>
        <w:pStyle w:val="BodyText"/>
        <w:spacing w:line="254" w:lineRule="auto" w:before="414"/>
        <w:ind w:left="323" w:right="743"/>
        <w:jc w:val="both"/>
      </w:pPr>
      <w:r>
        <w:rPr>
          <w:color w:val="366091"/>
        </w:rPr>
        <w:t>The said Rule has been invoked with the intention of dealing with unscrupulous and fly by night operators or circle traders who would now be required to pay some tax atleast  by  cash. </w:t>
      </w:r>
      <w:r>
        <w:rPr>
          <w:color w:val="366091"/>
          <w:spacing w:val="-4"/>
        </w:rPr>
        <w:t>However,  </w:t>
      </w:r>
      <w:r>
        <w:rPr>
          <w:color w:val="366091"/>
        </w:rPr>
        <w:t>it remains to be seen how an increase in cost by 1% would be a deterrent   to these</w:t>
      </w:r>
      <w:r>
        <w:rPr>
          <w:color w:val="366091"/>
          <w:spacing w:val="-4"/>
        </w:rPr>
        <w:t> </w:t>
      </w:r>
      <w:r>
        <w:rPr>
          <w:color w:val="366091"/>
        </w:rPr>
        <w:t>parties.</w:t>
      </w:r>
    </w:p>
    <w:p>
      <w:pPr>
        <w:pStyle w:val="BodyText"/>
        <w:spacing w:before="4"/>
        <w:rPr>
          <w:sz w:val="40"/>
        </w:rPr>
      </w:pPr>
    </w:p>
    <w:p>
      <w:pPr>
        <w:pStyle w:val="BodyText"/>
        <w:spacing w:line="254" w:lineRule="auto"/>
        <w:ind w:left="323" w:right="744"/>
        <w:jc w:val="both"/>
      </w:pPr>
      <w:r>
        <w:rPr>
          <w:color w:val="366091"/>
        </w:rPr>
        <w:t>For Honest </w:t>
      </w:r>
      <w:r>
        <w:rPr>
          <w:color w:val="366091"/>
          <w:spacing w:val="-5"/>
        </w:rPr>
        <w:t>Taxpayers </w:t>
      </w:r>
      <w:r>
        <w:rPr>
          <w:color w:val="366091"/>
        </w:rPr>
        <w:t>clause (d) is important  to  note. It gives cumulation </w:t>
      </w:r>
      <w:r>
        <w:rPr>
          <w:color w:val="366091"/>
          <w:spacing w:val="-4"/>
        </w:rPr>
        <w:t>facility.  </w:t>
      </w:r>
      <w:r>
        <w:rPr>
          <w:color w:val="366091"/>
        </w:rPr>
        <w:t>However in the beginning of the financial </w:t>
      </w:r>
      <w:r>
        <w:rPr>
          <w:color w:val="366091"/>
          <w:spacing w:val="-5"/>
        </w:rPr>
        <w:t>year, </w:t>
      </w:r>
      <w:r>
        <w:rPr>
          <w:color w:val="366091"/>
        </w:rPr>
        <w:t>Rule 86B would be a hardship for even the Large and genuine </w:t>
      </w:r>
      <w:r>
        <w:rPr>
          <w:color w:val="366091"/>
          <w:spacing w:val="-5"/>
        </w:rPr>
        <w:t>Taxpayers.  </w:t>
      </w:r>
      <w:r>
        <w:rPr>
          <w:color w:val="366091"/>
        </w:rPr>
        <w:t>In this regard Section 21(g) requires invocation of cancellation incase   of non-compliance with Rule 86B and to monitor compliance would be a challenge for professionals.</w:t>
      </w:r>
    </w:p>
    <w:p>
      <w:pPr>
        <w:pStyle w:val="BodyText"/>
        <w:rPr>
          <w:sz w:val="40"/>
        </w:rPr>
      </w:pPr>
    </w:p>
    <w:p>
      <w:pPr>
        <w:pStyle w:val="BodyText"/>
        <w:spacing w:line="254" w:lineRule="auto" w:before="1"/>
        <w:ind w:left="323" w:right="744"/>
        <w:jc w:val="both"/>
      </w:pPr>
      <w:r>
        <w:rPr>
          <w:color w:val="366091"/>
        </w:rPr>
        <w:t>However, this Rule would not bother Large Taxpayers who would certainly have paid more than Rs.1 Lakh in Income tax in the earlier Financial Years.</w:t>
      </w:r>
    </w:p>
    <w:p>
      <w:pPr>
        <w:spacing w:after="0" w:line="254" w:lineRule="auto"/>
        <w:jc w:val="both"/>
        <w:sectPr>
          <w:pgSz w:w="16840" w:h="11910" w:orient="landscape"/>
          <w:pgMar w:top="1100" w:bottom="280" w:left="120" w:right="0"/>
        </w:sectPr>
      </w:pPr>
    </w:p>
    <w:p>
      <w:pPr>
        <w:pStyle w:val="BodyText"/>
        <w:spacing w:before="11"/>
        <w:rPr>
          <w:sz w:val="27"/>
        </w:rPr>
      </w:pPr>
      <w:r>
        <w:rPr/>
        <w:pict>
          <v:group style="position:absolute;margin-left:0pt;margin-top:60.840004pt;width:841.95pt;height:473.55pt;mso-position-horizontal-relative:page;mso-position-vertical-relative:page;z-index:-252197888"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5"/>
        <w:ind w:left="916" w:right="0" w:firstLine="0"/>
        <w:jc w:val="left"/>
        <w:rPr>
          <w:rFonts w:ascii="Calibri" w:hAnsi="Calibri"/>
          <w:b/>
          <w:sz w:val="42"/>
        </w:rPr>
      </w:pPr>
      <w:r>
        <w:rPr>
          <w:rFonts w:ascii="Calibri" w:hAnsi="Calibri"/>
          <w:b/>
          <w:color w:val="FF0000"/>
          <w:sz w:val="42"/>
        </w:rPr>
        <w:t>Rule 36(4) – </w:t>
      </w:r>
      <w:r>
        <w:rPr>
          <w:rFonts w:ascii="Calibri" w:hAnsi="Calibri"/>
          <w:b/>
          <w:color w:val="FF0000"/>
          <w:spacing w:val="-5"/>
          <w:sz w:val="42"/>
        </w:rPr>
        <w:t>Excess ITC </w:t>
      </w:r>
      <w:r>
        <w:rPr>
          <w:rFonts w:ascii="Calibri" w:hAnsi="Calibri"/>
          <w:b/>
          <w:color w:val="FF0000"/>
          <w:spacing w:val="-4"/>
          <w:sz w:val="42"/>
        </w:rPr>
        <w:t>restricted to</w:t>
      </w:r>
      <w:r>
        <w:rPr>
          <w:rFonts w:ascii="Calibri" w:hAnsi="Calibri"/>
          <w:b/>
          <w:color w:val="FF0000"/>
          <w:spacing w:val="-60"/>
          <w:sz w:val="42"/>
        </w:rPr>
        <w:t> </w:t>
      </w:r>
      <w:r>
        <w:rPr>
          <w:rFonts w:ascii="Calibri" w:hAnsi="Calibri"/>
          <w:b/>
          <w:color w:val="FF0000"/>
          <w:sz w:val="42"/>
        </w:rPr>
        <w:t>5%</w:t>
      </w:r>
    </w:p>
    <w:p>
      <w:pPr>
        <w:pStyle w:val="BodyText"/>
        <w:spacing w:before="6"/>
        <w:rPr>
          <w:rFonts w:ascii="Calibri"/>
          <w:b/>
          <w:sz w:val="39"/>
        </w:rPr>
      </w:pPr>
    </w:p>
    <w:p>
      <w:pPr>
        <w:spacing w:line="237" w:lineRule="auto" w:before="0"/>
        <w:ind w:left="429" w:right="745" w:hanging="1"/>
        <w:jc w:val="both"/>
        <w:rPr>
          <w:rFonts w:ascii="Verdana"/>
          <w:b/>
          <w:sz w:val="49"/>
        </w:rPr>
      </w:pPr>
      <w:r>
        <w:rPr>
          <w:rFonts w:ascii="Verdana"/>
          <w:b/>
          <w:color w:val="1F497C"/>
          <w:position w:val="15"/>
          <w:sz w:val="32"/>
        </w:rPr>
        <w:t>2</w:t>
      </w:r>
      <w:r>
        <w:rPr>
          <w:rFonts w:ascii="Verdana"/>
          <w:color w:val="1F497C"/>
          <w:sz w:val="49"/>
        </w:rPr>
        <w:t>[(4) Input tax credit to be </w:t>
      </w:r>
      <w:r>
        <w:rPr>
          <w:rFonts w:ascii="Verdana"/>
          <w:color w:val="1F497C"/>
          <w:spacing w:val="-3"/>
          <w:sz w:val="49"/>
        </w:rPr>
        <w:t>availed </w:t>
      </w:r>
      <w:r>
        <w:rPr>
          <w:rFonts w:ascii="Verdana"/>
          <w:color w:val="1F497C"/>
          <w:sz w:val="49"/>
        </w:rPr>
        <w:t>by a registered person in respect of </w:t>
      </w:r>
      <w:r>
        <w:rPr>
          <w:rFonts w:ascii="Verdana"/>
          <w:color w:val="1F497C"/>
          <w:spacing w:val="-3"/>
          <w:sz w:val="49"/>
        </w:rPr>
        <w:t>invoices </w:t>
      </w:r>
      <w:r>
        <w:rPr>
          <w:rFonts w:ascii="Verdana"/>
          <w:color w:val="1F497C"/>
          <w:sz w:val="49"/>
        </w:rPr>
        <w:t>or debit notes, the details of which </w:t>
      </w:r>
      <w:r>
        <w:rPr>
          <w:rFonts w:ascii="Verdana"/>
          <w:color w:val="1F497C"/>
          <w:spacing w:val="-3"/>
          <w:sz w:val="49"/>
        </w:rPr>
        <w:t>have </w:t>
      </w:r>
      <w:r>
        <w:rPr>
          <w:rFonts w:ascii="Verdana"/>
          <w:color w:val="1F497C"/>
          <w:sz w:val="49"/>
        </w:rPr>
        <w:t>not been uploaded</w:t>
      </w:r>
      <w:r>
        <w:rPr>
          <w:rFonts w:ascii="Verdana"/>
          <w:color w:val="1F497C"/>
          <w:sz w:val="49"/>
          <w:u w:val="thick" w:color="1F497C"/>
        </w:rPr>
        <w:t> </w:t>
      </w:r>
      <w:r>
        <w:rPr>
          <w:rFonts w:ascii="Verdana"/>
          <w:b/>
          <w:color w:val="1F497C"/>
          <w:sz w:val="49"/>
          <w:u w:val="thick" w:color="1F497C"/>
        </w:rPr>
        <w:t>or Furnished </w:t>
      </w:r>
      <w:r>
        <w:rPr>
          <w:rFonts w:ascii="Verdana"/>
          <w:color w:val="1F497C"/>
          <w:sz w:val="49"/>
        </w:rPr>
        <w:t>by the suppliers under sub- section  (1)  of  section  37</w:t>
      </w:r>
      <w:r>
        <w:rPr>
          <w:rFonts w:ascii="Verdana"/>
          <w:color w:val="1F497C"/>
          <w:sz w:val="49"/>
          <w:u w:val="thick" w:color="1F497C"/>
        </w:rPr>
        <w:t> </w:t>
      </w:r>
      <w:r>
        <w:rPr>
          <w:rFonts w:ascii="Verdana"/>
          <w:b/>
          <w:color w:val="1F497C"/>
          <w:sz w:val="49"/>
          <w:u w:val="thick" w:color="1F497C"/>
        </w:rPr>
        <w:t>in  FORM  GSTR-1  or  using</w:t>
      </w:r>
      <w:r>
        <w:rPr>
          <w:rFonts w:ascii="Verdana"/>
          <w:b/>
          <w:color w:val="1F497C"/>
          <w:spacing w:val="12"/>
          <w:sz w:val="49"/>
          <w:u w:val="thick" w:color="1F497C"/>
        </w:rPr>
        <w:t> </w:t>
      </w:r>
      <w:r>
        <w:rPr>
          <w:rFonts w:ascii="Verdana"/>
          <w:b/>
          <w:color w:val="1F497C"/>
          <w:sz w:val="49"/>
          <w:u w:val="thick" w:color="1F497C"/>
        </w:rPr>
        <w:t>the</w:t>
      </w:r>
    </w:p>
    <w:p>
      <w:pPr>
        <w:spacing w:line="585" w:lineRule="exact" w:before="0"/>
        <w:ind w:left="427" w:right="0" w:firstLine="0"/>
        <w:jc w:val="both"/>
        <w:rPr>
          <w:rFonts w:ascii="Verdana"/>
          <w:sz w:val="49"/>
        </w:rPr>
      </w:pPr>
      <w:r>
        <w:rPr>
          <w:rFonts w:ascii="Times New Roman"/>
          <w:color w:val="1F497C"/>
          <w:spacing w:val="-121"/>
          <w:w w:val="100"/>
          <w:sz w:val="49"/>
          <w:u w:val="thick" w:color="1F497C"/>
        </w:rPr>
        <w:t> </w:t>
      </w:r>
      <w:r>
        <w:rPr>
          <w:rFonts w:ascii="Verdana"/>
          <w:b/>
          <w:color w:val="1F497C"/>
          <w:sz w:val="49"/>
          <w:u w:val="thick" w:color="1F497C"/>
        </w:rPr>
        <w:t>invoice furnishing facility </w:t>
      </w:r>
      <w:r>
        <w:rPr>
          <w:rFonts w:ascii="Verdana"/>
          <w:color w:val="1F497C"/>
          <w:sz w:val="49"/>
        </w:rPr>
        <w:t>, shall not exceed </w:t>
      </w:r>
      <w:r>
        <w:rPr>
          <w:rFonts w:ascii="Verdana"/>
          <w:b/>
          <w:color w:val="1F497C"/>
          <w:position w:val="15"/>
          <w:sz w:val="32"/>
        </w:rPr>
        <w:t>3</w:t>
      </w:r>
      <w:r>
        <w:rPr>
          <w:rFonts w:ascii="Verdana"/>
          <w:color w:val="1F497C"/>
          <w:sz w:val="49"/>
        </w:rPr>
        <w:t>[10 per </w:t>
      </w:r>
      <w:r>
        <w:rPr>
          <w:rFonts w:ascii="Verdana"/>
          <w:color w:val="1F497C"/>
          <w:spacing w:val="9"/>
          <w:sz w:val="49"/>
        </w:rPr>
        <w:t> </w:t>
      </w:r>
      <w:r>
        <w:rPr>
          <w:rFonts w:ascii="Verdana"/>
          <w:color w:val="1F497C"/>
          <w:sz w:val="49"/>
        </w:rPr>
        <w:t>cent.]</w:t>
      </w:r>
    </w:p>
    <w:p>
      <w:pPr>
        <w:spacing w:line="237" w:lineRule="auto" w:before="1"/>
        <w:ind w:left="429" w:right="741" w:hanging="3"/>
        <w:jc w:val="both"/>
        <w:rPr>
          <w:rFonts w:ascii="Verdana"/>
          <w:sz w:val="49"/>
        </w:rPr>
      </w:pPr>
      <w:r>
        <w:rPr>
          <w:rFonts w:ascii="Times New Roman"/>
          <w:color w:val="1F497C"/>
          <w:spacing w:val="-121"/>
          <w:w w:val="100"/>
          <w:sz w:val="49"/>
          <w:u w:val="thick" w:color="1F497C"/>
        </w:rPr>
        <w:t> </w:t>
      </w:r>
      <w:r>
        <w:rPr>
          <w:rFonts w:ascii="Verdana"/>
          <w:b/>
          <w:color w:val="1F497C"/>
          <w:sz w:val="49"/>
          <w:u w:val="thick" w:color="1F497C"/>
        </w:rPr>
        <w:t>5%</w:t>
      </w:r>
      <w:r>
        <w:rPr>
          <w:rFonts w:ascii="Verdana"/>
          <w:b/>
          <w:color w:val="1F497C"/>
          <w:sz w:val="49"/>
        </w:rPr>
        <w:t> </w:t>
      </w:r>
      <w:r>
        <w:rPr>
          <w:rFonts w:ascii="Verdana"/>
          <w:color w:val="1F497C"/>
          <w:sz w:val="49"/>
        </w:rPr>
        <w:t>of the eligible credit </w:t>
      </w:r>
      <w:r>
        <w:rPr>
          <w:rFonts w:ascii="Verdana"/>
          <w:color w:val="1F497C"/>
          <w:spacing w:val="-3"/>
          <w:sz w:val="49"/>
        </w:rPr>
        <w:t>available </w:t>
      </w:r>
      <w:r>
        <w:rPr>
          <w:rFonts w:ascii="Verdana"/>
          <w:color w:val="1F497C"/>
          <w:sz w:val="49"/>
        </w:rPr>
        <w:t>in respect of invoices or debit notes the details of which </w:t>
      </w:r>
      <w:r>
        <w:rPr>
          <w:rFonts w:ascii="Verdana"/>
          <w:color w:val="1F497C"/>
          <w:spacing w:val="-4"/>
          <w:sz w:val="49"/>
        </w:rPr>
        <w:t>have </w:t>
      </w:r>
      <w:r>
        <w:rPr>
          <w:rFonts w:ascii="Verdana"/>
          <w:color w:val="1F497C"/>
          <w:sz w:val="49"/>
        </w:rPr>
        <w:t>been uploaded by the suppliers under sub-section (1) of</w:t>
      </w:r>
      <w:r>
        <w:rPr>
          <w:rFonts w:ascii="Verdana"/>
          <w:color w:val="1F497C"/>
          <w:sz w:val="49"/>
          <w:u w:val="thick" w:color="1F497C"/>
        </w:rPr>
        <w:t> section 37</w:t>
      </w:r>
      <w:r>
        <w:rPr>
          <w:rFonts w:ascii="Verdana"/>
          <w:color w:val="1F497C"/>
          <w:sz w:val="49"/>
        </w:rPr>
        <w:t>.]</w:t>
      </w:r>
    </w:p>
    <w:p>
      <w:pPr>
        <w:spacing w:after="0" w:line="237" w:lineRule="auto"/>
        <w:jc w:val="both"/>
        <w:rPr>
          <w:rFonts w:ascii="Verdana"/>
          <w:sz w:val="49"/>
        </w:rPr>
        <w:sectPr>
          <w:pgSz w:w="16840" w:h="11910" w:orient="landscape"/>
          <w:pgMar w:top="1100" w:bottom="280" w:left="120" w:right="0"/>
        </w:sectPr>
      </w:pPr>
    </w:p>
    <w:p>
      <w:pPr>
        <w:pStyle w:val="BodyText"/>
        <w:spacing w:before="6"/>
        <w:rPr>
          <w:rFonts w:ascii="Verdana"/>
          <w:sz w:val="27"/>
        </w:rPr>
      </w:pPr>
      <w:r>
        <w:rPr/>
        <w:pict>
          <v:group style="position:absolute;margin-left:0pt;margin-top:60.840004pt;width:841.95pt;height:473.55pt;mso-position-horizontal-relative:page;mso-position-vertical-relative:page;z-index:-252196864"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3"/>
        <w:ind w:left="916" w:right="0" w:firstLine="0"/>
        <w:jc w:val="left"/>
        <w:rPr>
          <w:rFonts w:ascii="Calibri"/>
          <w:b/>
          <w:sz w:val="49"/>
        </w:rPr>
      </w:pPr>
      <w:r>
        <w:rPr>
          <w:rFonts w:ascii="Calibri"/>
          <w:b/>
          <w:color w:val="FF0000"/>
          <w:sz w:val="49"/>
        </w:rPr>
        <w:t>Impact of amendment of Rule 36(4) amendment</w:t>
      </w:r>
    </w:p>
    <w:p>
      <w:pPr>
        <w:pStyle w:val="BodyText"/>
        <w:spacing w:line="254" w:lineRule="auto" w:before="414"/>
        <w:ind w:left="323" w:right="744"/>
        <w:jc w:val="both"/>
      </w:pPr>
      <w:r>
        <w:rPr>
          <w:color w:val="366091"/>
        </w:rPr>
        <w:t>The restriction of ITC to 105% of GSTR 2A figure would be a hardship. </w:t>
      </w:r>
      <w:r>
        <w:rPr>
          <w:color w:val="366091"/>
          <w:spacing w:val="-4"/>
        </w:rPr>
        <w:t>However, </w:t>
      </w:r>
      <w:r>
        <w:rPr>
          <w:color w:val="366091"/>
        </w:rPr>
        <w:t>it seems that the intention of the revenue in the time to come, is to just allow only the ITC of  the GSTR 2A</w:t>
      </w:r>
      <w:r>
        <w:rPr>
          <w:color w:val="366091"/>
          <w:spacing w:val="-19"/>
        </w:rPr>
        <w:t> </w:t>
      </w:r>
      <w:r>
        <w:rPr>
          <w:color w:val="366091"/>
        </w:rPr>
        <w:t>figure.</w:t>
      </w:r>
    </w:p>
    <w:p>
      <w:pPr>
        <w:pStyle w:val="BodyText"/>
        <w:spacing w:before="4"/>
        <w:rPr>
          <w:sz w:val="40"/>
        </w:rPr>
      </w:pPr>
    </w:p>
    <w:p>
      <w:pPr>
        <w:pStyle w:val="BodyText"/>
        <w:spacing w:line="254" w:lineRule="auto"/>
        <w:ind w:left="323" w:right="748"/>
        <w:jc w:val="both"/>
      </w:pPr>
      <w:r>
        <w:rPr>
          <w:color w:val="366091"/>
        </w:rPr>
        <w:t>However with the inception of GSTR 2B, there would be another reconciliation requirement of GSTR 2A vis-à-vis GSTR 2B wherein there would be the following points of</w:t>
      </w:r>
      <w:r>
        <w:rPr>
          <w:color w:val="366091"/>
          <w:spacing w:val="22"/>
        </w:rPr>
        <w:t> </w:t>
      </w:r>
      <w:r>
        <w:rPr>
          <w:color w:val="366091"/>
        </w:rPr>
        <w:t>difference-</w:t>
      </w:r>
    </w:p>
    <w:p>
      <w:pPr>
        <w:pStyle w:val="BodyText"/>
        <w:spacing w:before="10"/>
        <w:rPr>
          <w:sz w:val="39"/>
        </w:rPr>
      </w:pPr>
    </w:p>
    <w:p>
      <w:pPr>
        <w:pStyle w:val="ListParagraph"/>
        <w:numPr>
          <w:ilvl w:val="1"/>
          <w:numId w:val="5"/>
        </w:numPr>
        <w:tabs>
          <w:tab w:pos="1428" w:val="left" w:leader="none"/>
        </w:tabs>
        <w:spacing w:line="240" w:lineRule="auto" w:before="0" w:after="0"/>
        <w:ind w:left="1427" w:right="0" w:hanging="473"/>
        <w:jc w:val="left"/>
        <w:rPr>
          <w:sz w:val="42"/>
        </w:rPr>
      </w:pPr>
      <w:r>
        <w:rPr>
          <w:color w:val="1F497C"/>
          <w:sz w:val="42"/>
        </w:rPr>
        <w:t>26/26/2017</w:t>
      </w:r>
      <w:r>
        <w:rPr>
          <w:color w:val="1F497C"/>
          <w:spacing w:val="9"/>
          <w:sz w:val="42"/>
        </w:rPr>
        <w:t> </w:t>
      </w:r>
      <w:r>
        <w:rPr>
          <w:color w:val="1F497C"/>
          <w:sz w:val="42"/>
        </w:rPr>
        <w:t>Effect</w:t>
      </w:r>
    </w:p>
    <w:p>
      <w:pPr>
        <w:pStyle w:val="ListParagraph"/>
        <w:numPr>
          <w:ilvl w:val="1"/>
          <w:numId w:val="5"/>
        </w:numPr>
        <w:tabs>
          <w:tab w:pos="1428" w:val="left" w:leader="none"/>
          <w:tab w:pos="4128" w:val="left" w:leader="none"/>
          <w:tab w:pos="5401" w:val="left" w:leader="none"/>
          <w:tab w:pos="5951" w:val="left" w:leader="none"/>
          <w:tab w:pos="7484" w:val="left" w:leader="none"/>
          <w:tab w:pos="8874" w:val="left" w:leader="none"/>
          <w:tab w:pos="10806" w:val="left" w:leader="none"/>
          <w:tab w:pos="11352" w:val="left" w:leader="none"/>
          <w:tab w:pos="12612" w:val="left" w:leader="none"/>
          <w:tab w:pos="13418" w:val="left" w:leader="none"/>
          <w:tab w:pos="14809" w:val="left" w:leader="none"/>
          <w:tab w:pos="15384" w:val="left" w:leader="none"/>
        </w:tabs>
        <w:spacing w:line="249" w:lineRule="auto" w:before="22" w:after="0"/>
        <w:ind w:left="1427" w:right="749" w:hanging="473"/>
        <w:jc w:val="left"/>
        <w:rPr>
          <w:sz w:val="42"/>
        </w:rPr>
      </w:pPr>
      <w:r>
        <w:rPr>
          <w:color w:val="1F497C"/>
          <w:sz w:val="42"/>
        </w:rPr>
        <w:t>Amendments</w:t>
        <w:tab/>
        <w:t>made</w:t>
        <w:tab/>
        <w:t>in</w:t>
        <w:tab/>
        <w:t>current</w:t>
        <w:tab/>
        <w:t>period</w:t>
        <w:tab/>
        <w:t>reflecting</w:t>
        <w:tab/>
        <w:t>in</w:t>
        <w:tab/>
        <w:t>2A</w:t>
      </w:r>
      <w:r>
        <w:rPr>
          <w:color w:val="1F497C"/>
          <w:spacing w:val="81"/>
          <w:sz w:val="42"/>
        </w:rPr>
        <w:t> </w:t>
      </w:r>
      <w:r>
        <w:rPr>
          <w:color w:val="1F497C"/>
          <w:sz w:val="42"/>
        </w:rPr>
        <w:t>in</w:t>
        <w:tab/>
        <w:t>the</w:t>
        <w:tab/>
        <w:t>period</w:t>
        <w:tab/>
        <w:t>of</w:t>
        <w:tab/>
      </w:r>
      <w:r>
        <w:rPr>
          <w:color w:val="1F497C"/>
          <w:spacing w:val="-7"/>
          <w:sz w:val="42"/>
        </w:rPr>
        <w:t>the </w:t>
      </w:r>
      <w:r>
        <w:rPr>
          <w:color w:val="1F497C"/>
          <w:sz w:val="42"/>
        </w:rPr>
        <w:t>invoice &amp; 2B in the month of the</w:t>
      </w:r>
      <w:r>
        <w:rPr>
          <w:color w:val="1F497C"/>
          <w:spacing w:val="11"/>
          <w:sz w:val="42"/>
        </w:rPr>
        <w:t> </w:t>
      </w:r>
      <w:r>
        <w:rPr>
          <w:color w:val="1F497C"/>
          <w:sz w:val="42"/>
        </w:rPr>
        <w:t>amendment</w:t>
      </w:r>
    </w:p>
    <w:p>
      <w:pPr>
        <w:pStyle w:val="ListParagraph"/>
        <w:numPr>
          <w:ilvl w:val="1"/>
          <w:numId w:val="5"/>
        </w:numPr>
        <w:tabs>
          <w:tab w:pos="1428" w:val="left" w:leader="none"/>
        </w:tabs>
        <w:spacing w:line="240" w:lineRule="auto" w:before="5" w:after="0"/>
        <w:ind w:left="1427" w:right="0" w:hanging="473"/>
        <w:jc w:val="left"/>
        <w:rPr>
          <w:sz w:val="42"/>
        </w:rPr>
      </w:pPr>
      <w:r>
        <w:rPr>
          <w:color w:val="1F497C"/>
          <w:spacing w:val="-3"/>
          <w:sz w:val="42"/>
        </w:rPr>
        <w:t>Timing</w:t>
      </w:r>
      <w:r>
        <w:rPr>
          <w:color w:val="1F497C"/>
          <w:spacing w:val="1"/>
          <w:sz w:val="42"/>
        </w:rPr>
        <w:t> </w:t>
      </w:r>
      <w:r>
        <w:rPr>
          <w:color w:val="1F497C"/>
          <w:sz w:val="42"/>
        </w:rPr>
        <w:t>differences</w:t>
      </w:r>
    </w:p>
    <w:p>
      <w:pPr>
        <w:spacing w:after="0" w:line="240" w:lineRule="auto"/>
        <w:jc w:val="left"/>
        <w:rPr>
          <w:sz w:val="42"/>
        </w:rPr>
        <w:sectPr>
          <w:pgSz w:w="16840" w:h="11910" w:orient="landscape"/>
          <w:pgMar w:top="1100" w:bottom="280" w:left="120" w:right="0"/>
        </w:sectPr>
      </w:pPr>
    </w:p>
    <w:p>
      <w:pPr>
        <w:pStyle w:val="BodyText"/>
        <w:spacing w:before="11"/>
        <w:rPr>
          <w:sz w:val="27"/>
        </w:rPr>
      </w:pPr>
      <w:r>
        <w:rPr/>
        <w:pict>
          <v:group style="position:absolute;margin-left:0pt;margin-top:60.840004pt;width:841.95pt;height:473.55pt;mso-position-horizontal-relative:page;mso-position-vertical-relative:page;z-index:-252195840"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5"/>
        <w:ind w:left="916" w:right="0" w:firstLine="0"/>
        <w:jc w:val="left"/>
        <w:rPr>
          <w:rFonts w:ascii="Calibri"/>
          <w:b/>
          <w:sz w:val="42"/>
        </w:rPr>
      </w:pPr>
      <w:r>
        <w:rPr>
          <w:rFonts w:ascii="Calibri"/>
          <w:b/>
          <w:color w:val="FF0000"/>
          <w:sz w:val="42"/>
        </w:rPr>
        <w:t>Registration Related Changes</w:t>
      </w:r>
    </w:p>
    <w:p>
      <w:pPr>
        <w:pStyle w:val="BodyText"/>
        <w:rPr>
          <w:rFonts w:ascii="Calibri"/>
          <w:b/>
          <w:sz w:val="20"/>
        </w:rPr>
      </w:pPr>
    </w:p>
    <w:p>
      <w:pPr>
        <w:pStyle w:val="Heading5"/>
        <w:spacing w:before="256"/>
        <w:rPr>
          <w:u w:val="none"/>
        </w:rPr>
      </w:pPr>
      <w:r>
        <w:rPr>
          <w:rFonts w:ascii="Times New Roman"/>
          <w:b w:val="0"/>
          <w:color w:val="366091"/>
          <w:spacing w:val="-95"/>
          <w:w w:val="101"/>
          <w:u w:val="thick" w:color="366091"/>
        </w:rPr>
        <w:t> </w:t>
      </w:r>
      <w:r>
        <w:rPr>
          <w:color w:val="366091"/>
          <w:u w:val="thick" w:color="366091"/>
        </w:rPr>
        <w:t>Rule 8</w:t>
      </w:r>
    </w:p>
    <w:p>
      <w:pPr>
        <w:pStyle w:val="BodyText"/>
        <w:rPr>
          <w:b/>
          <w:sz w:val="20"/>
        </w:rPr>
      </w:pPr>
    </w:p>
    <w:p>
      <w:pPr>
        <w:pStyle w:val="ListParagraph"/>
        <w:numPr>
          <w:ilvl w:val="0"/>
          <w:numId w:val="6"/>
        </w:numPr>
        <w:tabs>
          <w:tab w:pos="903" w:val="left" w:leader="none"/>
        </w:tabs>
        <w:spacing w:line="254" w:lineRule="auto" w:before="260" w:after="0"/>
        <w:ind w:left="902" w:right="747" w:hanging="473"/>
        <w:jc w:val="left"/>
        <w:rPr>
          <w:rFonts w:ascii="Wingdings" w:hAnsi="Wingdings"/>
          <w:color w:val="366091"/>
          <w:sz w:val="38"/>
        </w:rPr>
      </w:pPr>
      <w:r>
        <w:rPr>
          <w:color w:val="366091"/>
          <w:sz w:val="38"/>
        </w:rPr>
        <w:t>Introduction of Biometric based Aadhaar authentication and taking of Photograph for issue of new GST</w:t>
      </w:r>
      <w:r>
        <w:rPr>
          <w:color w:val="366091"/>
          <w:spacing w:val="-11"/>
          <w:sz w:val="38"/>
        </w:rPr>
        <w:t> </w:t>
      </w:r>
      <w:r>
        <w:rPr>
          <w:color w:val="366091"/>
          <w:sz w:val="38"/>
        </w:rPr>
        <w:t>Registration</w:t>
      </w:r>
    </w:p>
    <w:p>
      <w:pPr>
        <w:pStyle w:val="BodyText"/>
        <w:spacing w:before="3"/>
        <w:rPr>
          <w:sz w:val="40"/>
        </w:rPr>
      </w:pPr>
    </w:p>
    <w:p>
      <w:pPr>
        <w:pStyle w:val="ListParagraph"/>
        <w:numPr>
          <w:ilvl w:val="0"/>
          <w:numId w:val="6"/>
        </w:numPr>
        <w:tabs>
          <w:tab w:pos="903" w:val="left" w:leader="none"/>
        </w:tabs>
        <w:spacing w:line="240" w:lineRule="auto" w:before="0" w:after="0"/>
        <w:ind w:left="902" w:right="0" w:hanging="474"/>
        <w:jc w:val="left"/>
        <w:rPr>
          <w:rFonts w:ascii="Wingdings" w:hAnsi="Wingdings"/>
          <w:color w:val="366091"/>
          <w:sz w:val="38"/>
        </w:rPr>
      </w:pPr>
      <w:r>
        <w:rPr>
          <w:color w:val="366091"/>
          <w:sz w:val="38"/>
        </w:rPr>
        <w:t>Verification of original documents uploaded along with the registration</w:t>
      </w:r>
      <w:r>
        <w:rPr>
          <w:color w:val="366091"/>
          <w:spacing w:val="33"/>
          <w:sz w:val="38"/>
        </w:rPr>
        <w:t> </w:t>
      </w:r>
      <w:r>
        <w:rPr>
          <w:color w:val="366091"/>
          <w:sz w:val="38"/>
        </w:rPr>
        <w:t>application</w:t>
      </w:r>
    </w:p>
    <w:p>
      <w:pPr>
        <w:pStyle w:val="BodyText"/>
        <w:spacing w:before="4"/>
        <w:rPr>
          <w:sz w:val="42"/>
        </w:rPr>
      </w:pPr>
    </w:p>
    <w:p>
      <w:pPr>
        <w:pStyle w:val="Heading5"/>
        <w:rPr>
          <w:u w:val="none"/>
        </w:rPr>
      </w:pPr>
      <w:r>
        <w:rPr>
          <w:rFonts w:ascii="Times New Roman"/>
          <w:b w:val="0"/>
          <w:color w:val="366091"/>
          <w:spacing w:val="-95"/>
          <w:w w:val="101"/>
          <w:u w:val="thick" w:color="366091"/>
        </w:rPr>
        <w:t> </w:t>
      </w:r>
      <w:r>
        <w:rPr>
          <w:color w:val="366091"/>
          <w:u w:val="thick" w:color="366091"/>
        </w:rPr>
        <w:t>Rule 9</w:t>
      </w:r>
    </w:p>
    <w:p>
      <w:pPr>
        <w:pStyle w:val="BodyText"/>
        <w:rPr>
          <w:b/>
          <w:sz w:val="20"/>
        </w:rPr>
      </w:pPr>
    </w:p>
    <w:p>
      <w:pPr>
        <w:pStyle w:val="ListParagraph"/>
        <w:numPr>
          <w:ilvl w:val="0"/>
          <w:numId w:val="6"/>
        </w:numPr>
        <w:tabs>
          <w:tab w:pos="903" w:val="left" w:leader="none"/>
        </w:tabs>
        <w:spacing w:line="240" w:lineRule="auto" w:before="260" w:after="0"/>
        <w:ind w:left="902" w:right="0" w:hanging="474"/>
        <w:jc w:val="left"/>
        <w:rPr>
          <w:rFonts w:ascii="Wingdings" w:hAnsi="Wingdings"/>
          <w:color w:val="366091"/>
          <w:sz w:val="38"/>
        </w:rPr>
      </w:pPr>
      <w:r>
        <w:rPr>
          <w:color w:val="366091"/>
          <w:sz w:val="38"/>
        </w:rPr>
        <w:t>Increase in time for grant of new Registration from 3 days to 7</w:t>
      </w:r>
      <w:r>
        <w:rPr>
          <w:color w:val="366091"/>
          <w:spacing w:val="37"/>
          <w:sz w:val="38"/>
        </w:rPr>
        <w:t> </w:t>
      </w:r>
      <w:r>
        <w:rPr>
          <w:color w:val="366091"/>
          <w:sz w:val="38"/>
        </w:rPr>
        <w:t>days</w:t>
      </w:r>
    </w:p>
    <w:p>
      <w:pPr>
        <w:spacing w:after="0" w:line="240" w:lineRule="auto"/>
        <w:jc w:val="left"/>
        <w:rPr>
          <w:rFonts w:ascii="Wingdings" w:hAnsi="Wingdings"/>
          <w:sz w:val="38"/>
        </w:rPr>
        <w:sectPr>
          <w:pgSz w:w="16840" w:h="11910" w:orient="landscape"/>
          <w:pgMar w:top="1100" w:bottom="280" w:left="120" w:right="0"/>
        </w:sectPr>
      </w:pPr>
    </w:p>
    <w:p>
      <w:pPr>
        <w:pStyle w:val="BodyText"/>
        <w:spacing w:before="11"/>
        <w:rPr>
          <w:sz w:val="27"/>
        </w:rPr>
      </w:pPr>
      <w:r>
        <w:rPr/>
        <w:pict>
          <v:group style="position:absolute;margin-left:0pt;margin-top:60.840004pt;width:841.95pt;height:473.55pt;mso-position-horizontal-relative:page;mso-position-vertical-relative:page;z-index:-252194816"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before="15"/>
        <w:ind w:left="916" w:right="0" w:firstLine="0"/>
        <w:jc w:val="left"/>
        <w:rPr>
          <w:rFonts w:ascii="Calibri"/>
          <w:b/>
          <w:sz w:val="42"/>
        </w:rPr>
      </w:pPr>
      <w:r>
        <w:rPr>
          <w:rFonts w:ascii="Calibri"/>
          <w:b/>
          <w:color w:val="FF0000"/>
          <w:sz w:val="42"/>
        </w:rPr>
        <w:t>Rule 138(10)</w:t>
      </w:r>
    </w:p>
    <w:p>
      <w:pPr>
        <w:pStyle w:val="BodyText"/>
        <w:spacing w:before="1"/>
        <w:rPr>
          <w:rFonts w:ascii="Calibri"/>
          <w:b/>
          <w:sz w:val="41"/>
        </w:rPr>
      </w:pPr>
    </w:p>
    <w:p>
      <w:pPr>
        <w:spacing w:line="252" w:lineRule="auto" w:before="1"/>
        <w:ind w:left="429" w:right="741" w:firstLine="0"/>
        <w:jc w:val="both"/>
        <w:rPr>
          <w:sz w:val="56"/>
        </w:rPr>
      </w:pPr>
      <w:r>
        <w:rPr>
          <w:color w:val="366091"/>
          <w:spacing w:val="-6"/>
          <w:sz w:val="56"/>
        </w:rPr>
        <w:t>Validity </w:t>
      </w:r>
      <w:r>
        <w:rPr>
          <w:color w:val="366091"/>
          <w:sz w:val="56"/>
        </w:rPr>
        <w:t>of e-way bill reduced. E-way Bill shall remain valid for 1 day for distance upto 200 Kms and additional 1 day for every 200Kms or part thereof; </w:t>
      </w:r>
      <w:r>
        <w:rPr>
          <w:color w:val="366091"/>
          <w:spacing w:val="-6"/>
          <w:sz w:val="56"/>
        </w:rPr>
        <w:t>_w.e.f</w:t>
      </w:r>
      <w:r>
        <w:rPr>
          <w:color w:val="366091"/>
          <w:spacing w:val="-22"/>
          <w:sz w:val="56"/>
        </w:rPr>
        <w:t> </w:t>
      </w:r>
      <w:r>
        <w:rPr>
          <w:color w:val="366091"/>
          <w:sz w:val="56"/>
        </w:rPr>
        <w:t>01.01.2021</w:t>
      </w:r>
    </w:p>
    <w:p>
      <w:pPr>
        <w:pStyle w:val="BodyText"/>
        <w:spacing w:before="8"/>
        <w:rPr>
          <w:sz w:val="57"/>
        </w:rPr>
      </w:pPr>
    </w:p>
    <w:p>
      <w:pPr>
        <w:pStyle w:val="ListParagraph"/>
        <w:numPr>
          <w:ilvl w:val="0"/>
          <w:numId w:val="6"/>
        </w:numPr>
        <w:tabs>
          <w:tab w:pos="931" w:val="left" w:leader="none"/>
        </w:tabs>
        <w:spacing w:line="252" w:lineRule="auto" w:before="1" w:after="0"/>
        <w:ind w:left="902" w:right="741" w:hanging="473"/>
        <w:jc w:val="both"/>
        <w:rPr>
          <w:rFonts w:ascii="Wingdings" w:hAnsi="Wingdings"/>
          <w:color w:val="366091"/>
          <w:sz w:val="54"/>
        </w:rPr>
      </w:pPr>
      <w:r>
        <w:rPr>
          <w:color w:val="366091"/>
          <w:sz w:val="56"/>
        </w:rPr>
        <w:t>Impact – For Large </w:t>
      </w:r>
      <w:r>
        <w:rPr>
          <w:color w:val="366091"/>
          <w:spacing w:val="-5"/>
          <w:sz w:val="56"/>
        </w:rPr>
        <w:t>Vehicles </w:t>
      </w:r>
      <w:r>
        <w:rPr>
          <w:color w:val="366091"/>
          <w:sz w:val="56"/>
        </w:rPr>
        <w:t>it is difficult to cover 200 kms in one </w:t>
      </w:r>
      <w:r>
        <w:rPr>
          <w:color w:val="366091"/>
          <w:spacing w:val="-12"/>
          <w:sz w:val="56"/>
        </w:rPr>
        <w:t>day. </w:t>
      </w:r>
      <w:r>
        <w:rPr>
          <w:color w:val="366091"/>
          <w:sz w:val="56"/>
        </w:rPr>
        <w:t>Hence this amendment would create more request for extensions and more detentions</w:t>
      </w:r>
      <w:r>
        <w:rPr>
          <w:color w:val="366091"/>
          <w:spacing w:val="-23"/>
          <w:sz w:val="56"/>
        </w:rPr>
        <w:t> </w:t>
      </w:r>
      <w:r>
        <w:rPr>
          <w:color w:val="366091"/>
          <w:sz w:val="56"/>
        </w:rPr>
        <w:t>possibly</w:t>
      </w:r>
    </w:p>
    <w:p>
      <w:pPr>
        <w:spacing w:after="0" w:line="252" w:lineRule="auto"/>
        <w:jc w:val="both"/>
        <w:rPr>
          <w:rFonts w:ascii="Wingdings" w:hAnsi="Wingdings"/>
          <w:sz w:val="54"/>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93792"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BodyText"/>
        <w:spacing w:before="4"/>
        <w:rPr>
          <w:rFonts w:ascii="Calibri"/>
          <w:b/>
          <w:sz w:val="17"/>
        </w:rPr>
      </w:pPr>
    </w:p>
    <w:p>
      <w:pPr>
        <w:spacing w:before="84"/>
        <w:ind w:left="429" w:right="0" w:firstLine="0"/>
        <w:jc w:val="left"/>
        <w:rPr>
          <w:sz w:val="56"/>
        </w:rPr>
      </w:pPr>
      <w:r>
        <w:rPr>
          <w:color w:val="366091"/>
          <w:sz w:val="56"/>
        </w:rPr>
        <w:t>S 120. In </w:t>
      </w:r>
      <w:r>
        <w:rPr>
          <w:color w:val="366091"/>
          <w:spacing w:val="-281"/>
          <w:sz w:val="56"/>
          <w:u w:val="thick" w:color="366091"/>
        </w:rPr>
        <w:t>s</w:t>
      </w:r>
      <w:r>
        <w:rPr>
          <w:color w:val="366091"/>
          <w:spacing w:val="126"/>
          <w:sz w:val="56"/>
        </w:rPr>
        <w:t> </w:t>
      </w:r>
      <w:r>
        <w:rPr>
          <w:color w:val="366091"/>
          <w:sz w:val="56"/>
          <w:u w:val="thick" w:color="366091"/>
        </w:rPr>
        <w:t>ection 16</w:t>
      </w:r>
      <w:r>
        <w:rPr>
          <w:color w:val="366091"/>
          <w:sz w:val="56"/>
        </w:rPr>
        <w:t> of the Central Goods and Services </w:t>
      </w:r>
      <w:r>
        <w:rPr>
          <w:color w:val="366091"/>
          <w:spacing w:val="-21"/>
          <w:sz w:val="56"/>
        </w:rPr>
        <w:t>Tax </w:t>
      </w:r>
      <w:r>
        <w:rPr>
          <w:color w:val="366091"/>
          <w:sz w:val="56"/>
        </w:rPr>
        <w:t>Act,</w:t>
      </w:r>
    </w:p>
    <w:p>
      <w:pPr>
        <w:spacing w:line="249" w:lineRule="auto" w:before="30"/>
        <w:ind w:left="429" w:right="339" w:firstLine="0"/>
        <w:jc w:val="both"/>
        <w:rPr>
          <w:sz w:val="56"/>
        </w:rPr>
      </w:pPr>
      <w:r>
        <w:rPr>
          <w:color w:val="366091"/>
          <w:sz w:val="56"/>
        </w:rPr>
        <w:t>in sub-section (4), the words "invoice relating to such" shall be omitted.</w:t>
      </w:r>
    </w:p>
    <w:p>
      <w:pPr>
        <w:pStyle w:val="BodyText"/>
        <w:spacing w:before="1"/>
        <w:rPr>
          <w:sz w:val="59"/>
        </w:rPr>
      </w:pPr>
    </w:p>
    <w:p>
      <w:pPr>
        <w:spacing w:line="252" w:lineRule="auto" w:before="0"/>
        <w:ind w:left="429" w:right="338" w:firstLine="0"/>
        <w:jc w:val="both"/>
        <w:rPr>
          <w:sz w:val="56"/>
        </w:rPr>
      </w:pPr>
      <w:r>
        <w:rPr>
          <w:b/>
          <w:color w:val="366091"/>
          <w:sz w:val="56"/>
        </w:rPr>
        <w:t>Impact - </w:t>
      </w:r>
      <w:r>
        <w:rPr>
          <w:color w:val="366091"/>
          <w:sz w:val="56"/>
        </w:rPr>
        <w:t>Section 16(4) of </w:t>
      </w:r>
      <w:r>
        <w:rPr>
          <w:color w:val="366091"/>
          <w:spacing w:val="-3"/>
          <w:sz w:val="56"/>
        </w:rPr>
        <w:t>the </w:t>
      </w:r>
      <w:r>
        <w:rPr>
          <w:color w:val="366091"/>
          <w:sz w:val="56"/>
        </w:rPr>
        <w:t>CGST Act is amended to delink the date of issuance of debit note from the date of issuance of the underlying invoice for purposes of availing input tax credit. Hence input tax credit on debit notes will be available even if issued after 30th September of next Financial</w:t>
      </w:r>
      <w:r>
        <w:rPr>
          <w:color w:val="366091"/>
          <w:spacing w:val="-43"/>
          <w:sz w:val="56"/>
        </w:rPr>
        <w:t> </w:t>
      </w:r>
      <w:r>
        <w:rPr>
          <w:color w:val="366091"/>
          <w:spacing w:val="-17"/>
          <w:sz w:val="56"/>
        </w:rPr>
        <w:t>Year.</w:t>
      </w:r>
    </w:p>
    <w:p>
      <w:pPr>
        <w:spacing w:after="0" w:line="252" w:lineRule="auto"/>
        <w:jc w:val="both"/>
        <w:rPr>
          <w:sz w:val="56"/>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92768"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spacing w:line="252" w:lineRule="auto" w:before="294"/>
        <w:ind w:left="429" w:right="742" w:firstLine="0"/>
        <w:jc w:val="both"/>
        <w:rPr>
          <w:sz w:val="49"/>
        </w:rPr>
      </w:pPr>
      <w:r>
        <w:rPr>
          <w:color w:val="366091"/>
          <w:sz w:val="49"/>
        </w:rPr>
        <w:t>S 119. In</w:t>
      </w:r>
      <w:r>
        <w:rPr>
          <w:color w:val="366091"/>
          <w:sz w:val="49"/>
          <w:u w:val="thick" w:color="366091"/>
        </w:rPr>
        <w:t> section 10</w:t>
      </w:r>
      <w:r>
        <w:rPr>
          <w:color w:val="366091"/>
          <w:sz w:val="49"/>
        </w:rPr>
        <w:t> of the Central Goods and Services Tax Act, in sub- section (2), in clauses (b), (c) and (d), after the words "of goods", the words "or services" shall be inserted.</w:t>
      </w:r>
    </w:p>
    <w:p>
      <w:pPr>
        <w:pStyle w:val="BodyText"/>
        <w:spacing w:before="11"/>
        <w:rPr>
          <w:sz w:val="63"/>
        </w:rPr>
      </w:pPr>
    </w:p>
    <w:p>
      <w:pPr>
        <w:spacing w:line="288" w:lineRule="auto" w:before="0"/>
        <w:ind w:left="429" w:right="842" w:firstLine="0"/>
        <w:jc w:val="both"/>
        <w:rPr>
          <w:sz w:val="49"/>
        </w:rPr>
      </w:pPr>
      <w:r>
        <w:rPr>
          <w:b/>
          <w:color w:val="366091"/>
          <w:sz w:val="49"/>
        </w:rPr>
        <w:t>Impact - </w:t>
      </w:r>
      <w:r>
        <w:rPr>
          <w:color w:val="366091"/>
          <w:sz w:val="49"/>
        </w:rPr>
        <w:t>Section 10 of the CGST Act is being amended, </w:t>
      </w:r>
      <w:r>
        <w:rPr>
          <w:color w:val="366091"/>
          <w:spacing w:val="-3"/>
          <w:sz w:val="49"/>
        </w:rPr>
        <w:t>so </w:t>
      </w:r>
      <w:r>
        <w:rPr>
          <w:color w:val="366091"/>
          <w:sz w:val="49"/>
        </w:rPr>
        <w:t>as to exclude from the ambit of the Composition scheme certain categories of taxable persons, engaged in</w:t>
      </w:r>
      <w:r>
        <w:rPr>
          <w:color w:val="366091"/>
          <w:spacing w:val="-1"/>
          <w:sz w:val="49"/>
        </w:rPr>
        <w:t> </w:t>
      </w:r>
      <w:r>
        <w:rPr>
          <w:color w:val="366091"/>
          <w:sz w:val="49"/>
        </w:rPr>
        <w:t>making-</w:t>
      </w:r>
    </w:p>
    <w:p>
      <w:pPr>
        <w:pStyle w:val="ListParagraph"/>
        <w:numPr>
          <w:ilvl w:val="0"/>
          <w:numId w:val="7"/>
        </w:numPr>
        <w:tabs>
          <w:tab w:pos="1006" w:val="left" w:leader="none"/>
        </w:tabs>
        <w:spacing w:line="240" w:lineRule="auto" w:before="127" w:after="0"/>
        <w:ind w:left="1005" w:right="0" w:hanging="577"/>
        <w:jc w:val="left"/>
        <w:rPr>
          <w:sz w:val="49"/>
        </w:rPr>
      </w:pPr>
      <w:r>
        <w:rPr>
          <w:color w:val="366091"/>
          <w:sz w:val="49"/>
        </w:rPr>
        <w:t>supply of services not leviable to tax under the CGST Act,</w:t>
      </w:r>
      <w:r>
        <w:rPr>
          <w:color w:val="366091"/>
          <w:spacing w:val="-53"/>
          <w:sz w:val="49"/>
        </w:rPr>
        <w:t> </w:t>
      </w:r>
      <w:r>
        <w:rPr>
          <w:color w:val="366091"/>
          <w:sz w:val="49"/>
        </w:rPr>
        <w:t>or</w:t>
      </w:r>
    </w:p>
    <w:p>
      <w:pPr>
        <w:pStyle w:val="ListParagraph"/>
        <w:numPr>
          <w:ilvl w:val="0"/>
          <w:numId w:val="7"/>
        </w:numPr>
        <w:tabs>
          <w:tab w:pos="1114" w:val="left" w:leader="none"/>
        </w:tabs>
        <w:spacing w:line="240" w:lineRule="auto" w:before="235" w:after="0"/>
        <w:ind w:left="1113" w:right="0" w:hanging="685"/>
        <w:jc w:val="left"/>
        <w:rPr>
          <w:sz w:val="49"/>
        </w:rPr>
      </w:pPr>
      <w:r>
        <w:rPr>
          <w:color w:val="366091"/>
          <w:sz w:val="49"/>
        </w:rPr>
        <w:t>inter-State outward supply of services,</w:t>
      </w:r>
      <w:r>
        <w:rPr>
          <w:color w:val="366091"/>
          <w:spacing w:val="-17"/>
          <w:sz w:val="49"/>
        </w:rPr>
        <w:t> </w:t>
      </w:r>
      <w:r>
        <w:rPr>
          <w:color w:val="366091"/>
          <w:sz w:val="49"/>
        </w:rPr>
        <w:t>or</w:t>
      </w:r>
    </w:p>
    <w:p>
      <w:pPr>
        <w:pStyle w:val="ListParagraph"/>
        <w:numPr>
          <w:ilvl w:val="0"/>
          <w:numId w:val="7"/>
        </w:numPr>
        <w:tabs>
          <w:tab w:pos="1222" w:val="left" w:leader="none"/>
        </w:tabs>
        <w:spacing w:line="240" w:lineRule="auto" w:before="238" w:after="0"/>
        <w:ind w:left="1221" w:right="0" w:hanging="793"/>
        <w:jc w:val="left"/>
        <w:rPr>
          <w:sz w:val="49"/>
        </w:rPr>
      </w:pPr>
      <w:r>
        <w:rPr>
          <w:color w:val="366091"/>
          <w:sz w:val="49"/>
        </w:rPr>
        <w:t>outward supply of services through an eCommerce</w:t>
      </w:r>
      <w:r>
        <w:rPr>
          <w:color w:val="366091"/>
          <w:spacing w:val="8"/>
          <w:sz w:val="49"/>
        </w:rPr>
        <w:t> </w:t>
      </w:r>
      <w:r>
        <w:rPr>
          <w:color w:val="366091"/>
          <w:spacing w:val="-4"/>
          <w:sz w:val="49"/>
        </w:rPr>
        <w:t>operator.</w:t>
      </w:r>
    </w:p>
    <w:p>
      <w:pPr>
        <w:spacing w:after="0" w:line="240" w:lineRule="auto"/>
        <w:jc w:val="left"/>
        <w:rPr>
          <w:sz w:val="49"/>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91744"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ListParagraph"/>
        <w:numPr>
          <w:ilvl w:val="1"/>
          <w:numId w:val="2"/>
        </w:numPr>
        <w:tabs>
          <w:tab w:pos="1557" w:val="left" w:leader="none"/>
        </w:tabs>
        <w:spacing w:line="288" w:lineRule="auto" w:before="222" w:after="0"/>
        <w:ind w:left="429" w:right="843" w:firstLine="0"/>
        <w:jc w:val="both"/>
        <w:rPr>
          <w:color w:val="366091"/>
          <w:sz w:val="49"/>
        </w:rPr>
      </w:pPr>
      <w:r>
        <w:rPr>
          <w:color w:val="366091"/>
          <w:sz w:val="49"/>
        </w:rPr>
        <w:t>In</w:t>
      </w:r>
      <w:r>
        <w:rPr>
          <w:color w:val="366091"/>
          <w:sz w:val="49"/>
          <w:u w:val="thick" w:color="366091"/>
        </w:rPr>
        <w:t> section 29</w:t>
      </w:r>
      <w:r>
        <w:rPr>
          <w:color w:val="366091"/>
          <w:sz w:val="49"/>
        </w:rPr>
        <w:t> of the Central Goods </w:t>
      </w:r>
      <w:r>
        <w:rPr>
          <w:color w:val="366091"/>
          <w:spacing w:val="-3"/>
          <w:sz w:val="49"/>
        </w:rPr>
        <w:t>and </w:t>
      </w:r>
      <w:r>
        <w:rPr>
          <w:color w:val="366091"/>
          <w:sz w:val="49"/>
        </w:rPr>
        <w:t>Services </w:t>
      </w:r>
      <w:r>
        <w:rPr>
          <w:color w:val="366091"/>
          <w:spacing w:val="-20"/>
          <w:sz w:val="49"/>
        </w:rPr>
        <w:t>Tax </w:t>
      </w:r>
      <w:r>
        <w:rPr>
          <w:color w:val="366091"/>
          <w:sz w:val="49"/>
        </w:rPr>
        <w:t>Act, in sub- section (1), for clause (c), the following clause shall be substituted, namely:-</w:t>
      </w:r>
    </w:p>
    <w:p>
      <w:pPr>
        <w:pStyle w:val="BodyText"/>
        <w:spacing w:before="2"/>
        <w:rPr>
          <w:sz w:val="72"/>
        </w:rPr>
      </w:pPr>
    </w:p>
    <w:p>
      <w:pPr>
        <w:spacing w:line="288" w:lineRule="auto" w:before="0"/>
        <w:ind w:left="429" w:right="844" w:firstLine="0"/>
        <w:jc w:val="both"/>
        <w:rPr>
          <w:sz w:val="49"/>
        </w:rPr>
      </w:pPr>
      <w:r>
        <w:rPr>
          <w:color w:val="366091"/>
          <w:sz w:val="49"/>
        </w:rPr>
        <w:t>"(c) the taxable person is no longer liable to be registered under section 22 or section 24 or intends to optout of the registration voluntarily made under sub-section </w:t>
      </w:r>
      <w:r>
        <w:rPr>
          <w:color w:val="366091"/>
          <w:spacing w:val="-2"/>
          <w:sz w:val="49"/>
        </w:rPr>
        <w:t>(3) </w:t>
      </w:r>
      <w:r>
        <w:rPr>
          <w:color w:val="366091"/>
          <w:sz w:val="49"/>
        </w:rPr>
        <w:t>of section</w:t>
      </w:r>
      <w:r>
        <w:rPr>
          <w:color w:val="366091"/>
          <w:spacing w:val="4"/>
          <w:sz w:val="49"/>
        </w:rPr>
        <w:t> </w:t>
      </w:r>
      <w:r>
        <w:rPr>
          <w:color w:val="366091"/>
          <w:sz w:val="49"/>
        </w:rPr>
        <w:t>25:".</w:t>
      </w:r>
    </w:p>
    <w:p>
      <w:pPr>
        <w:pStyle w:val="BodyText"/>
        <w:spacing w:before="10"/>
        <w:rPr>
          <w:sz w:val="69"/>
        </w:rPr>
      </w:pPr>
    </w:p>
    <w:p>
      <w:pPr>
        <w:spacing w:line="288" w:lineRule="auto" w:before="0"/>
        <w:ind w:left="429" w:right="841" w:firstLine="0"/>
        <w:jc w:val="both"/>
        <w:rPr>
          <w:sz w:val="49"/>
        </w:rPr>
      </w:pPr>
      <w:r>
        <w:rPr>
          <w:b/>
          <w:color w:val="366091"/>
          <w:sz w:val="49"/>
        </w:rPr>
        <w:t>Impact - </w:t>
      </w:r>
      <w:r>
        <w:rPr>
          <w:color w:val="366091"/>
          <w:sz w:val="49"/>
        </w:rPr>
        <w:t>Section 29(1)(c) of the CGST Act is being amended to provide for cancellation of registration which has been obtained voluntarily under Section</w:t>
      </w:r>
      <w:r>
        <w:rPr>
          <w:color w:val="366091"/>
          <w:spacing w:val="-6"/>
          <w:sz w:val="49"/>
        </w:rPr>
        <w:t> </w:t>
      </w:r>
      <w:r>
        <w:rPr>
          <w:color w:val="366091"/>
          <w:sz w:val="49"/>
        </w:rPr>
        <w:t>25(3).</w:t>
      </w:r>
    </w:p>
    <w:p>
      <w:pPr>
        <w:spacing w:after="0" w:line="288" w:lineRule="auto"/>
        <w:jc w:val="both"/>
        <w:rPr>
          <w:sz w:val="49"/>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90720"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ListParagraph"/>
        <w:numPr>
          <w:ilvl w:val="1"/>
          <w:numId w:val="2"/>
        </w:numPr>
        <w:tabs>
          <w:tab w:pos="1400" w:val="left" w:leader="none"/>
        </w:tabs>
        <w:spacing w:line="288" w:lineRule="auto" w:before="316" w:after="0"/>
        <w:ind w:left="429" w:right="844" w:firstLine="0"/>
        <w:jc w:val="left"/>
        <w:rPr>
          <w:color w:val="366091"/>
          <w:sz w:val="42"/>
        </w:rPr>
      </w:pPr>
      <w:r>
        <w:rPr>
          <w:color w:val="366091"/>
          <w:sz w:val="42"/>
        </w:rPr>
        <w:t>In</w:t>
      </w:r>
      <w:r>
        <w:rPr>
          <w:color w:val="366091"/>
          <w:sz w:val="42"/>
          <w:u w:val="thick" w:color="366091"/>
        </w:rPr>
        <w:t> section 30</w:t>
      </w:r>
      <w:r>
        <w:rPr>
          <w:color w:val="366091"/>
          <w:sz w:val="42"/>
        </w:rPr>
        <w:t> of the Central Goods and Services </w:t>
      </w:r>
      <w:r>
        <w:rPr>
          <w:color w:val="366091"/>
          <w:spacing w:val="-16"/>
          <w:sz w:val="42"/>
        </w:rPr>
        <w:t>Tax </w:t>
      </w:r>
      <w:r>
        <w:rPr>
          <w:color w:val="366091"/>
          <w:sz w:val="42"/>
        </w:rPr>
        <w:t>Act, in sub-section (1), for the proviso, the following proviso shall be substituted,</w:t>
      </w:r>
      <w:r>
        <w:rPr>
          <w:color w:val="366091"/>
          <w:spacing w:val="19"/>
          <w:sz w:val="42"/>
        </w:rPr>
        <w:t> </w:t>
      </w:r>
      <w:r>
        <w:rPr>
          <w:color w:val="366091"/>
          <w:sz w:val="42"/>
        </w:rPr>
        <w:t>namely:-</w:t>
      </w:r>
    </w:p>
    <w:p>
      <w:pPr>
        <w:spacing w:line="288" w:lineRule="auto" w:before="127"/>
        <w:ind w:left="429" w:right="855" w:firstLine="0"/>
        <w:jc w:val="left"/>
        <w:rPr>
          <w:sz w:val="42"/>
        </w:rPr>
      </w:pPr>
      <w:r>
        <w:rPr>
          <w:color w:val="366091"/>
          <w:sz w:val="42"/>
        </w:rPr>
        <w:t>"Provided that such period may, on sufficient cause being shown, and for reasons to be recorded in writing, be extended,-</w:t>
      </w:r>
    </w:p>
    <w:p>
      <w:pPr>
        <w:pStyle w:val="ListParagraph"/>
        <w:numPr>
          <w:ilvl w:val="0"/>
          <w:numId w:val="8"/>
        </w:numPr>
        <w:tabs>
          <w:tab w:pos="1110" w:val="left" w:leader="none"/>
        </w:tabs>
        <w:spacing w:line="288" w:lineRule="auto" w:before="125" w:after="0"/>
        <w:ind w:left="429" w:right="847" w:firstLine="0"/>
        <w:jc w:val="left"/>
        <w:rPr>
          <w:sz w:val="42"/>
        </w:rPr>
      </w:pPr>
      <w:r>
        <w:rPr>
          <w:color w:val="366091"/>
          <w:sz w:val="42"/>
        </w:rPr>
        <w:t>by the Additional Commissioner or the Joint Commissioner, as the case may be, for a period not exceeding thirty</w:t>
      </w:r>
      <w:r>
        <w:rPr>
          <w:color w:val="366091"/>
          <w:spacing w:val="16"/>
          <w:sz w:val="42"/>
        </w:rPr>
        <w:t> </w:t>
      </w:r>
      <w:r>
        <w:rPr>
          <w:color w:val="366091"/>
          <w:sz w:val="42"/>
        </w:rPr>
        <w:t>days;</w:t>
      </w:r>
    </w:p>
    <w:p>
      <w:pPr>
        <w:pStyle w:val="ListParagraph"/>
        <w:numPr>
          <w:ilvl w:val="0"/>
          <w:numId w:val="8"/>
        </w:numPr>
        <w:tabs>
          <w:tab w:pos="1068" w:val="left" w:leader="none"/>
        </w:tabs>
        <w:spacing w:line="288" w:lineRule="auto" w:before="125" w:after="0"/>
        <w:ind w:left="429" w:right="845" w:firstLine="0"/>
        <w:jc w:val="left"/>
        <w:rPr>
          <w:sz w:val="42"/>
        </w:rPr>
      </w:pPr>
      <w:r>
        <w:rPr>
          <w:color w:val="366091"/>
          <w:sz w:val="42"/>
        </w:rPr>
        <w:t>by the Commissioner, for a further period not exceeding thirty days, beyond the period specified in clause</w:t>
      </w:r>
      <w:r>
        <w:rPr>
          <w:color w:val="366091"/>
          <w:spacing w:val="11"/>
          <w:sz w:val="42"/>
        </w:rPr>
        <w:t> </w:t>
      </w:r>
      <w:r>
        <w:rPr>
          <w:color w:val="366091"/>
          <w:sz w:val="42"/>
        </w:rPr>
        <w:t>(a).".</w:t>
      </w:r>
    </w:p>
    <w:p>
      <w:pPr>
        <w:pStyle w:val="BodyText"/>
        <w:spacing w:before="4"/>
        <w:rPr>
          <w:sz w:val="61"/>
        </w:rPr>
      </w:pPr>
    </w:p>
    <w:p>
      <w:pPr>
        <w:spacing w:line="288" w:lineRule="auto" w:before="0"/>
        <w:ind w:left="429" w:right="844" w:firstLine="0"/>
        <w:jc w:val="both"/>
        <w:rPr>
          <w:sz w:val="42"/>
        </w:rPr>
      </w:pPr>
      <w:r>
        <w:rPr>
          <w:b/>
          <w:color w:val="366091"/>
          <w:sz w:val="42"/>
        </w:rPr>
        <w:t>Impact - </w:t>
      </w:r>
      <w:r>
        <w:rPr>
          <w:color w:val="366091"/>
          <w:sz w:val="42"/>
        </w:rPr>
        <w:t>A proviso to Section 30(1) of the CGST Act is being inserted to empower the jurisdictional tax authorities to extend the date for application of revocation of cancellation of registration in deserving cases.</w:t>
      </w:r>
    </w:p>
    <w:p>
      <w:pPr>
        <w:spacing w:after="0" w:line="288" w:lineRule="auto"/>
        <w:jc w:val="both"/>
        <w:rPr>
          <w:sz w:val="42"/>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89696"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ListParagraph"/>
        <w:numPr>
          <w:ilvl w:val="1"/>
          <w:numId w:val="2"/>
        </w:numPr>
        <w:tabs>
          <w:tab w:pos="1326" w:val="left" w:leader="none"/>
        </w:tabs>
        <w:spacing w:line="295" w:lineRule="auto" w:before="320" w:after="0"/>
        <w:ind w:left="429" w:right="843" w:firstLine="0"/>
        <w:jc w:val="left"/>
        <w:rPr>
          <w:color w:val="366091"/>
          <w:sz w:val="36"/>
        </w:rPr>
      </w:pPr>
      <w:r>
        <w:rPr>
          <w:color w:val="366091"/>
          <w:sz w:val="36"/>
        </w:rPr>
        <w:t>In</w:t>
      </w:r>
      <w:r>
        <w:rPr>
          <w:color w:val="366091"/>
          <w:sz w:val="36"/>
          <w:u w:val="thick" w:color="366091"/>
        </w:rPr>
        <w:t> section 31</w:t>
      </w:r>
      <w:r>
        <w:rPr>
          <w:color w:val="366091"/>
          <w:sz w:val="36"/>
        </w:rPr>
        <w:t> of the Central Goods and Services </w:t>
      </w:r>
      <w:r>
        <w:rPr>
          <w:color w:val="366091"/>
          <w:spacing w:val="-14"/>
          <w:sz w:val="36"/>
        </w:rPr>
        <w:t>Tax </w:t>
      </w:r>
      <w:r>
        <w:rPr>
          <w:color w:val="366091"/>
          <w:sz w:val="36"/>
        </w:rPr>
        <w:t>Act, in sub-section (2), for  the  proviso, the following proviso shall be substituted,</w:t>
      </w:r>
      <w:r>
        <w:rPr>
          <w:color w:val="366091"/>
          <w:spacing w:val="28"/>
          <w:sz w:val="36"/>
        </w:rPr>
        <w:t> </w:t>
      </w:r>
      <w:r>
        <w:rPr>
          <w:color w:val="366091"/>
          <w:sz w:val="36"/>
        </w:rPr>
        <w:t>namely:-</w:t>
      </w:r>
    </w:p>
    <w:p>
      <w:pPr>
        <w:spacing w:before="119"/>
        <w:ind w:left="429" w:right="0" w:firstLine="0"/>
        <w:jc w:val="left"/>
        <w:rPr>
          <w:sz w:val="36"/>
        </w:rPr>
      </w:pPr>
      <w:r>
        <w:rPr>
          <w:color w:val="366091"/>
          <w:sz w:val="36"/>
        </w:rPr>
        <w:t>"Provided that the Government may, on the recommendations of the Council, by notification,-</w:t>
      </w:r>
    </w:p>
    <w:p>
      <w:pPr>
        <w:pStyle w:val="ListParagraph"/>
        <w:numPr>
          <w:ilvl w:val="0"/>
          <w:numId w:val="9"/>
        </w:numPr>
        <w:tabs>
          <w:tab w:pos="1040" w:val="left" w:leader="none"/>
        </w:tabs>
        <w:spacing w:line="295" w:lineRule="auto" w:before="217" w:after="0"/>
        <w:ind w:left="429" w:right="843" w:firstLine="0"/>
        <w:jc w:val="left"/>
        <w:rPr>
          <w:sz w:val="36"/>
        </w:rPr>
      </w:pPr>
      <w:r>
        <w:rPr>
          <w:color w:val="366091"/>
          <w:sz w:val="36"/>
        </w:rPr>
        <w:t>specify the categories of services or supplies in respect of which a tax invoice shall be issued, within such time and in such manner as may be</w:t>
      </w:r>
      <w:r>
        <w:rPr>
          <w:color w:val="366091"/>
          <w:spacing w:val="64"/>
          <w:sz w:val="36"/>
        </w:rPr>
        <w:t> </w:t>
      </w:r>
      <w:r>
        <w:rPr>
          <w:color w:val="366091"/>
          <w:sz w:val="36"/>
        </w:rPr>
        <w:t>prescribed;</w:t>
      </w:r>
    </w:p>
    <w:p>
      <w:pPr>
        <w:pStyle w:val="ListParagraph"/>
        <w:numPr>
          <w:ilvl w:val="0"/>
          <w:numId w:val="9"/>
        </w:numPr>
        <w:tabs>
          <w:tab w:pos="1010" w:val="left" w:leader="none"/>
        </w:tabs>
        <w:spacing w:line="292" w:lineRule="auto" w:before="122" w:after="0"/>
        <w:ind w:left="429" w:right="843" w:firstLine="0"/>
        <w:jc w:val="left"/>
        <w:rPr>
          <w:sz w:val="36"/>
        </w:rPr>
      </w:pPr>
      <w:r>
        <w:rPr>
          <w:color w:val="366091"/>
          <w:sz w:val="36"/>
        </w:rPr>
        <w:t>subject to the condition mentioned therein, specify the categories of services in respect of which-</w:t>
      </w:r>
    </w:p>
    <w:p>
      <w:pPr>
        <w:pStyle w:val="ListParagraph"/>
        <w:numPr>
          <w:ilvl w:val="0"/>
          <w:numId w:val="10"/>
        </w:numPr>
        <w:tabs>
          <w:tab w:pos="860" w:val="left" w:leader="none"/>
        </w:tabs>
        <w:spacing w:line="240" w:lineRule="auto" w:before="127" w:after="0"/>
        <w:ind w:left="859" w:right="0" w:hanging="431"/>
        <w:jc w:val="left"/>
        <w:rPr>
          <w:sz w:val="36"/>
        </w:rPr>
      </w:pPr>
      <w:r>
        <w:rPr>
          <w:color w:val="366091"/>
          <w:sz w:val="36"/>
        </w:rPr>
        <w:t>any</w:t>
      </w:r>
      <w:r>
        <w:rPr>
          <w:color w:val="366091"/>
          <w:spacing w:val="10"/>
          <w:sz w:val="36"/>
        </w:rPr>
        <w:t> </w:t>
      </w:r>
      <w:r>
        <w:rPr>
          <w:color w:val="366091"/>
          <w:sz w:val="36"/>
        </w:rPr>
        <w:t>other</w:t>
      </w:r>
      <w:r>
        <w:rPr>
          <w:color w:val="366091"/>
          <w:spacing w:val="9"/>
          <w:sz w:val="36"/>
        </w:rPr>
        <w:t> </w:t>
      </w:r>
      <w:r>
        <w:rPr>
          <w:color w:val="366091"/>
          <w:sz w:val="36"/>
        </w:rPr>
        <w:t>document</w:t>
      </w:r>
      <w:r>
        <w:rPr>
          <w:color w:val="366091"/>
          <w:spacing w:val="11"/>
          <w:sz w:val="36"/>
        </w:rPr>
        <w:t> </w:t>
      </w:r>
      <w:r>
        <w:rPr>
          <w:color w:val="366091"/>
          <w:sz w:val="36"/>
        </w:rPr>
        <w:t>issued</w:t>
      </w:r>
      <w:r>
        <w:rPr>
          <w:color w:val="366091"/>
          <w:spacing w:val="8"/>
          <w:sz w:val="36"/>
        </w:rPr>
        <w:t> </w:t>
      </w:r>
      <w:r>
        <w:rPr>
          <w:color w:val="366091"/>
          <w:sz w:val="36"/>
        </w:rPr>
        <w:t>in</w:t>
      </w:r>
      <w:r>
        <w:rPr>
          <w:color w:val="366091"/>
          <w:spacing w:val="8"/>
          <w:sz w:val="36"/>
        </w:rPr>
        <w:t> </w:t>
      </w:r>
      <w:r>
        <w:rPr>
          <w:color w:val="366091"/>
          <w:sz w:val="36"/>
        </w:rPr>
        <w:t>relation</w:t>
      </w:r>
      <w:r>
        <w:rPr>
          <w:color w:val="366091"/>
          <w:spacing w:val="8"/>
          <w:sz w:val="36"/>
        </w:rPr>
        <w:t> </w:t>
      </w:r>
      <w:r>
        <w:rPr>
          <w:color w:val="366091"/>
          <w:sz w:val="36"/>
        </w:rPr>
        <w:t>to</w:t>
      </w:r>
      <w:r>
        <w:rPr>
          <w:color w:val="366091"/>
          <w:spacing w:val="12"/>
          <w:sz w:val="36"/>
        </w:rPr>
        <w:t> </w:t>
      </w:r>
      <w:r>
        <w:rPr>
          <w:color w:val="366091"/>
          <w:sz w:val="36"/>
        </w:rPr>
        <w:t>the</w:t>
      </w:r>
      <w:r>
        <w:rPr>
          <w:color w:val="366091"/>
          <w:spacing w:val="12"/>
          <w:sz w:val="36"/>
        </w:rPr>
        <w:t> </w:t>
      </w:r>
      <w:r>
        <w:rPr>
          <w:color w:val="366091"/>
          <w:sz w:val="36"/>
        </w:rPr>
        <w:t>supply</w:t>
      </w:r>
      <w:r>
        <w:rPr>
          <w:color w:val="366091"/>
          <w:spacing w:val="7"/>
          <w:sz w:val="36"/>
        </w:rPr>
        <w:t> </w:t>
      </w:r>
      <w:r>
        <w:rPr>
          <w:color w:val="366091"/>
          <w:sz w:val="36"/>
        </w:rPr>
        <w:t>shall</w:t>
      </w:r>
      <w:r>
        <w:rPr>
          <w:color w:val="366091"/>
          <w:spacing w:val="10"/>
          <w:sz w:val="36"/>
        </w:rPr>
        <w:t> </w:t>
      </w:r>
      <w:r>
        <w:rPr>
          <w:color w:val="366091"/>
          <w:sz w:val="36"/>
        </w:rPr>
        <w:t>be</w:t>
      </w:r>
      <w:r>
        <w:rPr>
          <w:color w:val="366091"/>
          <w:spacing w:val="12"/>
          <w:sz w:val="36"/>
        </w:rPr>
        <w:t> </w:t>
      </w:r>
      <w:r>
        <w:rPr>
          <w:color w:val="366091"/>
          <w:sz w:val="36"/>
        </w:rPr>
        <w:t>deemed</w:t>
      </w:r>
      <w:r>
        <w:rPr>
          <w:color w:val="366091"/>
          <w:spacing w:val="12"/>
          <w:sz w:val="36"/>
        </w:rPr>
        <w:t> </w:t>
      </w:r>
      <w:r>
        <w:rPr>
          <w:color w:val="366091"/>
          <w:sz w:val="36"/>
        </w:rPr>
        <w:t>to</w:t>
      </w:r>
      <w:r>
        <w:rPr>
          <w:color w:val="366091"/>
          <w:spacing w:val="8"/>
          <w:sz w:val="36"/>
        </w:rPr>
        <w:t> </w:t>
      </w:r>
      <w:r>
        <w:rPr>
          <w:color w:val="366091"/>
          <w:sz w:val="36"/>
        </w:rPr>
        <w:t>be</w:t>
      </w:r>
      <w:r>
        <w:rPr>
          <w:color w:val="366091"/>
          <w:spacing w:val="13"/>
          <w:sz w:val="36"/>
        </w:rPr>
        <w:t> </w:t>
      </w:r>
      <w:r>
        <w:rPr>
          <w:color w:val="366091"/>
          <w:sz w:val="36"/>
        </w:rPr>
        <w:t>a</w:t>
      </w:r>
      <w:r>
        <w:rPr>
          <w:color w:val="366091"/>
          <w:spacing w:val="7"/>
          <w:sz w:val="36"/>
        </w:rPr>
        <w:t> </w:t>
      </w:r>
      <w:r>
        <w:rPr>
          <w:color w:val="366091"/>
          <w:sz w:val="36"/>
        </w:rPr>
        <w:t>tax</w:t>
      </w:r>
      <w:r>
        <w:rPr>
          <w:color w:val="366091"/>
          <w:spacing w:val="11"/>
          <w:sz w:val="36"/>
        </w:rPr>
        <w:t> </w:t>
      </w:r>
      <w:r>
        <w:rPr>
          <w:color w:val="366091"/>
          <w:sz w:val="36"/>
        </w:rPr>
        <w:t>invoice;</w:t>
      </w:r>
      <w:r>
        <w:rPr>
          <w:color w:val="366091"/>
          <w:spacing w:val="6"/>
          <w:sz w:val="36"/>
        </w:rPr>
        <w:t> </w:t>
      </w:r>
      <w:r>
        <w:rPr>
          <w:color w:val="366091"/>
          <w:sz w:val="36"/>
        </w:rPr>
        <w:t>or</w:t>
      </w:r>
    </w:p>
    <w:p>
      <w:pPr>
        <w:pStyle w:val="ListParagraph"/>
        <w:numPr>
          <w:ilvl w:val="0"/>
          <w:numId w:val="10"/>
        </w:numPr>
        <w:tabs>
          <w:tab w:pos="940" w:val="left" w:leader="none"/>
        </w:tabs>
        <w:spacing w:line="240" w:lineRule="auto" w:before="218" w:after="0"/>
        <w:ind w:left="939" w:right="0" w:hanging="511"/>
        <w:jc w:val="left"/>
        <w:rPr>
          <w:sz w:val="36"/>
        </w:rPr>
      </w:pPr>
      <w:r>
        <w:rPr>
          <w:color w:val="366091"/>
          <w:sz w:val="36"/>
        </w:rPr>
        <w:t>tax invoice may not be</w:t>
      </w:r>
      <w:r>
        <w:rPr>
          <w:color w:val="366091"/>
          <w:spacing w:val="14"/>
          <w:sz w:val="36"/>
        </w:rPr>
        <w:t> </w:t>
      </w:r>
      <w:r>
        <w:rPr>
          <w:color w:val="366091"/>
          <w:sz w:val="36"/>
        </w:rPr>
        <w:t>issued.".</w:t>
      </w:r>
    </w:p>
    <w:p>
      <w:pPr>
        <w:pStyle w:val="BodyText"/>
        <w:rPr>
          <w:sz w:val="40"/>
        </w:rPr>
      </w:pPr>
    </w:p>
    <w:p>
      <w:pPr>
        <w:spacing w:line="295" w:lineRule="auto" w:before="266"/>
        <w:ind w:left="429" w:right="841" w:firstLine="0"/>
        <w:jc w:val="both"/>
        <w:rPr>
          <w:sz w:val="36"/>
        </w:rPr>
      </w:pPr>
      <w:r>
        <w:rPr>
          <w:b/>
          <w:color w:val="366091"/>
          <w:sz w:val="35"/>
        </w:rPr>
        <w:t>Impact - </w:t>
      </w:r>
      <w:r>
        <w:rPr>
          <w:color w:val="366091"/>
          <w:sz w:val="36"/>
        </w:rPr>
        <w:t>Section 31 of the CGST Act is being amended to provide enabling provision to prescribe that in certain cases in which tax invoice for services may not be issued or issued within</w:t>
      </w:r>
      <w:r>
        <w:rPr>
          <w:color w:val="366091"/>
          <w:spacing w:val="15"/>
          <w:sz w:val="36"/>
        </w:rPr>
        <w:t> </w:t>
      </w:r>
      <w:r>
        <w:rPr>
          <w:color w:val="366091"/>
          <w:sz w:val="36"/>
        </w:rPr>
        <w:t>a</w:t>
      </w:r>
      <w:r>
        <w:rPr>
          <w:color w:val="366091"/>
          <w:spacing w:val="8"/>
          <w:sz w:val="36"/>
        </w:rPr>
        <w:t> </w:t>
      </w:r>
      <w:r>
        <w:rPr>
          <w:color w:val="366091"/>
          <w:sz w:val="36"/>
        </w:rPr>
        <w:t>certain</w:t>
      </w:r>
      <w:r>
        <w:rPr>
          <w:color w:val="366091"/>
          <w:spacing w:val="9"/>
          <w:sz w:val="36"/>
        </w:rPr>
        <w:t> </w:t>
      </w:r>
      <w:r>
        <w:rPr>
          <w:color w:val="366091"/>
          <w:sz w:val="36"/>
        </w:rPr>
        <w:t>time</w:t>
      </w:r>
      <w:r>
        <w:rPr>
          <w:color w:val="366091"/>
          <w:spacing w:val="8"/>
          <w:sz w:val="36"/>
        </w:rPr>
        <w:t> </w:t>
      </w:r>
      <w:r>
        <w:rPr>
          <w:color w:val="366091"/>
          <w:sz w:val="36"/>
        </w:rPr>
        <w:t>period</w:t>
      </w:r>
      <w:r>
        <w:rPr>
          <w:color w:val="366091"/>
          <w:spacing w:val="8"/>
          <w:sz w:val="36"/>
        </w:rPr>
        <w:t> </w:t>
      </w:r>
      <w:r>
        <w:rPr>
          <w:color w:val="366091"/>
          <w:sz w:val="36"/>
        </w:rPr>
        <w:t>or</w:t>
      </w:r>
      <w:r>
        <w:rPr>
          <w:color w:val="366091"/>
          <w:spacing w:val="9"/>
          <w:sz w:val="36"/>
        </w:rPr>
        <w:t> </w:t>
      </w:r>
      <w:r>
        <w:rPr>
          <w:color w:val="366091"/>
          <w:sz w:val="36"/>
        </w:rPr>
        <w:t>some</w:t>
      </w:r>
      <w:r>
        <w:rPr>
          <w:color w:val="366091"/>
          <w:spacing w:val="13"/>
          <w:sz w:val="36"/>
        </w:rPr>
        <w:t> </w:t>
      </w:r>
      <w:r>
        <w:rPr>
          <w:color w:val="366091"/>
          <w:sz w:val="36"/>
        </w:rPr>
        <w:t>other</w:t>
      </w:r>
      <w:r>
        <w:rPr>
          <w:color w:val="366091"/>
          <w:spacing w:val="9"/>
          <w:sz w:val="36"/>
        </w:rPr>
        <w:t> </w:t>
      </w:r>
      <w:r>
        <w:rPr>
          <w:color w:val="366091"/>
          <w:sz w:val="36"/>
        </w:rPr>
        <w:t>document</w:t>
      </w:r>
      <w:r>
        <w:rPr>
          <w:color w:val="366091"/>
          <w:spacing w:val="11"/>
          <w:sz w:val="36"/>
        </w:rPr>
        <w:t> </w:t>
      </w:r>
      <w:r>
        <w:rPr>
          <w:color w:val="366091"/>
          <w:sz w:val="36"/>
        </w:rPr>
        <w:t>may</w:t>
      </w:r>
      <w:r>
        <w:rPr>
          <w:color w:val="366091"/>
          <w:spacing w:val="11"/>
          <w:sz w:val="36"/>
        </w:rPr>
        <w:t> </w:t>
      </w:r>
      <w:r>
        <w:rPr>
          <w:color w:val="366091"/>
          <w:sz w:val="36"/>
        </w:rPr>
        <w:t>be</w:t>
      </w:r>
      <w:r>
        <w:rPr>
          <w:color w:val="366091"/>
          <w:spacing w:val="12"/>
          <w:sz w:val="36"/>
        </w:rPr>
        <w:t> </w:t>
      </w:r>
      <w:r>
        <w:rPr>
          <w:color w:val="366091"/>
          <w:sz w:val="36"/>
        </w:rPr>
        <w:t>considered</w:t>
      </w:r>
      <w:r>
        <w:rPr>
          <w:color w:val="366091"/>
          <w:spacing w:val="8"/>
          <w:sz w:val="36"/>
        </w:rPr>
        <w:t> </w:t>
      </w:r>
      <w:r>
        <w:rPr>
          <w:color w:val="366091"/>
          <w:sz w:val="36"/>
        </w:rPr>
        <w:t>as</w:t>
      </w:r>
      <w:r>
        <w:rPr>
          <w:color w:val="366091"/>
          <w:spacing w:val="11"/>
          <w:sz w:val="36"/>
        </w:rPr>
        <w:t> </w:t>
      </w:r>
      <w:r>
        <w:rPr>
          <w:color w:val="366091"/>
          <w:sz w:val="36"/>
        </w:rPr>
        <w:t>tax</w:t>
      </w:r>
      <w:r>
        <w:rPr>
          <w:color w:val="366091"/>
          <w:spacing w:val="10"/>
          <w:sz w:val="36"/>
        </w:rPr>
        <w:t> </w:t>
      </w:r>
      <w:r>
        <w:rPr>
          <w:color w:val="366091"/>
          <w:sz w:val="36"/>
        </w:rPr>
        <w:t>invoice.</w:t>
      </w:r>
    </w:p>
    <w:p>
      <w:pPr>
        <w:spacing w:after="0" w:line="295" w:lineRule="auto"/>
        <w:jc w:val="both"/>
        <w:rPr>
          <w:sz w:val="36"/>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88672"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ListParagraph"/>
        <w:numPr>
          <w:ilvl w:val="1"/>
          <w:numId w:val="2"/>
        </w:numPr>
        <w:tabs>
          <w:tab w:pos="1249" w:val="left" w:leader="none"/>
        </w:tabs>
        <w:spacing w:line="240" w:lineRule="auto" w:before="320" w:after="0"/>
        <w:ind w:left="1248" w:right="0" w:hanging="820"/>
        <w:jc w:val="left"/>
        <w:rPr>
          <w:color w:val="366091"/>
          <w:sz w:val="36"/>
        </w:rPr>
      </w:pPr>
      <w:r>
        <w:rPr>
          <w:color w:val="366091"/>
          <w:sz w:val="36"/>
        </w:rPr>
        <w:t>In</w:t>
      </w:r>
      <w:r>
        <w:rPr>
          <w:color w:val="366091"/>
          <w:sz w:val="36"/>
          <w:u w:val="thick" w:color="366091"/>
        </w:rPr>
        <w:t> section 51</w:t>
      </w:r>
      <w:r>
        <w:rPr>
          <w:color w:val="366091"/>
          <w:sz w:val="36"/>
        </w:rPr>
        <w:t> of the Central Goods and Services </w:t>
      </w:r>
      <w:r>
        <w:rPr>
          <w:color w:val="366091"/>
          <w:spacing w:val="-13"/>
          <w:sz w:val="36"/>
        </w:rPr>
        <w:t>Tax</w:t>
      </w:r>
      <w:r>
        <w:rPr>
          <w:color w:val="366091"/>
          <w:spacing w:val="7"/>
          <w:sz w:val="36"/>
        </w:rPr>
        <w:t> </w:t>
      </w:r>
      <w:r>
        <w:rPr>
          <w:color w:val="366091"/>
          <w:sz w:val="36"/>
        </w:rPr>
        <w:t>Act,-</w:t>
      </w:r>
    </w:p>
    <w:p>
      <w:pPr>
        <w:pStyle w:val="ListParagraph"/>
        <w:numPr>
          <w:ilvl w:val="0"/>
          <w:numId w:val="11"/>
        </w:numPr>
        <w:tabs>
          <w:tab w:pos="981" w:val="left" w:leader="none"/>
        </w:tabs>
        <w:spacing w:line="240" w:lineRule="auto" w:before="217" w:after="0"/>
        <w:ind w:left="980" w:right="0" w:hanging="552"/>
        <w:jc w:val="left"/>
        <w:rPr>
          <w:sz w:val="36"/>
        </w:rPr>
      </w:pPr>
      <w:r>
        <w:rPr>
          <w:color w:val="366091"/>
          <w:sz w:val="36"/>
        </w:rPr>
        <w:t>for sub-section (3), the following sub-section shall be substituted,</w:t>
      </w:r>
      <w:r>
        <w:rPr>
          <w:color w:val="366091"/>
          <w:spacing w:val="55"/>
          <w:sz w:val="36"/>
        </w:rPr>
        <w:t> </w:t>
      </w:r>
      <w:r>
        <w:rPr>
          <w:color w:val="366091"/>
          <w:sz w:val="36"/>
        </w:rPr>
        <w:t>namely:-</w:t>
      </w:r>
    </w:p>
    <w:p>
      <w:pPr>
        <w:spacing w:line="295" w:lineRule="auto" w:before="215"/>
        <w:ind w:left="429" w:right="746" w:firstLine="0"/>
        <w:jc w:val="left"/>
        <w:rPr>
          <w:sz w:val="36"/>
        </w:rPr>
      </w:pPr>
      <w:r>
        <w:rPr>
          <w:color w:val="366091"/>
          <w:sz w:val="36"/>
        </w:rPr>
        <w:t>"(3) A certificate of tax deduction at source shall be issued in such form and in such manner as may be prescribed.";</w:t>
      </w:r>
    </w:p>
    <w:p>
      <w:pPr>
        <w:pStyle w:val="ListParagraph"/>
        <w:numPr>
          <w:ilvl w:val="0"/>
          <w:numId w:val="11"/>
        </w:numPr>
        <w:tabs>
          <w:tab w:pos="981" w:val="left" w:leader="none"/>
        </w:tabs>
        <w:spacing w:line="240" w:lineRule="auto" w:before="121" w:after="0"/>
        <w:ind w:left="980" w:right="0" w:hanging="552"/>
        <w:jc w:val="left"/>
        <w:rPr>
          <w:sz w:val="36"/>
        </w:rPr>
      </w:pPr>
      <w:r>
        <w:rPr>
          <w:color w:val="366091"/>
          <w:sz w:val="36"/>
        </w:rPr>
        <w:t>sub-section (4) shall be</w:t>
      </w:r>
      <w:r>
        <w:rPr>
          <w:color w:val="366091"/>
          <w:spacing w:val="14"/>
          <w:sz w:val="36"/>
        </w:rPr>
        <w:t> </w:t>
      </w:r>
      <w:r>
        <w:rPr>
          <w:color w:val="366091"/>
          <w:sz w:val="36"/>
        </w:rPr>
        <w:t>omitted.</w:t>
      </w:r>
    </w:p>
    <w:p>
      <w:pPr>
        <w:pStyle w:val="BodyText"/>
        <w:rPr>
          <w:sz w:val="40"/>
        </w:rPr>
      </w:pPr>
    </w:p>
    <w:p>
      <w:pPr>
        <w:pStyle w:val="BodyText"/>
        <w:spacing w:before="9"/>
        <w:rPr>
          <w:sz w:val="33"/>
        </w:rPr>
      </w:pPr>
    </w:p>
    <w:p>
      <w:pPr>
        <w:spacing w:line="295" w:lineRule="auto" w:before="0"/>
        <w:ind w:left="429" w:right="843" w:firstLine="0"/>
        <w:jc w:val="both"/>
        <w:rPr>
          <w:sz w:val="36"/>
        </w:rPr>
      </w:pPr>
      <w:r>
        <w:rPr>
          <w:b/>
          <w:color w:val="366091"/>
          <w:sz w:val="36"/>
        </w:rPr>
        <w:t>Impact - </w:t>
      </w:r>
      <w:r>
        <w:rPr>
          <w:color w:val="366091"/>
          <w:sz w:val="36"/>
        </w:rPr>
        <w:t>Section 51 of the CGST Act </w:t>
      </w:r>
      <w:r>
        <w:rPr>
          <w:color w:val="366091"/>
          <w:spacing w:val="-3"/>
          <w:sz w:val="36"/>
        </w:rPr>
        <w:t>is </w:t>
      </w:r>
      <w:r>
        <w:rPr>
          <w:color w:val="366091"/>
          <w:sz w:val="36"/>
        </w:rPr>
        <w:t>being amended to remove the requirement of issuance of TDS certificate by the deductor and to omit the corresponding provision of late fees for delay in issuance of TDS</w:t>
      </w:r>
      <w:r>
        <w:rPr>
          <w:color w:val="366091"/>
          <w:spacing w:val="-1"/>
          <w:sz w:val="36"/>
        </w:rPr>
        <w:t> </w:t>
      </w:r>
      <w:r>
        <w:rPr>
          <w:color w:val="366091"/>
          <w:sz w:val="36"/>
        </w:rPr>
        <w:t>certificate.</w:t>
      </w:r>
    </w:p>
    <w:p>
      <w:pPr>
        <w:spacing w:after="0" w:line="295" w:lineRule="auto"/>
        <w:jc w:val="both"/>
        <w:rPr>
          <w:sz w:val="36"/>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87648"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BodyText"/>
        <w:spacing w:before="1"/>
        <w:rPr>
          <w:rFonts w:ascii="Calibri"/>
          <w:b/>
          <w:sz w:val="27"/>
        </w:rPr>
      </w:pPr>
    </w:p>
    <w:p>
      <w:pPr>
        <w:pStyle w:val="ListParagraph"/>
        <w:numPr>
          <w:ilvl w:val="0"/>
          <w:numId w:val="12"/>
        </w:numPr>
        <w:tabs>
          <w:tab w:pos="1322" w:val="left" w:leader="none"/>
        </w:tabs>
        <w:spacing w:line="295" w:lineRule="auto" w:before="95" w:after="0"/>
        <w:ind w:left="429" w:right="847" w:firstLine="0"/>
        <w:jc w:val="both"/>
        <w:rPr>
          <w:sz w:val="36"/>
        </w:rPr>
      </w:pPr>
      <w:r>
        <w:rPr>
          <w:color w:val="366091"/>
          <w:sz w:val="36"/>
        </w:rPr>
        <w:t>In</w:t>
      </w:r>
      <w:r>
        <w:rPr>
          <w:color w:val="366091"/>
          <w:sz w:val="36"/>
          <w:u w:val="thick" w:color="366091"/>
        </w:rPr>
        <w:t> section 122</w:t>
      </w:r>
      <w:r>
        <w:rPr>
          <w:color w:val="366091"/>
          <w:sz w:val="36"/>
        </w:rPr>
        <w:t> of the Central Goods and Services </w:t>
      </w:r>
      <w:r>
        <w:rPr>
          <w:color w:val="366091"/>
          <w:spacing w:val="-13"/>
          <w:sz w:val="36"/>
        </w:rPr>
        <w:t>Tax </w:t>
      </w:r>
      <w:r>
        <w:rPr>
          <w:color w:val="366091"/>
          <w:sz w:val="36"/>
        </w:rPr>
        <w:t>Act, after sub-section (1), the following sub-section shall be inserted,</w:t>
      </w:r>
      <w:r>
        <w:rPr>
          <w:color w:val="366091"/>
          <w:spacing w:val="16"/>
          <w:sz w:val="36"/>
        </w:rPr>
        <w:t> </w:t>
      </w:r>
      <w:r>
        <w:rPr>
          <w:color w:val="366091"/>
          <w:sz w:val="36"/>
        </w:rPr>
        <w:t>namely:-</w:t>
      </w:r>
    </w:p>
    <w:p>
      <w:pPr>
        <w:spacing w:line="295" w:lineRule="auto" w:before="119"/>
        <w:ind w:left="429" w:right="841" w:firstLine="0"/>
        <w:jc w:val="both"/>
        <w:rPr>
          <w:sz w:val="36"/>
        </w:rPr>
      </w:pPr>
      <w:r>
        <w:rPr>
          <w:color w:val="366091"/>
          <w:sz w:val="36"/>
        </w:rPr>
        <w:t>"(1A) Any person who retains the benefit of a transaction covered under clauses (i), (ii), (vii) or clause (ix) of sub-section (1) and at whose instance such transaction </w:t>
      </w:r>
      <w:r>
        <w:rPr>
          <w:color w:val="366091"/>
          <w:spacing w:val="-3"/>
          <w:sz w:val="36"/>
        </w:rPr>
        <w:t>is </w:t>
      </w:r>
      <w:r>
        <w:rPr>
          <w:color w:val="366091"/>
          <w:sz w:val="36"/>
        </w:rPr>
        <w:t>conducted, shall be  liable to a penalty of an amount equivalent to the tax evaded or input tax credit availed of or passed on.".</w:t>
      </w:r>
    </w:p>
    <w:p>
      <w:pPr>
        <w:pStyle w:val="BodyText"/>
        <w:spacing w:before="6"/>
        <w:rPr>
          <w:sz w:val="54"/>
        </w:rPr>
      </w:pPr>
    </w:p>
    <w:p>
      <w:pPr>
        <w:spacing w:line="295" w:lineRule="auto" w:before="0"/>
        <w:ind w:left="429" w:right="843" w:firstLine="0"/>
        <w:jc w:val="both"/>
        <w:rPr>
          <w:sz w:val="36"/>
        </w:rPr>
      </w:pPr>
      <w:r>
        <w:rPr>
          <w:b/>
          <w:color w:val="366091"/>
          <w:sz w:val="36"/>
        </w:rPr>
        <w:t>Impact - </w:t>
      </w:r>
      <w:r>
        <w:rPr>
          <w:color w:val="366091"/>
          <w:sz w:val="36"/>
        </w:rPr>
        <w:t>Section 122 of the CGST Act is being amended by inserting a new sub-section to  make the beneficiary of the transactions of passing on or availing fraudulent Input </w:t>
      </w:r>
      <w:r>
        <w:rPr>
          <w:color w:val="366091"/>
          <w:spacing w:val="-14"/>
          <w:sz w:val="36"/>
        </w:rPr>
        <w:t>Tax </w:t>
      </w:r>
      <w:r>
        <w:rPr>
          <w:color w:val="366091"/>
          <w:sz w:val="36"/>
        </w:rPr>
        <w:t>Credit liable for penalty similar to the penalty leviable on the person who commits such specified offences.</w:t>
      </w:r>
    </w:p>
    <w:p>
      <w:pPr>
        <w:spacing w:after="0" w:line="295" w:lineRule="auto"/>
        <w:jc w:val="both"/>
        <w:rPr>
          <w:sz w:val="36"/>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86624"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ListParagraph"/>
        <w:numPr>
          <w:ilvl w:val="0"/>
          <w:numId w:val="12"/>
        </w:numPr>
        <w:tabs>
          <w:tab w:pos="1249" w:val="left" w:leader="none"/>
        </w:tabs>
        <w:spacing w:line="240" w:lineRule="auto" w:before="217" w:after="0"/>
        <w:ind w:left="1248" w:right="0" w:hanging="820"/>
        <w:jc w:val="left"/>
        <w:rPr>
          <w:sz w:val="36"/>
        </w:rPr>
      </w:pPr>
      <w:r>
        <w:rPr>
          <w:color w:val="366091"/>
          <w:sz w:val="36"/>
        </w:rPr>
        <w:t>In</w:t>
      </w:r>
      <w:r>
        <w:rPr>
          <w:color w:val="366091"/>
          <w:sz w:val="36"/>
          <w:u w:val="thick" w:color="366091"/>
        </w:rPr>
        <w:t> section 132</w:t>
      </w:r>
      <w:r>
        <w:rPr>
          <w:color w:val="366091"/>
          <w:sz w:val="36"/>
        </w:rPr>
        <w:t> of the Central Goods and Services </w:t>
      </w:r>
      <w:r>
        <w:rPr>
          <w:color w:val="366091"/>
          <w:spacing w:val="-13"/>
          <w:sz w:val="36"/>
        </w:rPr>
        <w:t>Tax </w:t>
      </w:r>
      <w:r>
        <w:rPr>
          <w:color w:val="366091"/>
          <w:sz w:val="36"/>
        </w:rPr>
        <w:t>Act, in sub-section</w:t>
      </w:r>
      <w:r>
        <w:rPr>
          <w:color w:val="366091"/>
          <w:spacing w:val="77"/>
          <w:sz w:val="36"/>
        </w:rPr>
        <w:t> </w:t>
      </w:r>
      <w:r>
        <w:rPr>
          <w:color w:val="366091"/>
          <w:sz w:val="36"/>
        </w:rPr>
        <w:t>(1),-</w:t>
      </w:r>
    </w:p>
    <w:p>
      <w:pPr>
        <w:pStyle w:val="ListParagraph"/>
        <w:numPr>
          <w:ilvl w:val="0"/>
          <w:numId w:val="13"/>
        </w:numPr>
        <w:tabs>
          <w:tab w:pos="860" w:val="left" w:leader="none"/>
        </w:tabs>
        <w:spacing w:line="240" w:lineRule="auto" w:before="217" w:after="0"/>
        <w:ind w:left="859" w:right="0" w:hanging="431"/>
        <w:jc w:val="left"/>
        <w:rPr>
          <w:sz w:val="36"/>
        </w:rPr>
      </w:pPr>
      <w:r>
        <w:rPr>
          <w:color w:val="366091"/>
          <w:sz w:val="36"/>
        </w:rPr>
        <w:t>for the words "Whoever commits any of the following offences", the</w:t>
      </w:r>
      <w:r>
        <w:rPr>
          <w:color w:val="366091"/>
          <w:spacing w:val="77"/>
          <w:sz w:val="36"/>
        </w:rPr>
        <w:t> </w:t>
      </w:r>
      <w:r>
        <w:rPr>
          <w:color w:val="366091"/>
          <w:sz w:val="36"/>
        </w:rPr>
        <w:t>words</w:t>
      </w:r>
    </w:p>
    <w:p>
      <w:pPr>
        <w:spacing w:line="295" w:lineRule="auto" w:before="214"/>
        <w:ind w:left="429" w:right="855" w:firstLine="0"/>
        <w:jc w:val="left"/>
        <w:rPr>
          <w:sz w:val="36"/>
        </w:rPr>
      </w:pPr>
      <w:r>
        <w:rPr>
          <w:color w:val="366091"/>
          <w:sz w:val="36"/>
        </w:rPr>
        <w:t>"Whoever commits, or causes to commit and retain the benefits arising out of, any of the following offences'' shall be</w:t>
      </w:r>
      <w:r>
        <w:rPr>
          <w:color w:val="366091"/>
          <w:spacing w:val="12"/>
          <w:sz w:val="36"/>
        </w:rPr>
        <w:t> </w:t>
      </w:r>
      <w:r>
        <w:rPr>
          <w:color w:val="366091"/>
          <w:sz w:val="36"/>
        </w:rPr>
        <w:t>substituted;</w:t>
      </w:r>
    </w:p>
    <w:p>
      <w:pPr>
        <w:pStyle w:val="ListParagraph"/>
        <w:numPr>
          <w:ilvl w:val="0"/>
          <w:numId w:val="13"/>
        </w:numPr>
        <w:tabs>
          <w:tab w:pos="940" w:val="left" w:leader="none"/>
        </w:tabs>
        <w:spacing w:line="240" w:lineRule="auto" w:before="122" w:after="0"/>
        <w:ind w:left="939" w:right="0" w:hanging="511"/>
        <w:jc w:val="left"/>
        <w:rPr>
          <w:sz w:val="36"/>
        </w:rPr>
      </w:pPr>
      <w:r>
        <w:rPr>
          <w:color w:val="366091"/>
          <w:sz w:val="36"/>
        </w:rPr>
        <w:t>for clause (c), the following clause shall be substituted,</w:t>
      </w:r>
      <w:r>
        <w:rPr>
          <w:color w:val="366091"/>
          <w:spacing w:val="41"/>
          <w:sz w:val="36"/>
        </w:rPr>
        <w:t> </w:t>
      </w:r>
      <w:r>
        <w:rPr>
          <w:color w:val="366091"/>
          <w:sz w:val="36"/>
        </w:rPr>
        <w:t>namely:-</w:t>
      </w:r>
    </w:p>
    <w:p>
      <w:pPr>
        <w:spacing w:line="295" w:lineRule="auto" w:before="217"/>
        <w:ind w:left="429" w:right="746" w:firstLine="0"/>
        <w:jc w:val="left"/>
        <w:rPr>
          <w:sz w:val="36"/>
        </w:rPr>
      </w:pPr>
      <w:r>
        <w:rPr>
          <w:color w:val="366091"/>
          <w:sz w:val="36"/>
        </w:rPr>
        <w:t>"(c) avails input tax credit using the invoice or bill referred to in clause (b) or fraudulently avails input tax credit without any invoice or bill;";</w:t>
      </w:r>
    </w:p>
    <w:p>
      <w:pPr>
        <w:pStyle w:val="ListParagraph"/>
        <w:numPr>
          <w:ilvl w:val="0"/>
          <w:numId w:val="13"/>
        </w:numPr>
        <w:tabs>
          <w:tab w:pos="1021" w:val="left" w:leader="none"/>
        </w:tabs>
        <w:spacing w:line="240" w:lineRule="auto" w:before="120" w:after="0"/>
        <w:ind w:left="1020" w:right="0" w:hanging="592"/>
        <w:jc w:val="left"/>
        <w:rPr>
          <w:sz w:val="36"/>
        </w:rPr>
      </w:pPr>
      <w:r>
        <w:rPr>
          <w:color w:val="366091"/>
          <w:sz w:val="36"/>
        </w:rPr>
        <w:t>in clause (e), the words ", fraudulently avails input tax credit" shall be</w:t>
      </w:r>
      <w:r>
        <w:rPr>
          <w:color w:val="366091"/>
          <w:spacing w:val="86"/>
          <w:sz w:val="36"/>
        </w:rPr>
        <w:t> </w:t>
      </w:r>
      <w:r>
        <w:rPr>
          <w:color w:val="366091"/>
          <w:sz w:val="36"/>
        </w:rPr>
        <w:t>omitted.</w:t>
      </w:r>
    </w:p>
    <w:p>
      <w:pPr>
        <w:pStyle w:val="BodyText"/>
        <w:rPr>
          <w:sz w:val="40"/>
        </w:rPr>
      </w:pPr>
    </w:p>
    <w:p>
      <w:pPr>
        <w:pStyle w:val="BodyText"/>
        <w:spacing w:before="8"/>
        <w:rPr>
          <w:sz w:val="33"/>
        </w:rPr>
      </w:pPr>
    </w:p>
    <w:p>
      <w:pPr>
        <w:spacing w:line="295" w:lineRule="auto" w:before="1"/>
        <w:ind w:left="429" w:right="842" w:firstLine="0"/>
        <w:jc w:val="both"/>
        <w:rPr>
          <w:sz w:val="36"/>
        </w:rPr>
      </w:pPr>
      <w:r>
        <w:rPr>
          <w:b/>
          <w:color w:val="366091"/>
          <w:sz w:val="36"/>
        </w:rPr>
        <w:t>Impact - </w:t>
      </w:r>
      <w:r>
        <w:rPr>
          <w:color w:val="366091"/>
          <w:sz w:val="36"/>
        </w:rPr>
        <w:t>Section 132 of the CGST Act is being amended to make the offence of fraudulent availment of input tax credit without an invoice or bill a cognizable and non-bailable offence;   and to make any person who commits, or causes the commission, or retains the benefit of transactions arising out of specified offences liable for</w:t>
      </w:r>
      <w:r>
        <w:rPr>
          <w:color w:val="366091"/>
          <w:spacing w:val="40"/>
          <w:sz w:val="36"/>
        </w:rPr>
        <w:t> </w:t>
      </w:r>
      <w:r>
        <w:rPr>
          <w:color w:val="366091"/>
          <w:sz w:val="36"/>
        </w:rPr>
        <w:t>punishment.</w:t>
      </w:r>
    </w:p>
    <w:p>
      <w:pPr>
        <w:spacing w:after="0" w:line="295" w:lineRule="auto"/>
        <w:jc w:val="both"/>
        <w:rPr>
          <w:sz w:val="36"/>
        </w:rPr>
        <w:sectPr>
          <w:pgSz w:w="16840" w:h="11910" w:orient="landscape"/>
          <w:pgMar w:top="1100" w:bottom="280" w:left="120" w:right="0"/>
        </w:sectPr>
      </w:pPr>
    </w:p>
    <w:p>
      <w:pPr>
        <w:pStyle w:val="BodyText"/>
        <w:spacing w:before="8"/>
        <w:rPr>
          <w:sz w:val="27"/>
        </w:rPr>
      </w:pPr>
      <w:r>
        <w:rPr/>
        <w:pict>
          <v:group style="position:absolute;margin-left:0pt;margin-top:60.840004pt;width:841.95pt;height:473.55pt;mso-position-horizontal-relative:page;mso-position-vertical-relative:page;z-index:-252185600" coordorigin="0,1217" coordsize="16839,9471">
            <v:shape style="position:absolute;left:0;top:1216;width:16839;height:9471" type="#_x0000_t75" stroked="false">
              <v:imagedata r:id="rId9" o:title=""/>
            </v:shape>
            <v:shape style="position:absolute;left:13051;top:1216;width:3788;height:826" type="#_x0000_t75" stroked="false">
              <v:imagedata r:id="rId6" o:title=""/>
            </v:shape>
            <w10:wrap type="none"/>
          </v:group>
        </w:pict>
      </w:r>
    </w:p>
    <w:p>
      <w:pPr>
        <w:spacing w:line="511" w:lineRule="exact" w:before="16"/>
        <w:ind w:left="916" w:right="0" w:firstLine="0"/>
        <w:jc w:val="left"/>
        <w:rPr>
          <w:rFonts w:ascii="Calibri" w:hAnsi="Calibri"/>
          <w:b/>
          <w:sz w:val="42"/>
        </w:rPr>
      </w:pPr>
      <w:r>
        <w:rPr>
          <w:rFonts w:ascii="Calibri" w:hAnsi="Calibri"/>
          <w:b/>
          <w:color w:val="FF0000"/>
          <w:sz w:val="42"/>
        </w:rPr>
        <w:t>Not 92/2020 – Introduction of Certain Section of Finance Act 2020</w:t>
      </w:r>
    </w:p>
    <w:p>
      <w:pPr>
        <w:spacing w:line="511" w:lineRule="exact" w:before="0"/>
        <w:ind w:left="916" w:right="0" w:firstLine="0"/>
        <w:jc w:val="left"/>
        <w:rPr>
          <w:rFonts w:ascii="Calibri"/>
          <w:b/>
          <w:sz w:val="42"/>
        </w:rPr>
      </w:pPr>
      <w:r>
        <w:rPr>
          <w:rFonts w:ascii="Calibri"/>
          <w:b/>
          <w:color w:val="FF0000"/>
          <w:sz w:val="42"/>
        </w:rPr>
        <w:t>w.e.f. 1</w:t>
      </w:r>
      <w:r>
        <w:rPr>
          <w:rFonts w:ascii="Calibri"/>
          <w:b/>
          <w:color w:val="FF0000"/>
          <w:position w:val="13"/>
          <w:sz w:val="28"/>
        </w:rPr>
        <w:t>st </w:t>
      </w:r>
      <w:r>
        <w:rPr>
          <w:rFonts w:ascii="Calibri"/>
          <w:b/>
          <w:color w:val="FF0000"/>
          <w:sz w:val="42"/>
        </w:rPr>
        <w:t>January 2020</w:t>
      </w:r>
    </w:p>
    <w:p>
      <w:pPr>
        <w:pStyle w:val="BodyText"/>
        <w:spacing w:before="1"/>
        <w:rPr>
          <w:rFonts w:ascii="Calibri"/>
          <w:b/>
          <w:sz w:val="27"/>
        </w:rPr>
      </w:pPr>
    </w:p>
    <w:p>
      <w:pPr>
        <w:spacing w:line="295" w:lineRule="auto" w:before="95"/>
        <w:ind w:left="429" w:right="843" w:firstLine="0"/>
        <w:jc w:val="both"/>
        <w:rPr>
          <w:sz w:val="36"/>
        </w:rPr>
      </w:pPr>
      <w:r>
        <w:rPr>
          <w:color w:val="366091"/>
          <w:sz w:val="36"/>
        </w:rPr>
        <w:t>131. In</w:t>
      </w:r>
      <w:r>
        <w:rPr>
          <w:color w:val="366091"/>
          <w:sz w:val="36"/>
          <w:u w:val="thick" w:color="366091"/>
        </w:rPr>
        <w:t> Schedule II</w:t>
      </w:r>
      <w:r>
        <w:rPr>
          <w:color w:val="366091"/>
          <w:sz w:val="36"/>
        </w:rPr>
        <w:t> to the Central Goods and Services Tax Act, in paragraph 4, the words "whether or not for a consideration," at both the places where they occur, shall be omitted and shall be deemed to have been omitted with effect from the 1st day of July, 2017.</w:t>
      </w:r>
    </w:p>
    <w:p>
      <w:pPr>
        <w:pStyle w:val="BodyText"/>
        <w:spacing w:before="6"/>
        <w:rPr>
          <w:sz w:val="54"/>
        </w:rPr>
      </w:pPr>
    </w:p>
    <w:p>
      <w:pPr>
        <w:spacing w:line="295" w:lineRule="auto" w:before="0"/>
        <w:ind w:left="429" w:right="842" w:firstLine="0"/>
        <w:jc w:val="both"/>
        <w:rPr>
          <w:sz w:val="36"/>
        </w:rPr>
      </w:pPr>
      <w:r>
        <w:rPr>
          <w:b/>
          <w:color w:val="366091"/>
          <w:sz w:val="36"/>
        </w:rPr>
        <w:t>Impact - </w:t>
      </w:r>
      <w:r>
        <w:rPr>
          <w:color w:val="366091"/>
          <w:sz w:val="36"/>
        </w:rPr>
        <w:t>Entries at 4(a) &amp; 4(b) in Schedule II of the CGST Act is being amended w.e.f. 01.07.2017 to make provision for omission of supplies relating to transfer of business assets made without any consideration from Schedule II of the said Act.</w:t>
      </w:r>
    </w:p>
    <w:p>
      <w:pPr>
        <w:spacing w:after="0" w:line="295" w:lineRule="auto"/>
        <w:jc w:val="both"/>
        <w:rPr>
          <w:sz w:val="36"/>
        </w:rPr>
        <w:sectPr>
          <w:pgSz w:w="16840" w:h="11910" w:orient="landscape"/>
          <w:pgMar w:top="1100" w:bottom="280" w:left="120" w:right="0"/>
        </w:sectPr>
      </w:pPr>
    </w:p>
    <w:p>
      <w:pPr>
        <w:pStyle w:val="BodyText"/>
        <w:rPr>
          <w:sz w:val="20"/>
        </w:rPr>
      </w:pPr>
    </w:p>
    <w:p>
      <w:pPr>
        <w:pStyle w:val="BodyText"/>
        <w:rPr>
          <w:sz w:val="20"/>
        </w:rPr>
      </w:pPr>
    </w:p>
    <w:p>
      <w:pPr>
        <w:pStyle w:val="BodyText"/>
        <w:rPr>
          <w:sz w:val="20"/>
        </w:rPr>
      </w:pPr>
    </w:p>
    <w:p>
      <w:pPr>
        <w:pStyle w:val="BodyText"/>
        <w:spacing w:before="7"/>
        <w:rPr>
          <w:sz w:val="25"/>
        </w:rPr>
      </w:pPr>
    </w:p>
    <w:p>
      <w:pPr>
        <w:spacing w:before="106"/>
        <w:ind w:left="0" w:right="1032" w:firstLine="0"/>
        <w:jc w:val="center"/>
        <w:rPr>
          <w:rFonts w:ascii="Trebuchet MS"/>
          <w:b/>
          <w:sz w:val="87"/>
        </w:rPr>
      </w:pPr>
      <w:r>
        <w:rPr/>
        <w:pict>
          <v:group style="position:absolute;margin-left:0pt;margin-top:-43.72752pt;width:841.8pt;height:420.6pt;mso-position-horizontal-relative:page;mso-position-vertical-relative:paragraph;z-index:-252184576" coordorigin="0,-875" coordsize="16836,8412">
            <v:shape style="position:absolute;left:0;top:-875;width:16836;height:8412" type="#_x0000_t75" stroked="false">
              <v:imagedata r:id="rId12" o:title=""/>
            </v:shape>
            <v:shape style="position:absolute;left:5577;top:1441;width:4738;height:826" type="#_x0000_t75" stroked="false">
              <v:imagedata r:id="rId6" o:title=""/>
            </v:shape>
            <w10:wrap type="none"/>
          </v:group>
        </w:pict>
      </w:r>
      <w:r>
        <w:rPr>
          <w:rFonts w:ascii="Trebuchet MS"/>
          <w:b/>
          <w:color w:val="953634"/>
          <w:sz w:val="87"/>
        </w:rPr>
        <w:t>THANK YOU</w: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4"/>
        <w:rPr>
          <w:rFonts w:ascii="Trebuchet MS"/>
          <w:b/>
          <w:sz w:val="27"/>
        </w:rPr>
      </w:pPr>
    </w:p>
    <w:p>
      <w:pPr>
        <w:spacing w:line="165" w:lineRule="exact" w:before="101"/>
        <w:ind w:left="0" w:right="948" w:firstLine="0"/>
        <w:jc w:val="right"/>
        <w:rPr>
          <w:rFonts w:ascii="Trebuchet MS"/>
          <w:b/>
          <w:sz w:val="35"/>
        </w:rPr>
      </w:pPr>
      <w:r>
        <w:rPr>
          <w:rFonts w:ascii="Times New Roman"/>
          <w:color w:val="FFFFFF"/>
          <w:w w:val="100"/>
          <w:sz w:val="35"/>
          <w:u w:val="thick" w:color="FFFFFF"/>
        </w:rPr>
        <w:t> </w:t>
      </w:r>
      <w:r>
        <w:rPr>
          <w:rFonts w:ascii="Trebuchet MS"/>
          <w:b/>
          <w:color w:val="FFFFFF"/>
          <w:sz w:val="35"/>
          <w:u w:val="thick" w:color="FFFFFF"/>
        </w:rPr>
        <w:t>-mail-</w:t>
      </w:r>
    </w:p>
    <w:p>
      <w:pPr>
        <w:spacing w:after="0" w:line="165" w:lineRule="exact"/>
        <w:jc w:val="right"/>
        <w:rPr>
          <w:rFonts w:ascii="Trebuchet MS"/>
          <w:sz w:val="35"/>
        </w:rPr>
        <w:sectPr>
          <w:pgSz w:w="16840" w:h="11910" w:orient="landscape"/>
          <w:pgMar w:top="1100" w:bottom="280" w:left="120" w:right="0"/>
        </w:sectPr>
      </w:pPr>
    </w:p>
    <w:p>
      <w:pPr>
        <w:spacing w:before="1"/>
        <w:ind w:left="424" w:right="0" w:firstLine="0"/>
        <w:jc w:val="left"/>
        <w:rPr>
          <w:rFonts w:ascii="Trebuchet MS"/>
          <w:b/>
          <w:sz w:val="70"/>
        </w:rPr>
      </w:pPr>
      <w:r>
        <w:rPr>
          <w:rFonts w:ascii="Trebuchet MS"/>
          <w:b/>
          <w:color w:val="953634"/>
          <w:spacing w:val="-22"/>
          <w:sz w:val="70"/>
        </w:rPr>
        <w:t>Team </w:t>
      </w:r>
      <w:r>
        <w:rPr>
          <w:rFonts w:ascii="Trebuchet MS"/>
          <w:b/>
          <w:color w:val="953634"/>
          <w:spacing w:val="-27"/>
          <w:sz w:val="70"/>
        </w:rPr>
        <w:t>Tax</w:t>
      </w:r>
      <w:r>
        <w:rPr>
          <w:rFonts w:ascii="Trebuchet MS"/>
          <w:b/>
          <w:color w:val="953634"/>
          <w:spacing w:val="-4"/>
          <w:sz w:val="70"/>
        </w:rPr>
        <w:t> Connect</w:t>
      </w:r>
    </w:p>
    <w:p>
      <w:pPr>
        <w:spacing w:before="274"/>
        <w:ind w:left="0" w:right="945" w:firstLine="0"/>
        <w:jc w:val="right"/>
        <w:rPr>
          <w:rFonts w:ascii="Trebuchet MS"/>
          <w:b/>
          <w:sz w:val="35"/>
        </w:rPr>
      </w:pPr>
      <w:r>
        <w:rPr/>
        <w:br w:type="column"/>
      </w:r>
      <w:r>
        <w:rPr>
          <w:rFonts w:ascii="Times New Roman"/>
          <w:color w:val="FFFFFF"/>
          <w:spacing w:val="-88"/>
          <w:w w:val="100"/>
          <w:sz w:val="35"/>
          <w:u w:val="thick" w:color="FFFFFF"/>
        </w:rPr>
        <w:t> </w:t>
      </w:r>
      <w:hyperlink r:id="rId7">
        <w:r>
          <w:rPr>
            <w:rFonts w:ascii="Trebuchet MS"/>
            <w:b/>
            <w:color w:val="FFFFFF"/>
            <w:spacing w:val="-3"/>
            <w:sz w:val="35"/>
            <w:u w:val="thick" w:color="FFFFFF"/>
          </w:rPr>
          <w:t>info@taxconnect.co.in</w:t>
        </w:r>
      </w:hyperlink>
    </w:p>
    <w:p>
      <w:pPr>
        <w:pStyle w:val="BodyText"/>
        <w:spacing w:before="5"/>
        <w:rPr>
          <w:rFonts w:ascii="Trebuchet MS"/>
          <w:b/>
          <w:sz w:val="40"/>
        </w:rPr>
      </w:pPr>
    </w:p>
    <w:p>
      <w:pPr>
        <w:spacing w:before="0"/>
        <w:ind w:left="0" w:right="945" w:firstLine="0"/>
        <w:jc w:val="right"/>
        <w:rPr>
          <w:rFonts w:ascii="Trebuchet MS"/>
          <w:b/>
          <w:sz w:val="35"/>
        </w:rPr>
      </w:pPr>
      <w:r>
        <w:rPr>
          <w:rFonts w:ascii="Trebuchet MS"/>
          <w:b/>
          <w:color w:val="FFFFFF"/>
          <w:spacing w:val="-2"/>
          <w:sz w:val="35"/>
        </w:rPr>
        <w:t>Call:</w:t>
      </w:r>
    </w:p>
    <w:p>
      <w:pPr>
        <w:spacing w:before="33"/>
        <w:ind w:left="0" w:right="948" w:firstLine="0"/>
        <w:jc w:val="right"/>
        <w:rPr>
          <w:rFonts w:ascii="Trebuchet MS"/>
          <w:b/>
          <w:sz w:val="35"/>
        </w:rPr>
      </w:pPr>
      <w:r>
        <w:rPr>
          <w:rFonts w:ascii="Trebuchet MS"/>
          <w:b/>
          <w:color w:val="FFFFFF"/>
          <w:sz w:val="35"/>
        </w:rPr>
        <w:t>+91 98306</w:t>
      </w:r>
      <w:r>
        <w:rPr>
          <w:rFonts w:ascii="Trebuchet MS"/>
          <w:b/>
          <w:color w:val="FFFFFF"/>
          <w:spacing w:val="-20"/>
          <w:sz w:val="35"/>
        </w:rPr>
        <w:t> </w:t>
      </w:r>
      <w:r>
        <w:rPr>
          <w:rFonts w:ascii="Trebuchet MS"/>
          <w:b/>
          <w:color w:val="FFFFFF"/>
          <w:spacing w:val="-3"/>
          <w:sz w:val="35"/>
        </w:rPr>
        <w:t>61254</w:t>
      </w:r>
    </w:p>
    <w:p>
      <w:pPr>
        <w:spacing w:after="0"/>
        <w:jc w:val="right"/>
        <w:rPr>
          <w:rFonts w:ascii="Trebuchet MS"/>
          <w:sz w:val="35"/>
        </w:rPr>
        <w:sectPr>
          <w:type w:val="continuous"/>
          <w:pgSz w:w="16840" w:h="11910" w:orient="landscape"/>
          <w:pgMar w:top="1100" w:bottom="280" w:left="120" w:right="0"/>
          <w:cols w:num="2" w:equalWidth="0">
            <w:col w:w="6357" w:space="5348"/>
            <w:col w:w="5015"/>
          </w:cols>
        </w:sectPr>
      </w:pPr>
    </w:p>
    <w:p>
      <w:pPr>
        <w:pStyle w:val="BodyText"/>
        <w:rPr>
          <w:rFonts w:ascii="Trebuchet MS"/>
          <w:b/>
          <w:sz w:val="20"/>
        </w:rPr>
      </w:pPr>
    </w:p>
    <w:p>
      <w:pPr>
        <w:pStyle w:val="BodyText"/>
        <w:rPr>
          <w:rFonts w:ascii="Trebuchet MS"/>
          <w:b/>
          <w:sz w:val="20"/>
        </w:rPr>
      </w:pPr>
    </w:p>
    <w:p>
      <w:pPr>
        <w:pStyle w:val="BodyText"/>
        <w:spacing w:before="7"/>
        <w:rPr>
          <w:rFonts w:ascii="Trebuchet MS"/>
          <w:b/>
          <w:sz w:val="29"/>
        </w:rPr>
      </w:pPr>
    </w:p>
    <w:p>
      <w:pPr>
        <w:tabs>
          <w:tab w:pos="2508" w:val="left" w:leader="none"/>
          <w:tab w:pos="5136" w:val="left" w:leader="none"/>
          <w:tab w:pos="7558" w:val="left" w:leader="none"/>
        </w:tabs>
        <w:spacing w:before="101"/>
        <w:ind w:left="0" w:right="165" w:firstLine="0"/>
        <w:jc w:val="center"/>
        <w:rPr>
          <w:rFonts w:ascii="Trebuchet MS"/>
          <w:b/>
          <w:sz w:val="35"/>
        </w:rPr>
      </w:pPr>
      <w:r>
        <w:rPr>
          <w:rFonts w:ascii="Trebuchet MS"/>
          <w:b/>
          <w:color w:val="1F497C"/>
          <w:sz w:val="35"/>
        </w:rPr>
        <w:t>[</w:t>
      </w:r>
      <w:r>
        <w:rPr>
          <w:rFonts w:ascii="Trebuchet MS"/>
          <w:b/>
          <w:color w:val="1F497C"/>
          <w:spacing w:val="-2"/>
          <w:sz w:val="35"/>
        </w:rPr>
        <w:t> </w:t>
      </w:r>
      <w:r>
        <w:rPr>
          <w:rFonts w:ascii="Trebuchet MS"/>
          <w:b/>
          <w:color w:val="1F497C"/>
          <w:sz w:val="35"/>
        </w:rPr>
        <w:t>MUMBAI</w:t>
        <w:tab/>
        <w:t>BANGALORE</w:t>
        <w:tab/>
      </w:r>
      <w:r>
        <w:rPr>
          <w:rFonts w:ascii="Trebuchet MS"/>
          <w:b/>
          <w:color w:val="1F497C"/>
          <w:spacing w:val="-10"/>
          <w:sz w:val="35"/>
        </w:rPr>
        <w:t>KOLKATA</w:t>
        <w:tab/>
      </w:r>
      <w:r>
        <w:rPr>
          <w:rFonts w:ascii="Trebuchet MS"/>
          <w:b/>
          <w:color w:val="1F497C"/>
          <w:sz w:val="35"/>
        </w:rPr>
        <w:t>DELHI]</w:t>
      </w:r>
    </w:p>
    <w:sectPr>
      <w:type w:val="continuous"/>
      <w:pgSz w:w="16840" w:h="11910" w:orient="landscape"/>
      <w:pgMar w:top="1100" w:bottom="280" w:left="1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rebuchet MS">
    <w:altName w:val="Trebuchet MS"/>
    <w:charset w:val="0"/>
    <w:family w:val="swiss"/>
    <w:pitch w:val="variable"/>
  </w:font>
  <w:font w:name="Book Antiqua">
    <w:altName w:val="Book Antiqua"/>
    <w:charset w:val="0"/>
    <w:family w:val="roman"/>
    <w:pitch w:val="variable"/>
  </w:font>
  <w:font w:name="Arial">
    <w:altName w:val="Arial"/>
    <w:charset w:val="0"/>
    <w:family w:val="swiss"/>
    <w:pitch w:val="variable"/>
  </w:font>
  <w:font w:name="Verdana">
    <w:altName w:val="Verdana"/>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lowerRoman"/>
      <w:lvlText w:val="(%1)"/>
      <w:lvlJc w:val="left"/>
      <w:pPr>
        <w:ind w:left="859" w:hanging="430"/>
        <w:jc w:val="left"/>
      </w:pPr>
      <w:rPr>
        <w:rFonts w:hint="default" w:ascii="Arial" w:hAnsi="Arial" w:eastAsia="Arial" w:cs="Arial"/>
        <w:color w:val="366091"/>
        <w:spacing w:val="-2"/>
        <w:w w:val="102"/>
        <w:sz w:val="36"/>
        <w:szCs w:val="36"/>
        <w:lang w:val="en-US" w:eastAsia="en-US" w:bidi="en-US"/>
      </w:rPr>
    </w:lvl>
    <w:lvl w:ilvl="1">
      <w:start w:val="0"/>
      <w:numFmt w:val="bullet"/>
      <w:lvlText w:val="•"/>
      <w:lvlJc w:val="left"/>
      <w:pPr>
        <w:ind w:left="2445" w:hanging="430"/>
      </w:pPr>
      <w:rPr>
        <w:rFonts w:hint="default"/>
        <w:lang w:val="en-US" w:eastAsia="en-US" w:bidi="en-US"/>
      </w:rPr>
    </w:lvl>
    <w:lvl w:ilvl="2">
      <w:start w:val="0"/>
      <w:numFmt w:val="bullet"/>
      <w:lvlText w:val="•"/>
      <w:lvlJc w:val="left"/>
      <w:pPr>
        <w:ind w:left="4031" w:hanging="430"/>
      </w:pPr>
      <w:rPr>
        <w:rFonts w:hint="default"/>
        <w:lang w:val="en-US" w:eastAsia="en-US" w:bidi="en-US"/>
      </w:rPr>
    </w:lvl>
    <w:lvl w:ilvl="3">
      <w:start w:val="0"/>
      <w:numFmt w:val="bullet"/>
      <w:lvlText w:val="•"/>
      <w:lvlJc w:val="left"/>
      <w:pPr>
        <w:ind w:left="5617" w:hanging="430"/>
      </w:pPr>
      <w:rPr>
        <w:rFonts w:hint="default"/>
        <w:lang w:val="en-US" w:eastAsia="en-US" w:bidi="en-US"/>
      </w:rPr>
    </w:lvl>
    <w:lvl w:ilvl="4">
      <w:start w:val="0"/>
      <w:numFmt w:val="bullet"/>
      <w:lvlText w:val="•"/>
      <w:lvlJc w:val="left"/>
      <w:pPr>
        <w:ind w:left="7203" w:hanging="430"/>
      </w:pPr>
      <w:rPr>
        <w:rFonts w:hint="default"/>
        <w:lang w:val="en-US" w:eastAsia="en-US" w:bidi="en-US"/>
      </w:rPr>
    </w:lvl>
    <w:lvl w:ilvl="5">
      <w:start w:val="0"/>
      <w:numFmt w:val="bullet"/>
      <w:lvlText w:val="•"/>
      <w:lvlJc w:val="left"/>
      <w:pPr>
        <w:ind w:left="8789" w:hanging="430"/>
      </w:pPr>
      <w:rPr>
        <w:rFonts w:hint="default"/>
        <w:lang w:val="en-US" w:eastAsia="en-US" w:bidi="en-US"/>
      </w:rPr>
    </w:lvl>
    <w:lvl w:ilvl="6">
      <w:start w:val="0"/>
      <w:numFmt w:val="bullet"/>
      <w:lvlText w:val="•"/>
      <w:lvlJc w:val="left"/>
      <w:pPr>
        <w:ind w:left="10375" w:hanging="430"/>
      </w:pPr>
      <w:rPr>
        <w:rFonts w:hint="default"/>
        <w:lang w:val="en-US" w:eastAsia="en-US" w:bidi="en-US"/>
      </w:rPr>
    </w:lvl>
    <w:lvl w:ilvl="7">
      <w:start w:val="0"/>
      <w:numFmt w:val="bullet"/>
      <w:lvlText w:val="•"/>
      <w:lvlJc w:val="left"/>
      <w:pPr>
        <w:ind w:left="11960" w:hanging="430"/>
      </w:pPr>
      <w:rPr>
        <w:rFonts w:hint="default"/>
        <w:lang w:val="en-US" w:eastAsia="en-US" w:bidi="en-US"/>
      </w:rPr>
    </w:lvl>
    <w:lvl w:ilvl="8">
      <w:start w:val="0"/>
      <w:numFmt w:val="bullet"/>
      <w:lvlText w:val="•"/>
      <w:lvlJc w:val="left"/>
      <w:pPr>
        <w:ind w:left="13546" w:hanging="430"/>
      </w:pPr>
      <w:rPr>
        <w:rFonts w:hint="default"/>
        <w:lang w:val="en-US" w:eastAsia="en-US" w:bidi="en-US"/>
      </w:rPr>
    </w:lvl>
  </w:abstractNum>
  <w:abstractNum w:abstractNumId="11">
    <w:multiLevelType w:val="hybridMultilevel"/>
    <w:lvl w:ilvl="0">
      <w:start w:val="126"/>
      <w:numFmt w:val="decimal"/>
      <w:lvlText w:val="%1."/>
      <w:lvlJc w:val="left"/>
      <w:pPr>
        <w:ind w:left="429" w:hanging="893"/>
        <w:jc w:val="left"/>
      </w:pPr>
      <w:rPr>
        <w:rFonts w:hint="default" w:ascii="Arial" w:hAnsi="Arial" w:eastAsia="Arial" w:cs="Arial"/>
        <w:color w:val="366091"/>
        <w:spacing w:val="-3"/>
        <w:w w:val="102"/>
        <w:sz w:val="36"/>
        <w:szCs w:val="36"/>
        <w:lang w:val="en-US" w:eastAsia="en-US" w:bidi="en-US"/>
      </w:rPr>
    </w:lvl>
    <w:lvl w:ilvl="1">
      <w:start w:val="0"/>
      <w:numFmt w:val="bullet"/>
      <w:lvlText w:val="•"/>
      <w:lvlJc w:val="left"/>
      <w:pPr>
        <w:ind w:left="2049" w:hanging="893"/>
      </w:pPr>
      <w:rPr>
        <w:rFonts w:hint="default"/>
        <w:lang w:val="en-US" w:eastAsia="en-US" w:bidi="en-US"/>
      </w:rPr>
    </w:lvl>
    <w:lvl w:ilvl="2">
      <w:start w:val="0"/>
      <w:numFmt w:val="bullet"/>
      <w:lvlText w:val="•"/>
      <w:lvlJc w:val="left"/>
      <w:pPr>
        <w:ind w:left="3679" w:hanging="893"/>
      </w:pPr>
      <w:rPr>
        <w:rFonts w:hint="default"/>
        <w:lang w:val="en-US" w:eastAsia="en-US" w:bidi="en-US"/>
      </w:rPr>
    </w:lvl>
    <w:lvl w:ilvl="3">
      <w:start w:val="0"/>
      <w:numFmt w:val="bullet"/>
      <w:lvlText w:val="•"/>
      <w:lvlJc w:val="left"/>
      <w:pPr>
        <w:ind w:left="5309" w:hanging="893"/>
      </w:pPr>
      <w:rPr>
        <w:rFonts w:hint="default"/>
        <w:lang w:val="en-US" w:eastAsia="en-US" w:bidi="en-US"/>
      </w:rPr>
    </w:lvl>
    <w:lvl w:ilvl="4">
      <w:start w:val="0"/>
      <w:numFmt w:val="bullet"/>
      <w:lvlText w:val="•"/>
      <w:lvlJc w:val="left"/>
      <w:pPr>
        <w:ind w:left="6939" w:hanging="893"/>
      </w:pPr>
      <w:rPr>
        <w:rFonts w:hint="default"/>
        <w:lang w:val="en-US" w:eastAsia="en-US" w:bidi="en-US"/>
      </w:rPr>
    </w:lvl>
    <w:lvl w:ilvl="5">
      <w:start w:val="0"/>
      <w:numFmt w:val="bullet"/>
      <w:lvlText w:val="•"/>
      <w:lvlJc w:val="left"/>
      <w:pPr>
        <w:ind w:left="8569" w:hanging="893"/>
      </w:pPr>
      <w:rPr>
        <w:rFonts w:hint="default"/>
        <w:lang w:val="en-US" w:eastAsia="en-US" w:bidi="en-US"/>
      </w:rPr>
    </w:lvl>
    <w:lvl w:ilvl="6">
      <w:start w:val="0"/>
      <w:numFmt w:val="bullet"/>
      <w:lvlText w:val="•"/>
      <w:lvlJc w:val="left"/>
      <w:pPr>
        <w:ind w:left="10199" w:hanging="893"/>
      </w:pPr>
      <w:rPr>
        <w:rFonts w:hint="default"/>
        <w:lang w:val="en-US" w:eastAsia="en-US" w:bidi="en-US"/>
      </w:rPr>
    </w:lvl>
    <w:lvl w:ilvl="7">
      <w:start w:val="0"/>
      <w:numFmt w:val="bullet"/>
      <w:lvlText w:val="•"/>
      <w:lvlJc w:val="left"/>
      <w:pPr>
        <w:ind w:left="11828" w:hanging="893"/>
      </w:pPr>
      <w:rPr>
        <w:rFonts w:hint="default"/>
        <w:lang w:val="en-US" w:eastAsia="en-US" w:bidi="en-US"/>
      </w:rPr>
    </w:lvl>
    <w:lvl w:ilvl="8">
      <w:start w:val="0"/>
      <w:numFmt w:val="bullet"/>
      <w:lvlText w:val="•"/>
      <w:lvlJc w:val="left"/>
      <w:pPr>
        <w:ind w:left="13458" w:hanging="893"/>
      </w:pPr>
      <w:rPr>
        <w:rFonts w:hint="default"/>
        <w:lang w:val="en-US" w:eastAsia="en-US" w:bidi="en-US"/>
      </w:rPr>
    </w:lvl>
  </w:abstractNum>
  <w:abstractNum w:abstractNumId="10">
    <w:multiLevelType w:val="hybridMultilevel"/>
    <w:lvl w:ilvl="0">
      <w:start w:val="1"/>
      <w:numFmt w:val="lowerLetter"/>
      <w:lvlText w:val="(%1)"/>
      <w:lvlJc w:val="left"/>
      <w:pPr>
        <w:ind w:left="980" w:hanging="551"/>
        <w:jc w:val="left"/>
      </w:pPr>
      <w:rPr>
        <w:rFonts w:hint="default" w:ascii="Arial" w:hAnsi="Arial" w:eastAsia="Arial" w:cs="Arial"/>
        <w:color w:val="366091"/>
        <w:spacing w:val="-2"/>
        <w:w w:val="102"/>
        <w:sz w:val="36"/>
        <w:szCs w:val="36"/>
        <w:lang w:val="en-US" w:eastAsia="en-US" w:bidi="en-US"/>
      </w:rPr>
    </w:lvl>
    <w:lvl w:ilvl="1">
      <w:start w:val="0"/>
      <w:numFmt w:val="bullet"/>
      <w:lvlText w:val="•"/>
      <w:lvlJc w:val="left"/>
      <w:pPr>
        <w:ind w:left="2553" w:hanging="551"/>
      </w:pPr>
      <w:rPr>
        <w:rFonts w:hint="default"/>
        <w:lang w:val="en-US" w:eastAsia="en-US" w:bidi="en-US"/>
      </w:rPr>
    </w:lvl>
    <w:lvl w:ilvl="2">
      <w:start w:val="0"/>
      <w:numFmt w:val="bullet"/>
      <w:lvlText w:val="•"/>
      <w:lvlJc w:val="left"/>
      <w:pPr>
        <w:ind w:left="4127" w:hanging="551"/>
      </w:pPr>
      <w:rPr>
        <w:rFonts w:hint="default"/>
        <w:lang w:val="en-US" w:eastAsia="en-US" w:bidi="en-US"/>
      </w:rPr>
    </w:lvl>
    <w:lvl w:ilvl="3">
      <w:start w:val="0"/>
      <w:numFmt w:val="bullet"/>
      <w:lvlText w:val="•"/>
      <w:lvlJc w:val="left"/>
      <w:pPr>
        <w:ind w:left="5701" w:hanging="551"/>
      </w:pPr>
      <w:rPr>
        <w:rFonts w:hint="default"/>
        <w:lang w:val="en-US" w:eastAsia="en-US" w:bidi="en-US"/>
      </w:rPr>
    </w:lvl>
    <w:lvl w:ilvl="4">
      <w:start w:val="0"/>
      <w:numFmt w:val="bullet"/>
      <w:lvlText w:val="•"/>
      <w:lvlJc w:val="left"/>
      <w:pPr>
        <w:ind w:left="7275" w:hanging="551"/>
      </w:pPr>
      <w:rPr>
        <w:rFonts w:hint="default"/>
        <w:lang w:val="en-US" w:eastAsia="en-US" w:bidi="en-US"/>
      </w:rPr>
    </w:lvl>
    <w:lvl w:ilvl="5">
      <w:start w:val="0"/>
      <w:numFmt w:val="bullet"/>
      <w:lvlText w:val="•"/>
      <w:lvlJc w:val="left"/>
      <w:pPr>
        <w:ind w:left="8849" w:hanging="551"/>
      </w:pPr>
      <w:rPr>
        <w:rFonts w:hint="default"/>
        <w:lang w:val="en-US" w:eastAsia="en-US" w:bidi="en-US"/>
      </w:rPr>
    </w:lvl>
    <w:lvl w:ilvl="6">
      <w:start w:val="0"/>
      <w:numFmt w:val="bullet"/>
      <w:lvlText w:val="•"/>
      <w:lvlJc w:val="left"/>
      <w:pPr>
        <w:ind w:left="10423" w:hanging="551"/>
      </w:pPr>
      <w:rPr>
        <w:rFonts w:hint="default"/>
        <w:lang w:val="en-US" w:eastAsia="en-US" w:bidi="en-US"/>
      </w:rPr>
    </w:lvl>
    <w:lvl w:ilvl="7">
      <w:start w:val="0"/>
      <w:numFmt w:val="bullet"/>
      <w:lvlText w:val="•"/>
      <w:lvlJc w:val="left"/>
      <w:pPr>
        <w:ind w:left="11996" w:hanging="551"/>
      </w:pPr>
      <w:rPr>
        <w:rFonts w:hint="default"/>
        <w:lang w:val="en-US" w:eastAsia="en-US" w:bidi="en-US"/>
      </w:rPr>
    </w:lvl>
    <w:lvl w:ilvl="8">
      <w:start w:val="0"/>
      <w:numFmt w:val="bullet"/>
      <w:lvlText w:val="•"/>
      <w:lvlJc w:val="left"/>
      <w:pPr>
        <w:ind w:left="13570" w:hanging="551"/>
      </w:pPr>
      <w:rPr>
        <w:rFonts w:hint="default"/>
        <w:lang w:val="en-US" w:eastAsia="en-US" w:bidi="en-US"/>
      </w:rPr>
    </w:lvl>
  </w:abstractNum>
  <w:abstractNum w:abstractNumId="9">
    <w:multiLevelType w:val="hybridMultilevel"/>
    <w:lvl w:ilvl="0">
      <w:start w:val="1"/>
      <w:numFmt w:val="lowerRoman"/>
      <w:lvlText w:val="(%1)"/>
      <w:lvlJc w:val="left"/>
      <w:pPr>
        <w:ind w:left="859" w:hanging="430"/>
        <w:jc w:val="left"/>
      </w:pPr>
      <w:rPr>
        <w:rFonts w:hint="default" w:ascii="Arial" w:hAnsi="Arial" w:eastAsia="Arial" w:cs="Arial"/>
        <w:color w:val="366091"/>
        <w:spacing w:val="-2"/>
        <w:w w:val="102"/>
        <w:sz w:val="36"/>
        <w:szCs w:val="36"/>
        <w:lang w:val="en-US" w:eastAsia="en-US" w:bidi="en-US"/>
      </w:rPr>
    </w:lvl>
    <w:lvl w:ilvl="1">
      <w:start w:val="0"/>
      <w:numFmt w:val="bullet"/>
      <w:lvlText w:val="•"/>
      <w:lvlJc w:val="left"/>
      <w:pPr>
        <w:ind w:left="2445" w:hanging="430"/>
      </w:pPr>
      <w:rPr>
        <w:rFonts w:hint="default"/>
        <w:lang w:val="en-US" w:eastAsia="en-US" w:bidi="en-US"/>
      </w:rPr>
    </w:lvl>
    <w:lvl w:ilvl="2">
      <w:start w:val="0"/>
      <w:numFmt w:val="bullet"/>
      <w:lvlText w:val="•"/>
      <w:lvlJc w:val="left"/>
      <w:pPr>
        <w:ind w:left="4031" w:hanging="430"/>
      </w:pPr>
      <w:rPr>
        <w:rFonts w:hint="default"/>
        <w:lang w:val="en-US" w:eastAsia="en-US" w:bidi="en-US"/>
      </w:rPr>
    </w:lvl>
    <w:lvl w:ilvl="3">
      <w:start w:val="0"/>
      <w:numFmt w:val="bullet"/>
      <w:lvlText w:val="•"/>
      <w:lvlJc w:val="left"/>
      <w:pPr>
        <w:ind w:left="5617" w:hanging="430"/>
      </w:pPr>
      <w:rPr>
        <w:rFonts w:hint="default"/>
        <w:lang w:val="en-US" w:eastAsia="en-US" w:bidi="en-US"/>
      </w:rPr>
    </w:lvl>
    <w:lvl w:ilvl="4">
      <w:start w:val="0"/>
      <w:numFmt w:val="bullet"/>
      <w:lvlText w:val="•"/>
      <w:lvlJc w:val="left"/>
      <w:pPr>
        <w:ind w:left="7203" w:hanging="430"/>
      </w:pPr>
      <w:rPr>
        <w:rFonts w:hint="default"/>
        <w:lang w:val="en-US" w:eastAsia="en-US" w:bidi="en-US"/>
      </w:rPr>
    </w:lvl>
    <w:lvl w:ilvl="5">
      <w:start w:val="0"/>
      <w:numFmt w:val="bullet"/>
      <w:lvlText w:val="•"/>
      <w:lvlJc w:val="left"/>
      <w:pPr>
        <w:ind w:left="8789" w:hanging="430"/>
      </w:pPr>
      <w:rPr>
        <w:rFonts w:hint="default"/>
        <w:lang w:val="en-US" w:eastAsia="en-US" w:bidi="en-US"/>
      </w:rPr>
    </w:lvl>
    <w:lvl w:ilvl="6">
      <w:start w:val="0"/>
      <w:numFmt w:val="bullet"/>
      <w:lvlText w:val="•"/>
      <w:lvlJc w:val="left"/>
      <w:pPr>
        <w:ind w:left="10375" w:hanging="430"/>
      </w:pPr>
      <w:rPr>
        <w:rFonts w:hint="default"/>
        <w:lang w:val="en-US" w:eastAsia="en-US" w:bidi="en-US"/>
      </w:rPr>
    </w:lvl>
    <w:lvl w:ilvl="7">
      <w:start w:val="0"/>
      <w:numFmt w:val="bullet"/>
      <w:lvlText w:val="•"/>
      <w:lvlJc w:val="left"/>
      <w:pPr>
        <w:ind w:left="11960" w:hanging="430"/>
      </w:pPr>
      <w:rPr>
        <w:rFonts w:hint="default"/>
        <w:lang w:val="en-US" w:eastAsia="en-US" w:bidi="en-US"/>
      </w:rPr>
    </w:lvl>
    <w:lvl w:ilvl="8">
      <w:start w:val="0"/>
      <w:numFmt w:val="bullet"/>
      <w:lvlText w:val="•"/>
      <w:lvlJc w:val="left"/>
      <w:pPr>
        <w:ind w:left="13546" w:hanging="430"/>
      </w:pPr>
      <w:rPr>
        <w:rFonts w:hint="default"/>
        <w:lang w:val="en-US" w:eastAsia="en-US" w:bidi="en-US"/>
      </w:rPr>
    </w:lvl>
  </w:abstractNum>
  <w:abstractNum w:abstractNumId="8">
    <w:multiLevelType w:val="hybridMultilevel"/>
    <w:lvl w:ilvl="0">
      <w:start w:val="1"/>
      <w:numFmt w:val="lowerLetter"/>
      <w:lvlText w:val="(%1)"/>
      <w:lvlJc w:val="left"/>
      <w:pPr>
        <w:ind w:left="429" w:hanging="610"/>
        <w:jc w:val="left"/>
      </w:pPr>
      <w:rPr>
        <w:rFonts w:hint="default" w:ascii="Arial" w:hAnsi="Arial" w:eastAsia="Arial" w:cs="Arial"/>
        <w:color w:val="366091"/>
        <w:spacing w:val="-2"/>
        <w:w w:val="102"/>
        <w:sz w:val="36"/>
        <w:szCs w:val="36"/>
        <w:lang w:val="en-US" w:eastAsia="en-US" w:bidi="en-US"/>
      </w:rPr>
    </w:lvl>
    <w:lvl w:ilvl="1">
      <w:start w:val="0"/>
      <w:numFmt w:val="bullet"/>
      <w:lvlText w:val="•"/>
      <w:lvlJc w:val="left"/>
      <w:pPr>
        <w:ind w:left="2049" w:hanging="610"/>
      </w:pPr>
      <w:rPr>
        <w:rFonts w:hint="default"/>
        <w:lang w:val="en-US" w:eastAsia="en-US" w:bidi="en-US"/>
      </w:rPr>
    </w:lvl>
    <w:lvl w:ilvl="2">
      <w:start w:val="0"/>
      <w:numFmt w:val="bullet"/>
      <w:lvlText w:val="•"/>
      <w:lvlJc w:val="left"/>
      <w:pPr>
        <w:ind w:left="3679" w:hanging="610"/>
      </w:pPr>
      <w:rPr>
        <w:rFonts w:hint="default"/>
        <w:lang w:val="en-US" w:eastAsia="en-US" w:bidi="en-US"/>
      </w:rPr>
    </w:lvl>
    <w:lvl w:ilvl="3">
      <w:start w:val="0"/>
      <w:numFmt w:val="bullet"/>
      <w:lvlText w:val="•"/>
      <w:lvlJc w:val="left"/>
      <w:pPr>
        <w:ind w:left="5309" w:hanging="610"/>
      </w:pPr>
      <w:rPr>
        <w:rFonts w:hint="default"/>
        <w:lang w:val="en-US" w:eastAsia="en-US" w:bidi="en-US"/>
      </w:rPr>
    </w:lvl>
    <w:lvl w:ilvl="4">
      <w:start w:val="0"/>
      <w:numFmt w:val="bullet"/>
      <w:lvlText w:val="•"/>
      <w:lvlJc w:val="left"/>
      <w:pPr>
        <w:ind w:left="6939" w:hanging="610"/>
      </w:pPr>
      <w:rPr>
        <w:rFonts w:hint="default"/>
        <w:lang w:val="en-US" w:eastAsia="en-US" w:bidi="en-US"/>
      </w:rPr>
    </w:lvl>
    <w:lvl w:ilvl="5">
      <w:start w:val="0"/>
      <w:numFmt w:val="bullet"/>
      <w:lvlText w:val="•"/>
      <w:lvlJc w:val="left"/>
      <w:pPr>
        <w:ind w:left="8569" w:hanging="610"/>
      </w:pPr>
      <w:rPr>
        <w:rFonts w:hint="default"/>
        <w:lang w:val="en-US" w:eastAsia="en-US" w:bidi="en-US"/>
      </w:rPr>
    </w:lvl>
    <w:lvl w:ilvl="6">
      <w:start w:val="0"/>
      <w:numFmt w:val="bullet"/>
      <w:lvlText w:val="•"/>
      <w:lvlJc w:val="left"/>
      <w:pPr>
        <w:ind w:left="10199" w:hanging="610"/>
      </w:pPr>
      <w:rPr>
        <w:rFonts w:hint="default"/>
        <w:lang w:val="en-US" w:eastAsia="en-US" w:bidi="en-US"/>
      </w:rPr>
    </w:lvl>
    <w:lvl w:ilvl="7">
      <w:start w:val="0"/>
      <w:numFmt w:val="bullet"/>
      <w:lvlText w:val="•"/>
      <w:lvlJc w:val="left"/>
      <w:pPr>
        <w:ind w:left="11828" w:hanging="610"/>
      </w:pPr>
      <w:rPr>
        <w:rFonts w:hint="default"/>
        <w:lang w:val="en-US" w:eastAsia="en-US" w:bidi="en-US"/>
      </w:rPr>
    </w:lvl>
    <w:lvl w:ilvl="8">
      <w:start w:val="0"/>
      <w:numFmt w:val="bullet"/>
      <w:lvlText w:val="•"/>
      <w:lvlJc w:val="left"/>
      <w:pPr>
        <w:ind w:left="13458" w:hanging="610"/>
      </w:pPr>
      <w:rPr>
        <w:rFonts w:hint="default"/>
        <w:lang w:val="en-US" w:eastAsia="en-US" w:bidi="en-US"/>
      </w:rPr>
    </w:lvl>
  </w:abstractNum>
  <w:abstractNum w:abstractNumId="7">
    <w:multiLevelType w:val="hybridMultilevel"/>
    <w:lvl w:ilvl="0">
      <w:start w:val="1"/>
      <w:numFmt w:val="lowerLetter"/>
      <w:lvlText w:val="(%1)"/>
      <w:lvlJc w:val="left"/>
      <w:pPr>
        <w:ind w:left="429" w:hanging="681"/>
        <w:jc w:val="left"/>
      </w:pPr>
      <w:rPr>
        <w:rFonts w:hint="default" w:ascii="Arial" w:hAnsi="Arial" w:eastAsia="Arial" w:cs="Arial"/>
        <w:color w:val="366091"/>
        <w:spacing w:val="-2"/>
        <w:w w:val="100"/>
        <w:sz w:val="42"/>
        <w:szCs w:val="42"/>
        <w:lang w:val="en-US" w:eastAsia="en-US" w:bidi="en-US"/>
      </w:rPr>
    </w:lvl>
    <w:lvl w:ilvl="1">
      <w:start w:val="0"/>
      <w:numFmt w:val="bullet"/>
      <w:lvlText w:val="•"/>
      <w:lvlJc w:val="left"/>
      <w:pPr>
        <w:ind w:left="2049" w:hanging="681"/>
      </w:pPr>
      <w:rPr>
        <w:rFonts w:hint="default"/>
        <w:lang w:val="en-US" w:eastAsia="en-US" w:bidi="en-US"/>
      </w:rPr>
    </w:lvl>
    <w:lvl w:ilvl="2">
      <w:start w:val="0"/>
      <w:numFmt w:val="bullet"/>
      <w:lvlText w:val="•"/>
      <w:lvlJc w:val="left"/>
      <w:pPr>
        <w:ind w:left="3679" w:hanging="681"/>
      </w:pPr>
      <w:rPr>
        <w:rFonts w:hint="default"/>
        <w:lang w:val="en-US" w:eastAsia="en-US" w:bidi="en-US"/>
      </w:rPr>
    </w:lvl>
    <w:lvl w:ilvl="3">
      <w:start w:val="0"/>
      <w:numFmt w:val="bullet"/>
      <w:lvlText w:val="•"/>
      <w:lvlJc w:val="left"/>
      <w:pPr>
        <w:ind w:left="5309" w:hanging="681"/>
      </w:pPr>
      <w:rPr>
        <w:rFonts w:hint="default"/>
        <w:lang w:val="en-US" w:eastAsia="en-US" w:bidi="en-US"/>
      </w:rPr>
    </w:lvl>
    <w:lvl w:ilvl="4">
      <w:start w:val="0"/>
      <w:numFmt w:val="bullet"/>
      <w:lvlText w:val="•"/>
      <w:lvlJc w:val="left"/>
      <w:pPr>
        <w:ind w:left="6939" w:hanging="681"/>
      </w:pPr>
      <w:rPr>
        <w:rFonts w:hint="default"/>
        <w:lang w:val="en-US" w:eastAsia="en-US" w:bidi="en-US"/>
      </w:rPr>
    </w:lvl>
    <w:lvl w:ilvl="5">
      <w:start w:val="0"/>
      <w:numFmt w:val="bullet"/>
      <w:lvlText w:val="•"/>
      <w:lvlJc w:val="left"/>
      <w:pPr>
        <w:ind w:left="8569" w:hanging="681"/>
      </w:pPr>
      <w:rPr>
        <w:rFonts w:hint="default"/>
        <w:lang w:val="en-US" w:eastAsia="en-US" w:bidi="en-US"/>
      </w:rPr>
    </w:lvl>
    <w:lvl w:ilvl="6">
      <w:start w:val="0"/>
      <w:numFmt w:val="bullet"/>
      <w:lvlText w:val="•"/>
      <w:lvlJc w:val="left"/>
      <w:pPr>
        <w:ind w:left="10199" w:hanging="681"/>
      </w:pPr>
      <w:rPr>
        <w:rFonts w:hint="default"/>
        <w:lang w:val="en-US" w:eastAsia="en-US" w:bidi="en-US"/>
      </w:rPr>
    </w:lvl>
    <w:lvl w:ilvl="7">
      <w:start w:val="0"/>
      <w:numFmt w:val="bullet"/>
      <w:lvlText w:val="•"/>
      <w:lvlJc w:val="left"/>
      <w:pPr>
        <w:ind w:left="11828" w:hanging="681"/>
      </w:pPr>
      <w:rPr>
        <w:rFonts w:hint="default"/>
        <w:lang w:val="en-US" w:eastAsia="en-US" w:bidi="en-US"/>
      </w:rPr>
    </w:lvl>
    <w:lvl w:ilvl="8">
      <w:start w:val="0"/>
      <w:numFmt w:val="bullet"/>
      <w:lvlText w:val="•"/>
      <w:lvlJc w:val="left"/>
      <w:pPr>
        <w:ind w:left="13458" w:hanging="681"/>
      </w:pPr>
      <w:rPr>
        <w:rFonts w:hint="default"/>
        <w:lang w:val="en-US" w:eastAsia="en-US" w:bidi="en-US"/>
      </w:rPr>
    </w:lvl>
  </w:abstractNum>
  <w:abstractNum w:abstractNumId="6">
    <w:multiLevelType w:val="hybridMultilevel"/>
    <w:lvl w:ilvl="0">
      <w:start w:val="1"/>
      <w:numFmt w:val="lowerRoman"/>
      <w:lvlText w:val="(%1)"/>
      <w:lvlJc w:val="left"/>
      <w:pPr>
        <w:ind w:left="1005" w:hanging="576"/>
        <w:jc w:val="left"/>
      </w:pPr>
      <w:rPr>
        <w:rFonts w:hint="default" w:ascii="Arial" w:hAnsi="Arial" w:eastAsia="Arial" w:cs="Arial"/>
        <w:color w:val="366091"/>
        <w:spacing w:val="-2"/>
        <w:w w:val="100"/>
        <w:sz w:val="49"/>
        <w:szCs w:val="49"/>
        <w:lang w:val="en-US" w:eastAsia="en-US" w:bidi="en-US"/>
      </w:rPr>
    </w:lvl>
    <w:lvl w:ilvl="1">
      <w:start w:val="0"/>
      <w:numFmt w:val="bullet"/>
      <w:lvlText w:val="•"/>
      <w:lvlJc w:val="left"/>
      <w:pPr>
        <w:ind w:left="2571" w:hanging="576"/>
      </w:pPr>
      <w:rPr>
        <w:rFonts w:hint="default"/>
        <w:lang w:val="en-US" w:eastAsia="en-US" w:bidi="en-US"/>
      </w:rPr>
    </w:lvl>
    <w:lvl w:ilvl="2">
      <w:start w:val="0"/>
      <w:numFmt w:val="bullet"/>
      <w:lvlText w:val="•"/>
      <w:lvlJc w:val="left"/>
      <w:pPr>
        <w:ind w:left="4143" w:hanging="576"/>
      </w:pPr>
      <w:rPr>
        <w:rFonts w:hint="default"/>
        <w:lang w:val="en-US" w:eastAsia="en-US" w:bidi="en-US"/>
      </w:rPr>
    </w:lvl>
    <w:lvl w:ilvl="3">
      <w:start w:val="0"/>
      <w:numFmt w:val="bullet"/>
      <w:lvlText w:val="•"/>
      <w:lvlJc w:val="left"/>
      <w:pPr>
        <w:ind w:left="5715" w:hanging="576"/>
      </w:pPr>
      <w:rPr>
        <w:rFonts w:hint="default"/>
        <w:lang w:val="en-US" w:eastAsia="en-US" w:bidi="en-US"/>
      </w:rPr>
    </w:lvl>
    <w:lvl w:ilvl="4">
      <w:start w:val="0"/>
      <w:numFmt w:val="bullet"/>
      <w:lvlText w:val="•"/>
      <w:lvlJc w:val="left"/>
      <w:pPr>
        <w:ind w:left="7287" w:hanging="576"/>
      </w:pPr>
      <w:rPr>
        <w:rFonts w:hint="default"/>
        <w:lang w:val="en-US" w:eastAsia="en-US" w:bidi="en-US"/>
      </w:rPr>
    </w:lvl>
    <w:lvl w:ilvl="5">
      <w:start w:val="0"/>
      <w:numFmt w:val="bullet"/>
      <w:lvlText w:val="•"/>
      <w:lvlJc w:val="left"/>
      <w:pPr>
        <w:ind w:left="8859" w:hanging="576"/>
      </w:pPr>
      <w:rPr>
        <w:rFonts w:hint="default"/>
        <w:lang w:val="en-US" w:eastAsia="en-US" w:bidi="en-US"/>
      </w:rPr>
    </w:lvl>
    <w:lvl w:ilvl="6">
      <w:start w:val="0"/>
      <w:numFmt w:val="bullet"/>
      <w:lvlText w:val="•"/>
      <w:lvlJc w:val="left"/>
      <w:pPr>
        <w:ind w:left="10431" w:hanging="576"/>
      </w:pPr>
      <w:rPr>
        <w:rFonts w:hint="default"/>
        <w:lang w:val="en-US" w:eastAsia="en-US" w:bidi="en-US"/>
      </w:rPr>
    </w:lvl>
    <w:lvl w:ilvl="7">
      <w:start w:val="0"/>
      <w:numFmt w:val="bullet"/>
      <w:lvlText w:val="•"/>
      <w:lvlJc w:val="left"/>
      <w:pPr>
        <w:ind w:left="12002" w:hanging="576"/>
      </w:pPr>
      <w:rPr>
        <w:rFonts w:hint="default"/>
        <w:lang w:val="en-US" w:eastAsia="en-US" w:bidi="en-US"/>
      </w:rPr>
    </w:lvl>
    <w:lvl w:ilvl="8">
      <w:start w:val="0"/>
      <w:numFmt w:val="bullet"/>
      <w:lvlText w:val="•"/>
      <w:lvlJc w:val="left"/>
      <w:pPr>
        <w:ind w:left="13574" w:hanging="576"/>
      </w:pPr>
      <w:rPr>
        <w:rFonts w:hint="default"/>
        <w:lang w:val="en-US" w:eastAsia="en-US" w:bidi="en-US"/>
      </w:rPr>
    </w:lvl>
  </w:abstractNum>
  <w:abstractNum w:abstractNumId="5">
    <w:multiLevelType w:val="hybridMultilevel"/>
    <w:lvl w:ilvl="0">
      <w:start w:val="0"/>
      <w:numFmt w:val="bullet"/>
      <w:lvlText w:val=""/>
      <w:lvlJc w:val="left"/>
      <w:pPr>
        <w:ind w:left="902" w:hanging="473"/>
      </w:pPr>
      <w:rPr>
        <w:rFonts w:hint="default"/>
        <w:w w:val="101"/>
        <w:lang w:val="en-US" w:eastAsia="en-US" w:bidi="en-US"/>
      </w:rPr>
    </w:lvl>
    <w:lvl w:ilvl="1">
      <w:start w:val="0"/>
      <w:numFmt w:val="bullet"/>
      <w:lvlText w:val="•"/>
      <w:lvlJc w:val="left"/>
      <w:pPr>
        <w:ind w:left="2481" w:hanging="473"/>
      </w:pPr>
      <w:rPr>
        <w:rFonts w:hint="default"/>
        <w:lang w:val="en-US" w:eastAsia="en-US" w:bidi="en-US"/>
      </w:rPr>
    </w:lvl>
    <w:lvl w:ilvl="2">
      <w:start w:val="0"/>
      <w:numFmt w:val="bullet"/>
      <w:lvlText w:val="•"/>
      <w:lvlJc w:val="left"/>
      <w:pPr>
        <w:ind w:left="4063" w:hanging="473"/>
      </w:pPr>
      <w:rPr>
        <w:rFonts w:hint="default"/>
        <w:lang w:val="en-US" w:eastAsia="en-US" w:bidi="en-US"/>
      </w:rPr>
    </w:lvl>
    <w:lvl w:ilvl="3">
      <w:start w:val="0"/>
      <w:numFmt w:val="bullet"/>
      <w:lvlText w:val="•"/>
      <w:lvlJc w:val="left"/>
      <w:pPr>
        <w:ind w:left="5645" w:hanging="473"/>
      </w:pPr>
      <w:rPr>
        <w:rFonts w:hint="default"/>
        <w:lang w:val="en-US" w:eastAsia="en-US" w:bidi="en-US"/>
      </w:rPr>
    </w:lvl>
    <w:lvl w:ilvl="4">
      <w:start w:val="0"/>
      <w:numFmt w:val="bullet"/>
      <w:lvlText w:val="•"/>
      <w:lvlJc w:val="left"/>
      <w:pPr>
        <w:ind w:left="7227" w:hanging="473"/>
      </w:pPr>
      <w:rPr>
        <w:rFonts w:hint="default"/>
        <w:lang w:val="en-US" w:eastAsia="en-US" w:bidi="en-US"/>
      </w:rPr>
    </w:lvl>
    <w:lvl w:ilvl="5">
      <w:start w:val="0"/>
      <w:numFmt w:val="bullet"/>
      <w:lvlText w:val="•"/>
      <w:lvlJc w:val="left"/>
      <w:pPr>
        <w:ind w:left="8809" w:hanging="473"/>
      </w:pPr>
      <w:rPr>
        <w:rFonts w:hint="default"/>
        <w:lang w:val="en-US" w:eastAsia="en-US" w:bidi="en-US"/>
      </w:rPr>
    </w:lvl>
    <w:lvl w:ilvl="6">
      <w:start w:val="0"/>
      <w:numFmt w:val="bullet"/>
      <w:lvlText w:val="•"/>
      <w:lvlJc w:val="left"/>
      <w:pPr>
        <w:ind w:left="10391" w:hanging="473"/>
      </w:pPr>
      <w:rPr>
        <w:rFonts w:hint="default"/>
        <w:lang w:val="en-US" w:eastAsia="en-US" w:bidi="en-US"/>
      </w:rPr>
    </w:lvl>
    <w:lvl w:ilvl="7">
      <w:start w:val="0"/>
      <w:numFmt w:val="bullet"/>
      <w:lvlText w:val="•"/>
      <w:lvlJc w:val="left"/>
      <w:pPr>
        <w:ind w:left="11972" w:hanging="473"/>
      </w:pPr>
      <w:rPr>
        <w:rFonts w:hint="default"/>
        <w:lang w:val="en-US" w:eastAsia="en-US" w:bidi="en-US"/>
      </w:rPr>
    </w:lvl>
    <w:lvl w:ilvl="8">
      <w:start w:val="0"/>
      <w:numFmt w:val="bullet"/>
      <w:lvlText w:val="•"/>
      <w:lvlJc w:val="left"/>
      <w:pPr>
        <w:ind w:left="13554" w:hanging="473"/>
      </w:pPr>
      <w:rPr>
        <w:rFonts w:hint="default"/>
        <w:lang w:val="en-US" w:eastAsia="en-US" w:bidi="en-US"/>
      </w:rPr>
    </w:lvl>
  </w:abstractNum>
  <w:abstractNum w:abstractNumId="4">
    <w:multiLevelType w:val="hybridMultilevel"/>
    <w:lvl w:ilvl="0">
      <w:start w:val="1"/>
      <w:numFmt w:val="lowerRoman"/>
      <w:lvlText w:val="(%1)"/>
      <w:lvlJc w:val="left"/>
      <w:pPr>
        <w:ind w:left="783" w:hanging="566"/>
        <w:jc w:val="left"/>
      </w:pPr>
      <w:rPr>
        <w:rFonts w:hint="default" w:ascii="Verdana" w:hAnsi="Verdana" w:eastAsia="Verdana" w:cs="Verdana"/>
        <w:color w:val="1F497C"/>
        <w:spacing w:val="-2"/>
        <w:w w:val="102"/>
        <w:sz w:val="36"/>
        <w:szCs w:val="36"/>
        <w:lang w:val="en-US" w:eastAsia="en-US" w:bidi="en-US"/>
      </w:rPr>
    </w:lvl>
    <w:lvl w:ilvl="1">
      <w:start w:val="0"/>
      <w:numFmt w:val="bullet"/>
      <w:lvlText w:val=""/>
      <w:lvlJc w:val="left"/>
      <w:pPr>
        <w:ind w:left="1427" w:hanging="473"/>
      </w:pPr>
      <w:rPr>
        <w:rFonts w:hint="default" w:ascii="Wingdings" w:hAnsi="Wingdings" w:eastAsia="Wingdings" w:cs="Wingdings"/>
        <w:color w:val="1F497C"/>
        <w:w w:val="100"/>
        <w:sz w:val="42"/>
        <w:szCs w:val="42"/>
        <w:lang w:val="en-US" w:eastAsia="en-US" w:bidi="en-US"/>
      </w:rPr>
    </w:lvl>
    <w:lvl w:ilvl="2">
      <w:start w:val="0"/>
      <w:numFmt w:val="bullet"/>
      <w:lvlText w:val="•"/>
      <w:lvlJc w:val="left"/>
      <w:pPr>
        <w:ind w:left="3119" w:hanging="473"/>
      </w:pPr>
      <w:rPr>
        <w:rFonts w:hint="default"/>
        <w:lang w:val="en-US" w:eastAsia="en-US" w:bidi="en-US"/>
      </w:rPr>
    </w:lvl>
    <w:lvl w:ilvl="3">
      <w:start w:val="0"/>
      <w:numFmt w:val="bullet"/>
      <w:lvlText w:val="•"/>
      <w:lvlJc w:val="left"/>
      <w:pPr>
        <w:ind w:left="4819" w:hanging="473"/>
      </w:pPr>
      <w:rPr>
        <w:rFonts w:hint="default"/>
        <w:lang w:val="en-US" w:eastAsia="en-US" w:bidi="en-US"/>
      </w:rPr>
    </w:lvl>
    <w:lvl w:ilvl="4">
      <w:start w:val="0"/>
      <w:numFmt w:val="bullet"/>
      <w:lvlText w:val="•"/>
      <w:lvlJc w:val="left"/>
      <w:pPr>
        <w:ind w:left="6519" w:hanging="473"/>
      </w:pPr>
      <w:rPr>
        <w:rFonts w:hint="default"/>
        <w:lang w:val="en-US" w:eastAsia="en-US" w:bidi="en-US"/>
      </w:rPr>
    </w:lvl>
    <w:lvl w:ilvl="5">
      <w:start w:val="0"/>
      <w:numFmt w:val="bullet"/>
      <w:lvlText w:val="•"/>
      <w:lvlJc w:val="left"/>
      <w:pPr>
        <w:ind w:left="8219" w:hanging="473"/>
      </w:pPr>
      <w:rPr>
        <w:rFonts w:hint="default"/>
        <w:lang w:val="en-US" w:eastAsia="en-US" w:bidi="en-US"/>
      </w:rPr>
    </w:lvl>
    <w:lvl w:ilvl="6">
      <w:start w:val="0"/>
      <w:numFmt w:val="bullet"/>
      <w:lvlText w:val="•"/>
      <w:lvlJc w:val="left"/>
      <w:pPr>
        <w:ind w:left="9919" w:hanging="473"/>
      </w:pPr>
      <w:rPr>
        <w:rFonts w:hint="default"/>
        <w:lang w:val="en-US" w:eastAsia="en-US" w:bidi="en-US"/>
      </w:rPr>
    </w:lvl>
    <w:lvl w:ilvl="7">
      <w:start w:val="0"/>
      <w:numFmt w:val="bullet"/>
      <w:lvlText w:val="•"/>
      <w:lvlJc w:val="left"/>
      <w:pPr>
        <w:ind w:left="11618" w:hanging="473"/>
      </w:pPr>
      <w:rPr>
        <w:rFonts w:hint="default"/>
        <w:lang w:val="en-US" w:eastAsia="en-US" w:bidi="en-US"/>
      </w:rPr>
    </w:lvl>
    <w:lvl w:ilvl="8">
      <w:start w:val="0"/>
      <w:numFmt w:val="bullet"/>
      <w:lvlText w:val="•"/>
      <w:lvlJc w:val="left"/>
      <w:pPr>
        <w:ind w:left="13318" w:hanging="473"/>
      </w:pPr>
      <w:rPr>
        <w:rFonts w:hint="default"/>
        <w:lang w:val="en-US" w:eastAsia="en-US" w:bidi="en-US"/>
      </w:rPr>
    </w:lvl>
  </w:abstractNum>
  <w:abstractNum w:abstractNumId="3">
    <w:multiLevelType w:val="hybridMultilevel"/>
    <w:lvl w:ilvl="0">
      <w:start w:val="1"/>
      <w:numFmt w:val="lowerLetter"/>
      <w:lvlText w:val="(%1)"/>
      <w:lvlJc w:val="left"/>
      <w:pPr>
        <w:ind w:left="218" w:hanging="713"/>
        <w:jc w:val="left"/>
      </w:pPr>
      <w:rPr>
        <w:rFonts w:hint="default"/>
        <w:spacing w:val="-2"/>
        <w:w w:val="102"/>
        <w:lang w:val="en-US" w:eastAsia="en-US" w:bidi="en-US"/>
      </w:rPr>
    </w:lvl>
    <w:lvl w:ilvl="1">
      <w:start w:val="0"/>
      <w:numFmt w:val="bullet"/>
      <w:lvlText w:val="•"/>
      <w:lvlJc w:val="left"/>
      <w:pPr>
        <w:ind w:left="1869" w:hanging="713"/>
      </w:pPr>
      <w:rPr>
        <w:rFonts w:hint="default"/>
        <w:lang w:val="en-US" w:eastAsia="en-US" w:bidi="en-US"/>
      </w:rPr>
    </w:lvl>
    <w:lvl w:ilvl="2">
      <w:start w:val="0"/>
      <w:numFmt w:val="bullet"/>
      <w:lvlText w:val="•"/>
      <w:lvlJc w:val="left"/>
      <w:pPr>
        <w:ind w:left="3519" w:hanging="713"/>
      </w:pPr>
      <w:rPr>
        <w:rFonts w:hint="default"/>
        <w:lang w:val="en-US" w:eastAsia="en-US" w:bidi="en-US"/>
      </w:rPr>
    </w:lvl>
    <w:lvl w:ilvl="3">
      <w:start w:val="0"/>
      <w:numFmt w:val="bullet"/>
      <w:lvlText w:val="•"/>
      <w:lvlJc w:val="left"/>
      <w:pPr>
        <w:ind w:left="5169" w:hanging="713"/>
      </w:pPr>
      <w:rPr>
        <w:rFonts w:hint="default"/>
        <w:lang w:val="en-US" w:eastAsia="en-US" w:bidi="en-US"/>
      </w:rPr>
    </w:lvl>
    <w:lvl w:ilvl="4">
      <w:start w:val="0"/>
      <w:numFmt w:val="bullet"/>
      <w:lvlText w:val="•"/>
      <w:lvlJc w:val="left"/>
      <w:pPr>
        <w:ind w:left="6819" w:hanging="713"/>
      </w:pPr>
      <w:rPr>
        <w:rFonts w:hint="default"/>
        <w:lang w:val="en-US" w:eastAsia="en-US" w:bidi="en-US"/>
      </w:rPr>
    </w:lvl>
    <w:lvl w:ilvl="5">
      <w:start w:val="0"/>
      <w:numFmt w:val="bullet"/>
      <w:lvlText w:val="•"/>
      <w:lvlJc w:val="left"/>
      <w:pPr>
        <w:ind w:left="8469" w:hanging="713"/>
      </w:pPr>
      <w:rPr>
        <w:rFonts w:hint="default"/>
        <w:lang w:val="en-US" w:eastAsia="en-US" w:bidi="en-US"/>
      </w:rPr>
    </w:lvl>
    <w:lvl w:ilvl="6">
      <w:start w:val="0"/>
      <w:numFmt w:val="bullet"/>
      <w:lvlText w:val="•"/>
      <w:lvlJc w:val="left"/>
      <w:pPr>
        <w:ind w:left="10119" w:hanging="713"/>
      </w:pPr>
      <w:rPr>
        <w:rFonts w:hint="default"/>
        <w:lang w:val="en-US" w:eastAsia="en-US" w:bidi="en-US"/>
      </w:rPr>
    </w:lvl>
    <w:lvl w:ilvl="7">
      <w:start w:val="0"/>
      <w:numFmt w:val="bullet"/>
      <w:lvlText w:val="•"/>
      <w:lvlJc w:val="left"/>
      <w:pPr>
        <w:ind w:left="11768" w:hanging="713"/>
      </w:pPr>
      <w:rPr>
        <w:rFonts w:hint="default"/>
        <w:lang w:val="en-US" w:eastAsia="en-US" w:bidi="en-US"/>
      </w:rPr>
    </w:lvl>
    <w:lvl w:ilvl="8">
      <w:start w:val="0"/>
      <w:numFmt w:val="bullet"/>
      <w:lvlText w:val="•"/>
      <w:lvlJc w:val="left"/>
      <w:pPr>
        <w:ind w:left="13418" w:hanging="713"/>
      </w:pPr>
      <w:rPr>
        <w:rFonts w:hint="default"/>
        <w:lang w:val="en-US" w:eastAsia="en-US" w:bidi="en-US"/>
      </w:rPr>
    </w:lvl>
  </w:abstractNum>
  <w:abstractNum w:abstractNumId="2">
    <w:multiLevelType w:val="hybridMultilevel"/>
    <w:lvl w:ilvl="0">
      <w:start w:val="1"/>
      <w:numFmt w:val="lowerLetter"/>
      <w:lvlText w:val="(%1)"/>
      <w:lvlJc w:val="left"/>
      <w:pPr>
        <w:ind w:left="793" w:hanging="681"/>
        <w:jc w:val="left"/>
      </w:pPr>
      <w:rPr>
        <w:rFonts w:hint="default" w:ascii="Trebuchet MS" w:hAnsi="Trebuchet MS" w:eastAsia="Trebuchet MS" w:cs="Trebuchet MS"/>
        <w:color w:val="1F497C"/>
        <w:spacing w:val="-3"/>
        <w:w w:val="99"/>
        <w:sz w:val="44"/>
        <w:szCs w:val="44"/>
        <w:lang w:val="en-US" w:eastAsia="en-US" w:bidi="en-US"/>
      </w:rPr>
    </w:lvl>
    <w:lvl w:ilvl="1">
      <w:start w:val="1"/>
      <w:numFmt w:val="lowerLetter"/>
      <w:lvlText w:val="(%2)"/>
      <w:lvlJc w:val="left"/>
      <w:pPr>
        <w:ind w:left="218" w:hanging="820"/>
        <w:jc w:val="left"/>
      </w:pPr>
      <w:rPr>
        <w:rFonts w:hint="default" w:ascii="Verdana" w:hAnsi="Verdana" w:eastAsia="Verdana" w:cs="Verdana"/>
        <w:color w:val="1F497C"/>
        <w:spacing w:val="-2"/>
        <w:w w:val="101"/>
        <w:sz w:val="38"/>
        <w:szCs w:val="38"/>
        <w:lang w:val="en-US" w:eastAsia="en-US" w:bidi="en-US"/>
      </w:rPr>
    </w:lvl>
    <w:lvl w:ilvl="2">
      <w:start w:val="0"/>
      <w:numFmt w:val="bullet"/>
      <w:lvlText w:val="•"/>
      <w:lvlJc w:val="left"/>
      <w:pPr>
        <w:ind w:left="2568" w:hanging="820"/>
      </w:pPr>
      <w:rPr>
        <w:rFonts w:hint="default"/>
        <w:lang w:val="en-US" w:eastAsia="en-US" w:bidi="en-US"/>
      </w:rPr>
    </w:lvl>
    <w:lvl w:ilvl="3">
      <w:start w:val="0"/>
      <w:numFmt w:val="bullet"/>
      <w:lvlText w:val="•"/>
      <w:lvlJc w:val="left"/>
      <w:pPr>
        <w:ind w:left="4337" w:hanging="820"/>
      </w:pPr>
      <w:rPr>
        <w:rFonts w:hint="default"/>
        <w:lang w:val="en-US" w:eastAsia="en-US" w:bidi="en-US"/>
      </w:rPr>
    </w:lvl>
    <w:lvl w:ilvl="4">
      <w:start w:val="0"/>
      <w:numFmt w:val="bullet"/>
      <w:lvlText w:val="•"/>
      <w:lvlJc w:val="left"/>
      <w:pPr>
        <w:ind w:left="6106" w:hanging="820"/>
      </w:pPr>
      <w:rPr>
        <w:rFonts w:hint="default"/>
        <w:lang w:val="en-US" w:eastAsia="en-US" w:bidi="en-US"/>
      </w:rPr>
    </w:lvl>
    <w:lvl w:ilvl="5">
      <w:start w:val="0"/>
      <w:numFmt w:val="bullet"/>
      <w:lvlText w:val="•"/>
      <w:lvlJc w:val="left"/>
      <w:pPr>
        <w:ind w:left="7874" w:hanging="820"/>
      </w:pPr>
      <w:rPr>
        <w:rFonts w:hint="default"/>
        <w:lang w:val="en-US" w:eastAsia="en-US" w:bidi="en-US"/>
      </w:rPr>
    </w:lvl>
    <w:lvl w:ilvl="6">
      <w:start w:val="0"/>
      <w:numFmt w:val="bullet"/>
      <w:lvlText w:val="•"/>
      <w:lvlJc w:val="left"/>
      <w:pPr>
        <w:ind w:left="9643" w:hanging="820"/>
      </w:pPr>
      <w:rPr>
        <w:rFonts w:hint="default"/>
        <w:lang w:val="en-US" w:eastAsia="en-US" w:bidi="en-US"/>
      </w:rPr>
    </w:lvl>
    <w:lvl w:ilvl="7">
      <w:start w:val="0"/>
      <w:numFmt w:val="bullet"/>
      <w:lvlText w:val="•"/>
      <w:lvlJc w:val="left"/>
      <w:pPr>
        <w:ind w:left="11412" w:hanging="820"/>
      </w:pPr>
      <w:rPr>
        <w:rFonts w:hint="default"/>
        <w:lang w:val="en-US" w:eastAsia="en-US" w:bidi="en-US"/>
      </w:rPr>
    </w:lvl>
    <w:lvl w:ilvl="8">
      <w:start w:val="0"/>
      <w:numFmt w:val="bullet"/>
      <w:lvlText w:val="•"/>
      <w:lvlJc w:val="left"/>
      <w:pPr>
        <w:ind w:left="13180" w:hanging="820"/>
      </w:pPr>
      <w:rPr>
        <w:rFonts w:hint="default"/>
        <w:lang w:val="en-US" w:eastAsia="en-US" w:bidi="en-US"/>
      </w:rPr>
    </w:lvl>
  </w:abstractNum>
  <w:abstractNum w:abstractNumId="1">
    <w:multiLevelType w:val="hybridMultilevel"/>
    <w:lvl w:ilvl="0">
      <w:start w:val="16"/>
      <w:numFmt w:val="decimal"/>
      <w:lvlText w:val="%1."/>
      <w:lvlJc w:val="left"/>
      <w:pPr>
        <w:ind w:left="323" w:hanging="654"/>
        <w:jc w:val="left"/>
      </w:pPr>
      <w:rPr>
        <w:rFonts w:hint="default" w:ascii="Arial" w:hAnsi="Arial" w:eastAsia="Arial" w:cs="Arial"/>
        <w:color w:val="366091"/>
        <w:spacing w:val="0"/>
        <w:w w:val="101"/>
        <w:sz w:val="38"/>
        <w:szCs w:val="38"/>
        <w:lang w:val="en-US" w:eastAsia="en-US" w:bidi="en-US"/>
      </w:rPr>
    </w:lvl>
    <w:lvl w:ilvl="1">
      <w:start w:val="121"/>
      <w:numFmt w:val="decimal"/>
      <w:lvlText w:val="%2."/>
      <w:lvlJc w:val="left"/>
      <w:pPr>
        <w:ind w:left="429" w:hanging="1127"/>
        <w:jc w:val="left"/>
      </w:pPr>
      <w:rPr>
        <w:rFonts w:hint="default"/>
        <w:spacing w:val="-4"/>
        <w:w w:val="100"/>
        <w:lang w:val="en-US" w:eastAsia="en-US" w:bidi="en-US"/>
      </w:rPr>
    </w:lvl>
    <w:lvl w:ilvl="2">
      <w:start w:val="0"/>
      <w:numFmt w:val="bullet"/>
      <w:lvlText w:val="•"/>
      <w:lvlJc w:val="left"/>
      <w:pPr>
        <w:ind w:left="2230" w:hanging="1127"/>
      </w:pPr>
      <w:rPr>
        <w:rFonts w:hint="default"/>
        <w:lang w:val="en-US" w:eastAsia="en-US" w:bidi="en-US"/>
      </w:rPr>
    </w:lvl>
    <w:lvl w:ilvl="3">
      <w:start w:val="0"/>
      <w:numFmt w:val="bullet"/>
      <w:lvlText w:val="•"/>
      <w:lvlJc w:val="left"/>
      <w:pPr>
        <w:ind w:left="4041" w:hanging="1127"/>
      </w:pPr>
      <w:rPr>
        <w:rFonts w:hint="default"/>
        <w:lang w:val="en-US" w:eastAsia="en-US" w:bidi="en-US"/>
      </w:rPr>
    </w:lvl>
    <w:lvl w:ilvl="4">
      <w:start w:val="0"/>
      <w:numFmt w:val="bullet"/>
      <w:lvlText w:val="•"/>
      <w:lvlJc w:val="left"/>
      <w:pPr>
        <w:ind w:left="5852" w:hanging="1127"/>
      </w:pPr>
      <w:rPr>
        <w:rFonts w:hint="default"/>
        <w:lang w:val="en-US" w:eastAsia="en-US" w:bidi="en-US"/>
      </w:rPr>
    </w:lvl>
    <w:lvl w:ilvl="5">
      <w:start w:val="0"/>
      <w:numFmt w:val="bullet"/>
      <w:lvlText w:val="•"/>
      <w:lvlJc w:val="left"/>
      <w:pPr>
        <w:ind w:left="7663" w:hanging="1127"/>
      </w:pPr>
      <w:rPr>
        <w:rFonts w:hint="default"/>
        <w:lang w:val="en-US" w:eastAsia="en-US" w:bidi="en-US"/>
      </w:rPr>
    </w:lvl>
    <w:lvl w:ilvl="6">
      <w:start w:val="0"/>
      <w:numFmt w:val="bullet"/>
      <w:lvlText w:val="•"/>
      <w:lvlJc w:val="left"/>
      <w:pPr>
        <w:ind w:left="9474" w:hanging="1127"/>
      </w:pPr>
      <w:rPr>
        <w:rFonts w:hint="default"/>
        <w:lang w:val="en-US" w:eastAsia="en-US" w:bidi="en-US"/>
      </w:rPr>
    </w:lvl>
    <w:lvl w:ilvl="7">
      <w:start w:val="0"/>
      <w:numFmt w:val="bullet"/>
      <w:lvlText w:val="•"/>
      <w:lvlJc w:val="left"/>
      <w:pPr>
        <w:ind w:left="11285" w:hanging="1127"/>
      </w:pPr>
      <w:rPr>
        <w:rFonts w:hint="default"/>
        <w:lang w:val="en-US" w:eastAsia="en-US" w:bidi="en-US"/>
      </w:rPr>
    </w:lvl>
    <w:lvl w:ilvl="8">
      <w:start w:val="0"/>
      <w:numFmt w:val="bullet"/>
      <w:lvlText w:val="•"/>
      <w:lvlJc w:val="left"/>
      <w:pPr>
        <w:ind w:left="13096" w:hanging="1127"/>
      </w:pPr>
      <w:rPr>
        <w:rFonts w:hint="default"/>
        <w:lang w:val="en-US" w:eastAsia="en-US" w:bidi="en-US"/>
      </w:rPr>
    </w:lvl>
  </w:abstractNum>
  <w:abstractNum w:abstractNumId="0">
    <w:multiLevelType w:val="hybridMultilevel"/>
    <w:lvl w:ilvl="0">
      <w:start w:val="5"/>
      <w:numFmt w:val="lowerLetter"/>
      <w:lvlText w:val="(%1)"/>
      <w:lvlJc w:val="left"/>
      <w:pPr>
        <w:ind w:left="429" w:hanging="600"/>
        <w:jc w:val="left"/>
      </w:pPr>
      <w:rPr>
        <w:rFonts w:hint="default" w:ascii="Trebuchet MS" w:hAnsi="Trebuchet MS" w:eastAsia="Trebuchet MS" w:cs="Trebuchet MS"/>
        <w:b/>
        <w:bCs/>
        <w:color w:val="1F497C"/>
        <w:w w:val="100"/>
        <w:sz w:val="35"/>
        <w:szCs w:val="35"/>
        <w:lang w:val="en-US" w:eastAsia="en-US" w:bidi="en-US"/>
      </w:rPr>
    </w:lvl>
    <w:lvl w:ilvl="1">
      <w:start w:val="0"/>
      <w:numFmt w:val="bullet"/>
      <w:lvlText w:val="•"/>
      <w:lvlJc w:val="left"/>
      <w:pPr>
        <w:ind w:left="2049" w:hanging="600"/>
      </w:pPr>
      <w:rPr>
        <w:rFonts w:hint="default"/>
        <w:lang w:val="en-US" w:eastAsia="en-US" w:bidi="en-US"/>
      </w:rPr>
    </w:lvl>
    <w:lvl w:ilvl="2">
      <w:start w:val="0"/>
      <w:numFmt w:val="bullet"/>
      <w:lvlText w:val="•"/>
      <w:lvlJc w:val="left"/>
      <w:pPr>
        <w:ind w:left="3679" w:hanging="600"/>
      </w:pPr>
      <w:rPr>
        <w:rFonts w:hint="default"/>
        <w:lang w:val="en-US" w:eastAsia="en-US" w:bidi="en-US"/>
      </w:rPr>
    </w:lvl>
    <w:lvl w:ilvl="3">
      <w:start w:val="0"/>
      <w:numFmt w:val="bullet"/>
      <w:lvlText w:val="•"/>
      <w:lvlJc w:val="left"/>
      <w:pPr>
        <w:ind w:left="5309" w:hanging="600"/>
      </w:pPr>
      <w:rPr>
        <w:rFonts w:hint="default"/>
        <w:lang w:val="en-US" w:eastAsia="en-US" w:bidi="en-US"/>
      </w:rPr>
    </w:lvl>
    <w:lvl w:ilvl="4">
      <w:start w:val="0"/>
      <w:numFmt w:val="bullet"/>
      <w:lvlText w:val="•"/>
      <w:lvlJc w:val="left"/>
      <w:pPr>
        <w:ind w:left="6939" w:hanging="600"/>
      </w:pPr>
      <w:rPr>
        <w:rFonts w:hint="default"/>
        <w:lang w:val="en-US" w:eastAsia="en-US" w:bidi="en-US"/>
      </w:rPr>
    </w:lvl>
    <w:lvl w:ilvl="5">
      <w:start w:val="0"/>
      <w:numFmt w:val="bullet"/>
      <w:lvlText w:val="•"/>
      <w:lvlJc w:val="left"/>
      <w:pPr>
        <w:ind w:left="8569" w:hanging="600"/>
      </w:pPr>
      <w:rPr>
        <w:rFonts w:hint="default"/>
        <w:lang w:val="en-US" w:eastAsia="en-US" w:bidi="en-US"/>
      </w:rPr>
    </w:lvl>
    <w:lvl w:ilvl="6">
      <w:start w:val="0"/>
      <w:numFmt w:val="bullet"/>
      <w:lvlText w:val="•"/>
      <w:lvlJc w:val="left"/>
      <w:pPr>
        <w:ind w:left="10199" w:hanging="600"/>
      </w:pPr>
      <w:rPr>
        <w:rFonts w:hint="default"/>
        <w:lang w:val="en-US" w:eastAsia="en-US" w:bidi="en-US"/>
      </w:rPr>
    </w:lvl>
    <w:lvl w:ilvl="7">
      <w:start w:val="0"/>
      <w:numFmt w:val="bullet"/>
      <w:lvlText w:val="•"/>
      <w:lvlJc w:val="left"/>
      <w:pPr>
        <w:ind w:left="11828" w:hanging="600"/>
      </w:pPr>
      <w:rPr>
        <w:rFonts w:hint="default"/>
        <w:lang w:val="en-US" w:eastAsia="en-US" w:bidi="en-US"/>
      </w:rPr>
    </w:lvl>
    <w:lvl w:ilvl="8">
      <w:start w:val="0"/>
      <w:numFmt w:val="bullet"/>
      <w:lvlText w:val="•"/>
      <w:lvlJc w:val="left"/>
      <w:pPr>
        <w:ind w:left="13458" w:hanging="600"/>
      </w:pPr>
      <w:rPr>
        <w:rFonts w:hint="default"/>
        <w:lang w:val="en-US" w:eastAsia="en-US" w:bidi="en-US"/>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38"/>
      <w:szCs w:val="38"/>
      <w:lang w:val="en-US" w:eastAsia="en-US" w:bidi="en-US"/>
    </w:rPr>
  </w:style>
  <w:style w:styleId="Heading1" w:type="paragraph">
    <w:name w:val="Heading 1"/>
    <w:basedOn w:val="Normal"/>
    <w:uiPriority w:val="1"/>
    <w:qFormat/>
    <w:pPr>
      <w:spacing w:before="106"/>
      <w:ind w:left="324" w:hanging="3"/>
      <w:outlineLvl w:val="1"/>
    </w:pPr>
    <w:rPr>
      <w:rFonts w:ascii="Calibri" w:hAnsi="Calibri" w:eastAsia="Calibri" w:cs="Calibri"/>
      <w:b/>
      <w:bCs/>
      <w:sz w:val="63"/>
      <w:szCs w:val="63"/>
      <w:lang w:val="en-US" w:eastAsia="en-US" w:bidi="en-US"/>
    </w:rPr>
  </w:style>
  <w:style w:styleId="Heading2" w:type="paragraph">
    <w:name w:val="Heading 2"/>
    <w:basedOn w:val="Normal"/>
    <w:uiPriority w:val="1"/>
    <w:qFormat/>
    <w:pPr>
      <w:ind w:left="429"/>
      <w:outlineLvl w:val="2"/>
    </w:pPr>
    <w:rPr>
      <w:rFonts w:ascii="Trebuchet MS" w:hAnsi="Trebuchet MS" w:eastAsia="Trebuchet MS" w:cs="Trebuchet MS"/>
      <w:b/>
      <w:bCs/>
      <w:sz w:val="52"/>
      <w:szCs w:val="52"/>
      <w:lang w:val="en-US" w:eastAsia="en-US" w:bidi="en-US"/>
    </w:rPr>
  </w:style>
  <w:style w:styleId="Heading3" w:type="paragraph">
    <w:name w:val="Heading 3"/>
    <w:basedOn w:val="Normal"/>
    <w:uiPriority w:val="1"/>
    <w:qFormat/>
    <w:pPr>
      <w:spacing w:before="3"/>
      <w:ind w:left="916"/>
      <w:outlineLvl w:val="3"/>
    </w:pPr>
    <w:rPr>
      <w:rFonts w:ascii="Calibri" w:hAnsi="Calibri" w:eastAsia="Calibri" w:cs="Calibri"/>
      <w:b/>
      <w:bCs/>
      <w:sz w:val="49"/>
      <w:szCs w:val="49"/>
      <w:lang w:val="en-US" w:eastAsia="en-US" w:bidi="en-US"/>
    </w:rPr>
  </w:style>
  <w:style w:styleId="Heading4" w:type="paragraph">
    <w:name w:val="Heading 4"/>
    <w:basedOn w:val="Normal"/>
    <w:uiPriority w:val="1"/>
    <w:qFormat/>
    <w:pPr>
      <w:spacing w:before="15"/>
      <w:ind w:left="112"/>
      <w:outlineLvl w:val="4"/>
    </w:pPr>
    <w:rPr>
      <w:rFonts w:ascii="Trebuchet MS" w:hAnsi="Trebuchet MS" w:eastAsia="Trebuchet MS" w:cs="Trebuchet MS"/>
      <w:sz w:val="44"/>
      <w:szCs w:val="44"/>
      <w:lang w:val="en-US" w:eastAsia="en-US" w:bidi="en-US"/>
    </w:rPr>
  </w:style>
  <w:style w:styleId="Heading5" w:type="paragraph">
    <w:name w:val="Heading 5"/>
    <w:basedOn w:val="Normal"/>
    <w:uiPriority w:val="1"/>
    <w:qFormat/>
    <w:pPr>
      <w:ind w:left="427"/>
      <w:outlineLvl w:val="5"/>
    </w:pPr>
    <w:rPr>
      <w:rFonts w:ascii="Arial" w:hAnsi="Arial" w:eastAsia="Arial" w:cs="Arial"/>
      <w:b/>
      <w:bCs/>
      <w:sz w:val="38"/>
      <w:szCs w:val="38"/>
      <w:u w:val="single" w:color="000000"/>
      <w:lang w:val="en-US" w:eastAsia="en-US" w:bidi="en-US"/>
    </w:rPr>
  </w:style>
  <w:style w:styleId="ListParagraph" w:type="paragraph">
    <w:name w:val="List Paragraph"/>
    <w:basedOn w:val="Normal"/>
    <w:uiPriority w:val="1"/>
    <w:qFormat/>
    <w:pPr>
      <w:ind w:left="429"/>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mailto:info@taxconnect.co.in"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 JALAN</dc:creator>
  <dc:title>Microsoft PowerPoint - 23rd Dec 2020 Changes - TC</dc:title>
  <dcterms:created xsi:type="dcterms:W3CDTF">2020-12-24T06:59:52Z</dcterms:created>
  <dcterms:modified xsi:type="dcterms:W3CDTF">2020-12-24T06:59:52Z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LastSaved">
    <vt:filetime>2020-12-24T00:00:00Z</vt:filetime>
  </property>
</Properties>
</file>