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16CC" w:rsidRPr="007D16CC" w:rsidRDefault="007D16CC" w:rsidP="007D16CC">
      <w:pPr>
        <w:spacing w:before="150" w:after="150" w:line="240" w:lineRule="auto"/>
        <w:outlineLvl w:val="3"/>
        <w:rPr>
          <w:rFonts w:ascii="inherit" w:eastAsia="Times New Roman" w:hAnsi="inherit" w:cs="Times New Roman"/>
          <w:color w:val="212121"/>
          <w:sz w:val="27"/>
          <w:szCs w:val="27"/>
          <w:lang w:eastAsia="en-IN"/>
        </w:rPr>
      </w:pPr>
      <w:r w:rsidRPr="007D16CC">
        <w:rPr>
          <w:rFonts w:ascii="inherit" w:eastAsia="Times New Roman" w:hAnsi="inherit" w:cs="Times New Roman"/>
          <w:color w:val="212121"/>
          <w:sz w:val="27"/>
          <w:szCs w:val="27"/>
          <w:lang w:eastAsia="en-IN"/>
        </w:rPr>
        <w:t>Salient features of Quarterly Return filing &amp; Monthly Payment of Taxes (QRMP) Scheme</w:t>
      </w:r>
    </w:p>
    <w:p w:rsidR="007D16CC" w:rsidRPr="007D16CC" w:rsidRDefault="007D16CC" w:rsidP="007D16CC">
      <w:pPr>
        <w:spacing w:after="150" w:line="240" w:lineRule="auto"/>
        <w:rPr>
          <w:rFonts w:ascii="Verdana" w:eastAsia="Times New Roman" w:hAnsi="Verdana" w:cs="Times New Roman"/>
          <w:color w:val="212121"/>
          <w:sz w:val="21"/>
          <w:szCs w:val="21"/>
          <w:lang w:eastAsia="en-IN"/>
        </w:rPr>
      </w:pPr>
      <w:r w:rsidRPr="007D16CC">
        <w:rPr>
          <w:rFonts w:ascii="Verdana" w:eastAsia="Times New Roman" w:hAnsi="Verdana" w:cs="Times New Roman"/>
          <w:color w:val="212121"/>
          <w:sz w:val="21"/>
          <w:szCs w:val="21"/>
          <w:lang w:eastAsia="en-IN"/>
        </w:rPr>
        <w:t>20/11/2020</w:t>
      </w:r>
    </w:p>
    <w:p w:rsidR="007D16CC" w:rsidRPr="007D16CC" w:rsidRDefault="007D16CC" w:rsidP="007D16CC">
      <w:pPr>
        <w:numPr>
          <w:ilvl w:val="0"/>
          <w:numId w:val="1"/>
        </w:numPr>
        <w:spacing w:before="100" w:beforeAutospacing="1" w:after="100" w:afterAutospacing="1" w:line="240" w:lineRule="auto"/>
        <w:ind w:left="495"/>
        <w:rPr>
          <w:rFonts w:ascii="Verdana" w:eastAsia="Times New Roman" w:hAnsi="Verdana" w:cs="Times New Roman"/>
          <w:color w:val="212121"/>
          <w:sz w:val="21"/>
          <w:szCs w:val="21"/>
          <w:lang w:eastAsia="en-IN"/>
        </w:rPr>
      </w:pPr>
      <w:r w:rsidRPr="007D16CC">
        <w:rPr>
          <w:rFonts w:ascii="Verdana" w:eastAsia="Times New Roman" w:hAnsi="Verdana" w:cs="Times New Roman"/>
          <w:color w:val="212121"/>
          <w:sz w:val="21"/>
          <w:szCs w:val="21"/>
          <w:u w:val="single"/>
          <w:lang w:eastAsia="en-IN"/>
        </w:rPr>
        <w:t>Who can opt for the scheme:</w:t>
      </w:r>
      <w:r w:rsidRPr="007D16CC">
        <w:rPr>
          <w:rFonts w:ascii="Verdana" w:eastAsia="Times New Roman" w:hAnsi="Verdana" w:cs="Times New Roman"/>
          <w:color w:val="212121"/>
          <w:sz w:val="21"/>
          <w:szCs w:val="21"/>
          <w:lang w:eastAsia="en-IN"/>
        </w:rPr>
        <w:t> Following registered person (hereinafter RP) can file quarterly returns and pay tax on monthly basis w.e.f. 01.01.2021 :</w:t>
      </w:r>
    </w:p>
    <w:p w:rsidR="007D16CC" w:rsidRPr="007D16CC" w:rsidRDefault="007D16CC" w:rsidP="007D16CC">
      <w:pPr>
        <w:spacing w:after="0" w:line="240" w:lineRule="auto"/>
        <w:ind w:left="495"/>
        <w:rPr>
          <w:rFonts w:ascii="Verdana" w:eastAsia="Times New Roman" w:hAnsi="Verdana" w:cs="Times New Roman"/>
          <w:color w:val="212121"/>
          <w:sz w:val="21"/>
          <w:szCs w:val="21"/>
          <w:lang w:eastAsia="en-IN"/>
        </w:rPr>
      </w:pPr>
      <w:r w:rsidRPr="007D16CC">
        <w:rPr>
          <w:rFonts w:ascii="Verdana" w:eastAsia="Times New Roman" w:hAnsi="Verdana" w:cs="Times New Roman"/>
          <w:color w:val="212121"/>
          <w:sz w:val="21"/>
          <w:szCs w:val="21"/>
          <w:lang w:eastAsia="en-IN"/>
        </w:rPr>
        <w:br/>
      </w:r>
    </w:p>
    <w:p w:rsidR="007D16CC" w:rsidRPr="007D16CC" w:rsidRDefault="007D16CC" w:rsidP="007D16CC">
      <w:pPr>
        <w:numPr>
          <w:ilvl w:val="1"/>
          <w:numId w:val="1"/>
        </w:numPr>
        <w:spacing w:before="100" w:beforeAutospacing="1" w:after="100" w:afterAutospacing="1" w:line="240" w:lineRule="auto"/>
        <w:ind w:left="1215"/>
        <w:rPr>
          <w:rFonts w:ascii="Verdana" w:eastAsia="Times New Roman" w:hAnsi="Verdana" w:cs="Times New Roman"/>
          <w:color w:val="212121"/>
          <w:sz w:val="21"/>
          <w:szCs w:val="21"/>
          <w:lang w:eastAsia="en-IN"/>
        </w:rPr>
      </w:pPr>
      <w:r w:rsidRPr="007D16CC">
        <w:rPr>
          <w:rFonts w:ascii="Verdana" w:eastAsia="Times New Roman" w:hAnsi="Verdana" w:cs="Times New Roman"/>
          <w:color w:val="212121"/>
          <w:sz w:val="21"/>
          <w:szCs w:val="21"/>
          <w:lang w:eastAsia="en-IN"/>
        </w:rPr>
        <w:t xml:space="preserve">An RP who is required to file Form GSTR 3B with AATO of up to Rs 5 Cr. in the previous financial year is eligible. If AATO crosses Rs 5 Cr. during a </w:t>
      </w:r>
      <w:proofErr w:type="gramStart"/>
      <w:r w:rsidRPr="007D16CC">
        <w:rPr>
          <w:rFonts w:ascii="Verdana" w:eastAsia="Times New Roman" w:hAnsi="Verdana" w:cs="Times New Roman"/>
          <w:color w:val="212121"/>
          <w:sz w:val="21"/>
          <w:szCs w:val="21"/>
          <w:lang w:eastAsia="en-IN"/>
        </w:rPr>
        <w:t>qtr.,</w:t>
      </w:r>
      <w:proofErr w:type="gramEnd"/>
      <w:r w:rsidRPr="007D16CC">
        <w:rPr>
          <w:rFonts w:ascii="Verdana" w:eastAsia="Times New Roman" w:hAnsi="Verdana" w:cs="Times New Roman"/>
          <w:color w:val="212121"/>
          <w:sz w:val="21"/>
          <w:szCs w:val="21"/>
          <w:lang w:eastAsia="en-IN"/>
        </w:rPr>
        <w:t xml:space="preserve"> RP will become in-eligible for the Scheme from next quarter.</w:t>
      </w:r>
    </w:p>
    <w:p w:rsidR="007D16CC" w:rsidRPr="007D16CC" w:rsidRDefault="007D16CC" w:rsidP="007D16CC">
      <w:pPr>
        <w:numPr>
          <w:ilvl w:val="1"/>
          <w:numId w:val="1"/>
        </w:numPr>
        <w:spacing w:before="100" w:beforeAutospacing="1" w:after="100" w:afterAutospacing="1" w:line="240" w:lineRule="auto"/>
        <w:ind w:left="1215"/>
        <w:rPr>
          <w:rFonts w:ascii="Verdana" w:eastAsia="Times New Roman" w:hAnsi="Verdana" w:cs="Times New Roman"/>
          <w:color w:val="212121"/>
          <w:sz w:val="21"/>
          <w:szCs w:val="21"/>
          <w:lang w:eastAsia="en-IN"/>
        </w:rPr>
      </w:pPr>
      <w:r w:rsidRPr="007D16CC">
        <w:rPr>
          <w:rFonts w:ascii="Verdana" w:eastAsia="Times New Roman" w:hAnsi="Verdana" w:cs="Times New Roman"/>
          <w:color w:val="212121"/>
          <w:sz w:val="21"/>
          <w:szCs w:val="21"/>
          <w:lang w:eastAsia="en-IN"/>
        </w:rPr>
        <w:t>Any person obtaining a new registration or opting out of Composition Scheme can also opt for this Scheme.</w:t>
      </w:r>
    </w:p>
    <w:p w:rsidR="007D16CC" w:rsidRPr="007D16CC" w:rsidRDefault="007D16CC" w:rsidP="007D16CC">
      <w:pPr>
        <w:numPr>
          <w:ilvl w:val="1"/>
          <w:numId w:val="1"/>
        </w:numPr>
        <w:spacing w:before="100" w:beforeAutospacing="1" w:after="100" w:afterAutospacing="1" w:line="240" w:lineRule="auto"/>
        <w:ind w:left="1215"/>
        <w:rPr>
          <w:rFonts w:ascii="Verdana" w:eastAsia="Times New Roman" w:hAnsi="Verdana" w:cs="Times New Roman"/>
          <w:color w:val="212121"/>
          <w:sz w:val="21"/>
          <w:szCs w:val="21"/>
          <w:lang w:eastAsia="en-IN"/>
        </w:rPr>
      </w:pPr>
      <w:r w:rsidRPr="007D16CC">
        <w:rPr>
          <w:rFonts w:ascii="Verdana" w:eastAsia="Times New Roman" w:hAnsi="Verdana" w:cs="Times New Roman"/>
          <w:color w:val="212121"/>
          <w:sz w:val="21"/>
          <w:szCs w:val="21"/>
          <w:lang w:eastAsia="en-IN"/>
        </w:rPr>
        <w:t>The option to avail this Scheme can be availed GSTIN wise. Therefore, few GSTINs for that PAN can opt for the Scheme and remaining GSTINs can remain out of the Scheme.</w:t>
      </w:r>
    </w:p>
    <w:p w:rsidR="007D16CC" w:rsidRPr="007D16CC" w:rsidRDefault="007D16CC" w:rsidP="007D16CC">
      <w:pPr>
        <w:spacing w:after="0" w:line="240" w:lineRule="auto"/>
        <w:ind w:left="495"/>
        <w:rPr>
          <w:rFonts w:ascii="Verdana" w:eastAsia="Times New Roman" w:hAnsi="Verdana" w:cs="Times New Roman"/>
          <w:color w:val="212121"/>
          <w:sz w:val="21"/>
          <w:szCs w:val="21"/>
          <w:lang w:eastAsia="en-IN"/>
        </w:rPr>
      </w:pPr>
      <w:r w:rsidRPr="007D16CC">
        <w:rPr>
          <w:rFonts w:ascii="Verdana" w:eastAsia="Times New Roman" w:hAnsi="Verdana" w:cs="Times New Roman"/>
          <w:color w:val="212121"/>
          <w:sz w:val="21"/>
          <w:szCs w:val="21"/>
          <w:lang w:eastAsia="en-IN"/>
        </w:rPr>
        <w:br/>
      </w:r>
    </w:p>
    <w:p w:rsidR="007D16CC" w:rsidRPr="007D16CC" w:rsidRDefault="007D16CC" w:rsidP="007D16CC">
      <w:pPr>
        <w:numPr>
          <w:ilvl w:val="0"/>
          <w:numId w:val="1"/>
        </w:numPr>
        <w:spacing w:before="100" w:beforeAutospacing="1" w:after="100" w:afterAutospacing="1" w:line="240" w:lineRule="auto"/>
        <w:ind w:left="495"/>
        <w:rPr>
          <w:rFonts w:ascii="Verdana" w:eastAsia="Times New Roman" w:hAnsi="Verdana" w:cs="Times New Roman"/>
          <w:color w:val="212121"/>
          <w:sz w:val="21"/>
          <w:szCs w:val="21"/>
          <w:lang w:eastAsia="en-IN"/>
        </w:rPr>
      </w:pPr>
      <w:r w:rsidRPr="007D16CC">
        <w:rPr>
          <w:rFonts w:ascii="Verdana" w:eastAsia="Times New Roman" w:hAnsi="Verdana" w:cs="Times New Roman"/>
          <w:color w:val="212121"/>
          <w:sz w:val="21"/>
          <w:szCs w:val="21"/>
          <w:u w:val="single"/>
          <w:lang w:eastAsia="en-IN"/>
        </w:rPr>
        <w:t>Changes on the GST Portal:</w:t>
      </w:r>
      <w:r w:rsidRPr="007D16CC">
        <w:rPr>
          <w:rFonts w:ascii="Verdana" w:eastAsia="Times New Roman" w:hAnsi="Verdana" w:cs="Times New Roman"/>
          <w:color w:val="212121"/>
          <w:sz w:val="21"/>
          <w:szCs w:val="21"/>
          <w:lang w:eastAsia="en-IN"/>
        </w:rPr>
        <w:t> For qtr. Jan., 2021 to March, 2021, all RPs whose AATO for the FY 2019-20 is up to Rs 5 Cr. and have furnished the return in Form GSTR-3B for the month of October, 2020 by 30</w:t>
      </w:r>
      <w:r w:rsidRPr="007D16CC">
        <w:rPr>
          <w:rFonts w:ascii="Verdana" w:eastAsia="Times New Roman" w:hAnsi="Verdana" w:cs="Times New Roman"/>
          <w:color w:val="212121"/>
          <w:sz w:val="16"/>
          <w:szCs w:val="16"/>
          <w:vertAlign w:val="superscript"/>
          <w:lang w:eastAsia="en-IN"/>
        </w:rPr>
        <w:t>th</w:t>
      </w:r>
      <w:r w:rsidRPr="007D16CC">
        <w:rPr>
          <w:rFonts w:ascii="Verdana" w:eastAsia="Times New Roman" w:hAnsi="Verdana" w:cs="Times New Roman"/>
          <w:color w:val="212121"/>
          <w:sz w:val="21"/>
          <w:szCs w:val="21"/>
          <w:lang w:eastAsia="en-IN"/>
        </w:rPr>
        <w:t>Nov., 2020, will be </w:t>
      </w:r>
      <w:r w:rsidRPr="007D16CC">
        <w:rPr>
          <w:rFonts w:ascii="Verdana" w:eastAsia="Times New Roman" w:hAnsi="Verdana" w:cs="Times New Roman"/>
          <w:color w:val="212121"/>
          <w:sz w:val="21"/>
          <w:szCs w:val="21"/>
          <w:u w:val="single"/>
          <w:lang w:eastAsia="en-IN"/>
        </w:rPr>
        <w:t>migrated by default</w:t>
      </w:r>
      <w:r w:rsidRPr="007D16CC">
        <w:rPr>
          <w:rFonts w:ascii="Verdana" w:eastAsia="Times New Roman" w:hAnsi="Verdana" w:cs="Times New Roman"/>
          <w:color w:val="212121"/>
          <w:sz w:val="21"/>
          <w:szCs w:val="21"/>
          <w:lang w:eastAsia="en-IN"/>
        </w:rPr>
        <w:t> in the GST system as follows:</w:t>
      </w:r>
    </w:p>
    <w:p w:rsidR="007D16CC" w:rsidRPr="007D16CC" w:rsidRDefault="007D16CC" w:rsidP="007D16CC">
      <w:pPr>
        <w:spacing w:after="0" w:line="240" w:lineRule="auto"/>
        <w:ind w:left="495"/>
        <w:rPr>
          <w:rFonts w:ascii="Verdana" w:eastAsia="Times New Roman" w:hAnsi="Verdana" w:cs="Times New Roman"/>
          <w:color w:val="212121"/>
          <w:sz w:val="21"/>
          <w:szCs w:val="21"/>
          <w:lang w:eastAsia="en-IN"/>
        </w:rPr>
      </w:pPr>
    </w:p>
    <w:tbl>
      <w:tblPr>
        <w:tblW w:w="0" w:type="dxa"/>
        <w:tblInd w:w="720" w:type="dxa"/>
        <w:tblBorders>
          <w:top w:val="outset" w:sz="36" w:space="0" w:color="auto"/>
          <w:left w:val="outset" w:sz="36" w:space="0" w:color="auto"/>
          <w:bottom w:val="outset" w:sz="36" w:space="0" w:color="auto"/>
          <w:right w:val="outset" w:sz="36" w:space="0" w:color="auto"/>
        </w:tblBorders>
        <w:tblCellMar>
          <w:top w:w="15" w:type="dxa"/>
          <w:left w:w="15" w:type="dxa"/>
          <w:bottom w:w="15" w:type="dxa"/>
          <w:right w:w="15" w:type="dxa"/>
        </w:tblCellMar>
        <w:tblLook w:val="04A0"/>
      </w:tblPr>
      <w:tblGrid>
        <w:gridCol w:w="919"/>
        <w:gridCol w:w="5578"/>
        <w:gridCol w:w="1825"/>
      </w:tblGrid>
      <w:tr w:rsidR="007D16CC" w:rsidRPr="007D16CC" w:rsidTr="007D16CC">
        <w:tc>
          <w:tcPr>
            <w:tcW w:w="93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7D16CC" w:rsidRPr="007D16CC" w:rsidRDefault="007D16CC" w:rsidP="007D16CC">
            <w:pPr>
              <w:spacing w:after="150" w:line="240" w:lineRule="auto"/>
              <w:rPr>
                <w:rFonts w:ascii="Times New Roman" w:eastAsia="Times New Roman" w:hAnsi="Times New Roman" w:cs="Times New Roman"/>
                <w:sz w:val="24"/>
                <w:szCs w:val="24"/>
                <w:lang w:eastAsia="en-IN"/>
              </w:rPr>
            </w:pPr>
            <w:r w:rsidRPr="007D16CC">
              <w:rPr>
                <w:rFonts w:ascii="Times New Roman" w:eastAsia="Times New Roman" w:hAnsi="Times New Roman" w:cs="Times New Roman"/>
                <w:b/>
                <w:bCs/>
                <w:sz w:val="24"/>
                <w:szCs w:val="24"/>
                <w:lang w:eastAsia="en-IN"/>
              </w:rPr>
              <w:t>Sl. No.</w:t>
            </w:r>
          </w:p>
        </w:tc>
        <w:tc>
          <w:tcPr>
            <w:tcW w:w="5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7D16CC" w:rsidRPr="007D16CC" w:rsidRDefault="007D16CC" w:rsidP="007D16CC">
            <w:pPr>
              <w:spacing w:after="150" w:line="240" w:lineRule="auto"/>
              <w:rPr>
                <w:rFonts w:ascii="Times New Roman" w:eastAsia="Times New Roman" w:hAnsi="Times New Roman" w:cs="Times New Roman"/>
                <w:sz w:val="24"/>
                <w:szCs w:val="24"/>
                <w:lang w:eastAsia="en-IN"/>
              </w:rPr>
            </w:pPr>
            <w:r w:rsidRPr="007D16CC">
              <w:rPr>
                <w:rFonts w:ascii="Times New Roman" w:eastAsia="Times New Roman" w:hAnsi="Times New Roman" w:cs="Times New Roman"/>
                <w:b/>
                <w:bCs/>
                <w:sz w:val="24"/>
                <w:szCs w:val="24"/>
                <w:lang w:eastAsia="en-IN"/>
              </w:rPr>
              <w:t>Class of RPs with AATO of</w:t>
            </w:r>
          </w:p>
        </w:tc>
        <w:tc>
          <w:tcPr>
            <w:tcW w:w="184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7D16CC" w:rsidRPr="007D16CC" w:rsidRDefault="007D16CC" w:rsidP="007D16CC">
            <w:pPr>
              <w:spacing w:after="150" w:line="240" w:lineRule="auto"/>
              <w:rPr>
                <w:rFonts w:ascii="Times New Roman" w:eastAsia="Times New Roman" w:hAnsi="Times New Roman" w:cs="Times New Roman"/>
                <w:sz w:val="24"/>
                <w:szCs w:val="24"/>
                <w:lang w:eastAsia="en-IN"/>
              </w:rPr>
            </w:pPr>
            <w:r w:rsidRPr="007D16CC">
              <w:rPr>
                <w:rFonts w:ascii="Times New Roman" w:eastAsia="Times New Roman" w:hAnsi="Times New Roman" w:cs="Times New Roman"/>
                <w:b/>
                <w:bCs/>
                <w:sz w:val="24"/>
                <w:szCs w:val="24"/>
                <w:lang w:eastAsia="en-IN"/>
              </w:rPr>
              <w:t>Default Return Option</w:t>
            </w:r>
          </w:p>
        </w:tc>
      </w:tr>
      <w:tr w:rsidR="007D16CC" w:rsidRPr="007D16CC" w:rsidTr="007D16CC">
        <w:tc>
          <w:tcPr>
            <w:tcW w:w="93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7D16CC" w:rsidRPr="007D16CC" w:rsidRDefault="007D16CC" w:rsidP="007D16CC">
            <w:pPr>
              <w:spacing w:after="150" w:line="240" w:lineRule="auto"/>
              <w:rPr>
                <w:rFonts w:ascii="Times New Roman" w:eastAsia="Times New Roman" w:hAnsi="Times New Roman" w:cs="Times New Roman"/>
                <w:sz w:val="24"/>
                <w:szCs w:val="24"/>
                <w:lang w:eastAsia="en-IN"/>
              </w:rPr>
            </w:pPr>
            <w:r w:rsidRPr="007D16CC">
              <w:rPr>
                <w:rFonts w:ascii="Times New Roman" w:eastAsia="Times New Roman" w:hAnsi="Times New Roman" w:cs="Times New Roman"/>
                <w:sz w:val="24"/>
                <w:szCs w:val="24"/>
                <w:lang w:eastAsia="en-IN"/>
              </w:rPr>
              <w:t>1</w:t>
            </w:r>
          </w:p>
        </w:tc>
        <w:tc>
          <w:tcPr>
            <w:tcW w:w="5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7D16CC" w:rsidRPr="007D16CC" w:rsidRDefault="007D16CC" w:rsidP="007D16CC">
            <w:pPr>
              <w:spacing w:after="150" w:line="240" w:lineRule="auto"/>
              <w:rPr>
                <w:rFonts w:ascii="Times New Roman" w:eastAsia="Times New Roman" w:hAnsi="Times New Roman" w:cs="Times New Roman"/>
                <w:sz w:val="24"/>
                <w:szCs w:val="24"/>
                <w:lang w:eastAsia="en-IN"/>
              </w:rPr>
            </w:pPr>
            <w:r w:rsidRPr="007D16CC">
              <w:rPr>
                <w:rFonts w:ascii="Times New Roman" w:eastAsia="Times New Roman" w:hAnsi="Times New Roman" w:cs="Times New Roman"/>
                <w:sz w:val="24"/>
                <w:szCs w:val="24"/>
                <w:lang w:eastAsia="en-IN"/>
              </w:rPr>
              <w:t>Up to Rs 1.5 Cr., who have furnished Form GSTR-1 on quarterly basis in current FY</w:t>
            </w:r>
          </w:p>
        </w:tc>
        <w:tc>
          <w:tcPr>
            <w:tcW w:w="184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7D16CC" w:rsidRPr="007D16CC" w:rsidRDefault="007D16CC" w:rsidP="007D16CC">
            <w:pPr>
              <w:spacing w:after="150" w:line="240" w:lineRule="auto"/>
              <w:rPr>
                <w:rFonts w:ascii="Times New Roman" w:eastAsia="Times New Roman" w:hAnsi="Times New Roman" w:cs="Times New Roman"/>
                <w:sz w:val="24"/>
                <w:szCs w:val="24"/>
                <w:lang w:eastAsia="en-IN"/>
              </w:rPr>
            </w:pPr>
            <w:r w:rsidRPr="007D16CC">
              <w:rPr>
                <w:rFonts w:ascii="Times New Roman" w:eastAsia="Times New Roman" w:hAnsi="Times New Roman" w:cs="Times New Roman"/>
                <w:sz w:val="24"/>
                <w:szCs w:val="24"/>
                <w:lang w:eastAsia="en-IN"/>
              </w:rPr>
              <w:t>Qtrly</w:t>
            </w:r>
          </w:p>
        </w:tc>
      </w:tr>
      <w:tr w:rsidR="007D16CC" w:rsidRPr="007D16CC" w:rsidTr="007D16CC">
        <w:tc>
          <w:tcPr>
            <w:tcW w:w="93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7D16CC" w:rsidRPr="007D16CC" w:rsidRDefault="007D16CC" w:rsidP="007D16CC">
            <w:pPr>
              <w:spacing w:after="150" w:line="240" w:lineRule="auto"/>
              <w:rPr>
                <w:rFonts w:ascii="Times New Roman" w:eastAsia="Times New Roman" w:hAnsi="Times New Roman" w:cs="Times New Roman"/>
                <w:sz w:val="24"/>
                <w:szCs w:val="24"/>
                <w:lang w:eastAsia="en-IN"/>
              </w:rPr>
            </w:pPr>
            <w:r w:rsidRPr="007D16CC">
              <w:rPr>
                <w:rFonts w:ascii="Times New Roman" w:eastAsia="Times New Roman" w:hAnsi="Times New Roman" w:cs="Times New Roman"/>
                <w:sz w:val="24"/>
                <w:szCs w:val="24"/>
                <w:lang w:eastAsia="en-IN"/>
              </w:rPr>
              <w:t>2</w:t>
            </w:r>
          </w:p>
        </w:tc>
        <w:tc>
          <w:tcPr>
            <w:tcW w:w="5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7D16CC" w:rsidRPr="007D16CC" w:rsidRDefault="007D16CC" w:rsidP="007D16CC">
            <w:pPr>
              <w:spacing w:after="150" w:line="240" w:lineRule="auto"/>
              <w:rPr>
                <w:rFonts w:ascii="Times New Roman" w:eastAsia="Times New Roman" w:hAnsi="Times New Roman" w:cs="Times New Roman"/>
                <w:sz w:val="24"/>
                <w:szCs w:val="24"/>
                <w:lang w:eastAsia="en-IN"/>
              </w:rPr>
            </w:pPr>
            <w:r w:rsidRPr="007D16CC">
              <w:rPr>
                <w:rFonts w:ascii="Times New Roman" w:eastAsia="Times New Roman" w:hAnsi="Times New Roman" w:cs="Times New Roman"/>
                <w:sz w:val="24"/>
                <w:szCs w:val="24"/>
                <w:lang w:eastAsia="en-IN"/>
              </w:rPr>
              <w:t>Up to Rs 1.5 Cr., who have furnished Form GSTR-1 on monthly basis in current FY</w:t>
            </w:r>
          </w:p>
        </w:tc>
        <w:tc>
          <w:tcPr>
            <w:tcW w:w="184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7D16CC" w:rsidRPr="007D16CC" w:rsidRDefault="007D16CC" w:rsidP="007D16CC">
            <w:pPr>
              <w:spacing w:after="150" w:line="240" w:lineRule="auto"/>
              <w:rPr>
                <w:rFonts w:ascii="Times New Roman" w:eastAsia="Times New Roman" w:hAnsi="Times New Roman" w:cs="Times New Roman"/>
                <w:sz w:val="24"/>
                <w:szCs w:val="24"/>
                <w:lang w:eastAsia="en-IN"/>
              </w:rPr>
            </w:pPr>
            <w:r w:rsidRPr="007D16CC">
              <w:rPr>
                <w:rFonts w:ascii="Times New Roman" w:eastAsia="Times New Roman" w:hAnsi="Times New Roman" w:cs="Times New Roman"/>
                <w:sz w:val="24"/>
                <w:szCs w:val="24"/>
                <w:lang w:eastAsia="en-IN"/>
              </w:rPr>
              <w:t>Monthly</w:t>
            </w:r>
          </w:p>
        </w:tc>
      </w:tr>
      <w:tr w:rsidR="007D16CC" w:rsidRPr="007D16CC" w:rsidTr="007D16CC">
        <w:tc>
          <w:tcPr>
            <w:tcW w:w="93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7D16CC" w:rsidRPr="007D16CC" w:rsidRDefault="007D16CC" w:rsidP="007D16CC">
            <w:pPr>
              <w:spacing w:after="150" w:line="240" w:lineRule="auto"/>
              <w:rPr>
                <w:rFonts w:ascii="Times New Roman" w:eastAsia="Times New Roman" w:hAnsi="Times New Roman" w:cs="Times New Roman"/>
                <w:sz w:val="24"/>
                <w:szCs w:val="24"/>
                <w:lang w:eastAsia="en-IN"/>
              </w:rPr>
            </w:pPr>
            <w:r w:rsidRPr="007D16CC">
              <w:rPr>
                <w:rFonts w:ascii="Times New Roman" w:eastAsia="Times New Roman" w:hAnsi="Times New Roman" w:cs="Times New Roman"/>
                <w:sz w:val="24"/>
                <w:szCs w:val="24"/>
                <w:lang w:eastAsia="en-IN"/>
              </w:rPr>
              <w:t>3</w:t>
            </w:r>
          </w:p>
        </w:tc>
        <w:tc>
          <w:tcPr>
            <w:tcW w:w="5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7D16CC" w:rsidRPr="007D16CC" w:rsidRDefault="007D16CC" w:rsidP="007D16CC">
            <w:pPr>
              <w:spacing w:after="150" w:line="240" w:lineRule="auto"/>
              <w:rPr>
                <w:rFonts w:ascii="Times New Roman" w:eastAsia="Times New Roman" w:hAnsi="Times New Roman" w:cs="Times New Roman"/>
                <w:sz w:val="24"/>
                <w:szCs w:val="24"/>
                <w:lang w:eastAsia="en-IN"/>
              </w:rPr>
            </w:pPr>
            <w:r w:rsidRPr="007D16CC">
              <w:rPr>
                <w:rFonts w:ascii="Times New Roman" w:eastAsia="Times New Roman" w:hAnsi="Times New Roman" w:cs="Times New Roman"/>
                <w:sz w:val="24"/>
                <w:szCs w:val="24"/>
                <w:lang w:eastAsia="en-IN"/>
              </w:rPr>
              <w:t>More than Rs 1.5 Cr. and up to Rs 5 Cr. in preceding FY</w:t>
            </w:r>
          </w:p>
        </w:tc>
        <w:tc>
          <w:tcPr>
            <w:tcW w:w="184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7D16CC" w:rsidRPr="007D16CC" w:rsidRDefault="007D16CC" w:rsidP="007D16CC">
            <w:pPr>
              <w:spacing w:after="150" w:line="240" w:lineRule="auto"/>
              <w:rPr>
                <w:rFonts w:ascii="Times New Roman" w:eastAsia="Times New Roman" w:hAnsi="Times New Roman" w:cs="Times New Roman"/>
                <w:sz w:val="24"/>
                <w:szCs w:val="24"/>
                <w:lang w:eastAsia="en-IN"/>
              </w:rPr>
            </w:pPr>
            <w:r w:rsidRPr="007D16CC">
              <w:rPr>
                <w:rFonts w:ascii="Times New Roman" w:eastAsia="Times New Roman" w:hAnsi="Times New Roman" w:cs="Times New Roman"/>
                <w:sz w:val="24"/>
                <w:szCs w:val="24"/>
                <w:lang w:eastAsia="en-IN"/>
              </w:rPr>
              <w:t>Qtrly</w:t>
            </w:r>
          </w:p>
        </w:tc>
      </w:tr>
    </w:tbl>
    <w:p w:rsidR="007D16CC" w:rsidRPr="007D16CC" w:rsidRDefault="007D16CC" w:rsidP="007D16CC">
      <w:pPr>
        <w:spacing w:after="0" w:line="240" w:lineRule="auto"/>
        <w:ind w:left="495"/>
        <w:rPr>
          <w:rFonts w:ascii="Verdana" w:eastAsia="Times New Roman" w:hAnsi="Verdana" w:cs="Times New Roman"/>
          <w:color w:val="212121"/>
          <w:sz w:val="21"/>
          <w:szCs w:val="21"/>
          <w:lang w:eastAsia="en-IN"/>
        </w:rPr>
      </w:pPr>
      <w:r w:rsidRPr="007D16CC">
        <w:rPr>
          <w:rFonts w:ascii="Verdana" w:eastAsia="Times New Roman" w:hAnsi="Verdana" w:cs="Times New Roman"/>
          <w:color w:val="212121"/>
          <w:sz w:val="21"/>
          <w:szCs w:val="21"/>
          <w:lang w:eastAsia="en-IN"/>
        </w:rPr>
        <w:br/>
      </w:r>
    </w:p>
    <w:p w:rsidR="007D16CC" w:rsidRPr="007D16CC" w:rsidRDefault="007D16CC" w:rsidP="007D16CC">
      <w:pPr>
        <w:numPr>
          <w:ilvl w:val="0"/>
          <w:numId w:val="1"/>
        </w:numPr>
        <w:spacing w:before="100" w:beforeAutospacing="1" w:after="100" w:afterAutospacing="1" w:line="240" w:lineRule="auto"/>
        <w:ind w:left="495"/>
        <w:rPr>
          <w:rFonts w:ascii="Verdana" w:eastAsia="Times New Roman" w:hAnsi="Verdana" w:cs="Times New Roman"/>
          <w:color w:val="212121"/>
          <w:sz w:val="21"/>
          <w:szCs w:val="21"/>
          <w:lang w:eastAsia="en-IN"/>
        </w:rPr>
      </w:pPr>
      <w:r w:rsidRPr="007D16CC">
        <w:rPr>
          <w:rFonts w:ascii="Verdana" w:eastAsia="Times New Roman" w:hAnsi="Verdana" w:cs="Times New Roman"/>
          <w:color w:val="212121"/>
          <w:sz w:val="21"/>
          <w:szCs w:val="21"/>
          <w:u w:val="single"/>
          <w:lang w:eastAsia="en-IN"/>
        </w:rPr>
        <w:t>When can a person opt for the scheme:</w:t>
      </w:r>
    </w:p>
    <w:p w:rsidR="007D16CC" w:rsidRPr="007D16CC" w:rsidRDefault="007D16CC" w:rsidP="007D16CC">
      <w:pPr>
        <w:spacing w:after="0" w:line="240" w:lineRule="auto"/>
        <w:ind w:left="495"/>
        <w:rPr>
          <w:rFonts w:ascii="Verdana" w:eastAsia="Times New Roman" w:hAnsi="Verdana" w:cs="Times New Roman"/>
          <w:color w:val="212121"/>
          <w:sz w:val="21"/>
          <w:szCs w:val="21"/>
          <w:lang w:eastAsia="en-IN"/>
        </w:rPr>
      </w:pPr>
      <w:r w:rsidRPr="007D16CC">
        <w:rPr>
          <w:rFonts w:ascii="Verdana" w:eastAsia="Times New Roman" w:hAnsi="Verdana" w:cs="Times New Roman"/>
          <w:color w:val="212121"/>
          <w:sz w:val="21"/>
          <w:szCs w:val="21"/>
          <w:lang w:eastAsia="en-IN"/>
        </w:rPr>
        <w:br/>
      </w:r>
    </w:p>
    <w:p w:rsidR="007D16CC" w:rsidRPr="007D16CC" w:rsidRDefault="007D16CC" w:rsidP="007D16CC">
      <w:pPr>
        <w:numPr>
          <w:ilvl w:val="1"/>
          <w:numId w:val="1"/>
        </w:numPr>
        <w:spacing w:before="100" w:beforeAutospacing="1" w:after="100" w:afterAutospacing="1" w:line="240" w:lineRule="auto"/>
        <w:ind w:left="1215"/>
        <w:rPr>
          <w:rFonts w:ascii="Verdana" w:eastAsia="Times New Roman" w:hAnsi="Verdana" w:cs="Times New Roman"/>
          <w:color w:val="212121"/>
          <w:sz w:val="21"/>
          <w:szCs w:val="21"/>
          <w:lang w:eastAsia="en-IN"/>
        </w:rPr>
      </w:pPr>
      <w:r w:rsidRPr="007D16CC">
        <w:rPr>
          <w:rFonts w:ascii="Verdana" w:eastAsia="Times New Roman" w:hAnsi="Verdana" w:cs="Times New Roman"/>
          <w:color w:val="212121"/>
          <w:sz w:val="21"/>
          <w:szCs w:val="21"/>
          <w:lang w:eastAsia="en-IN"/>
        </w:rPr>
        <w:t>Facility can be availed throughout the year, in any quarter.</w:t>
      </w:r>
    </w:p>
    <w:p w:rsidR="007D16CC" w:rsidRPr="007D16CC" w:rsidRDefault="007D16CC" w:rsidP="007D16CC">
      <w:pPr>
        <w:numPr>
          <w:ilvl w:val="1"/>
          <w:numId w:val="1"/>
        </w:numPr>
        <w:spacing w:before="100" w:beforeAutospacing="1" w:after="100" w:afterAutospacing="1" w:line="240" w:lineRule="auto"/>
        <w:ind w:left="1215"/>
        <w:rPr>
          <w:rFonts w:ascii="Verdana" w:eastAsia="Times New Roman" w:hAnsi="Verdana" w:cs="Times New Roman"/>
          <w:color w:val="212121"/>
          <w:sz w:val="21"/>
          <w:szCs w:val="21"/>
          <w:lang w:eastAsia="en-IN"/>
        </w:rPr>
      </w:pPr>
      <w:r w:rsidRPr="007D16CC">
        <w:rPr>
          <w:rFonts w:ascii="Verdana" w:eastAsia="Times New Roman" w:hAnsi="Verdana" w:cs="Times New Roman"/>
          <w:color w:val="212121"/>
          <w:sz w:val="21"/>
          <w:szCs w:val="21"/>
          <w:lang w:eastAsia="en-IN"/>
        </w:rPr>
        <w:t>Option for QRMP Scheme, once exercised, will continue till RP revises the option or his AATO exceeds Rs 5 Cr.</w:t>
      </w:r>
    </w:p>
    <w:p w:rsidR="007D16CC" w:rsidRPr="007D16CC" w:rsidRDefault="007D16CC" w:rsidP="007D16CC">
      <w:pPr>
        <w:numPr>
          <w:ilvl w:val="1"/>
          <w:numId w:val="1"/>
        </w:numPr>
        <w:spacing w:before="100" w:beforeAutospacing="1" w:after="100" w:afterAutospacing="1" w:line="240" w:lineRule="auto"/>
        <w:ind w:left="1215"/>
        <w:rPr>
          <w:rFonts w:ascii="Verdana" w:eastAsia="Times New Roman" w:hAnsi="Verdana" w:cs="Times New Roman"/>
          <w:color w:val="212121"/>
          <w:sz w:val="21"/>
          <w:szCs w:val="21"/>
          <w:lang w:eastAsia="en-IN"/>
        </w:rPr>
      </w:pPr>
      <w:r w:rsidRPr="007D16CC">
        <w:rPr>
          <w:rFonts w:ascii="Verdana" w:eastAsia="Times New Roman" w:hAnsi="Verdana" w:cs="Times New Roman"/>
          <w:color w:val="212121"/>
          <w:sz w:val="21"/>
          <w:szCs w:val="21"/>
          <w:lang w:eastAsia="en-IN"/>
        </w:rPr>
        <w:t xml:space="preserve">RPs migrated by default can choose to remain out of the scheme by exercising their option from </w:t>
      </w:r>
      <w:proofErr w:type="gramStart"/>
      <w:r w:rsidRPr="007D16CC">
        <w:rPr>
          <w:rFonts w:ascii="Verdana" w:eastAsia="Times New Roman" w:hAnsi="Verdana" w:cs="Times New Roman"/>
          <w:color w:val="212121"/>
          <w:sz w:val="21"/>
          <w:szCs w:val="21"/>
          <w:lang w:eastAsia="en-IN"/>
        </w:rPr>
        <w:t>5</w:t>
      </w:r>
      <w:r w:rsidRPr="007D16CC">
        <w:rPr>
          <w:rFonts w:ascii="Verdana" w:eastAsia="Times New Roman" w:hAnsi="Verdana" w:cs="Times New Roman"/>
          <w:color w:val="212121"/>
          <w:sz w:val="16"/>
          <w:szCs w:val="16"/>
          <w:vertAlign w:val="superscript"/>
          <w:lang w:eastAsia="en-IN"/>
        </w:rPr>
        <w:t>th</w:t>
      </w:r>
      <w:r w:rsidRPr="007D16CC">
        <w:rPr>
          <w:rFonts w:ascii="Verdana" w:eastAsia="Times New Roman" w:hAnsi="Verdana" w:cs="Times New Roman"/>
          <w:color w:val="212121"/>
          <w:sz w:val="21"/>
          <w:szCs w:val="21"/>
          <w:lang w:eastAsia="en-IN"/>
        </w:rPr>
        <w:t>Dec.,</w:t>
      </w:r>
      <w:proofErr w:type="gramEnd"/>
      <w:r w:rsidRPr="007D16CC">
        <w:rPr>
          <w:rFonts w:ascii="Verdana" w:eastAsia="Times New Roman" w:hAnsi="Verdana" w:cs="Times New Roman"/>
          <w:color w:val="212121"/>
          <w:sz w:val="21"/>
          <w:szCs w:val="21"/>
          <w:lang w:eastAsia="en-IN"/>
        </w:rPr>
        <w:t xml:space="preserve"> 2020 till 31</w:t>
      </w:r>
      <w:r w:rsidRPr="007D16CC">
        <w:rPr>
          <w:rFonts w:ascii="Verdana" w:eastAsia="Times New Roman" w:hAnsi="Verdana" w:cs="Times New Roman"/>
          <w:color w:val="212121"/>
          <w:sz w:val="16"/>
          <w:szCs w:val="16"/>
          <w:vertAlign w:val="superscript"/>
          <w:lang w:eastAsia="en-IN"/>
        </w:rPr>
        <w:t>st</w:t>
      </w:r>
      <w:r w:rsidRPr="007D16CC">
        <w:rPr>
          <w:rFonts w:ascii="Verdana" w:eastAsia="Times New Roman" w:hAnsi="Verdana" w:cs="Times New Roman"/>
          <w:color w:val="212121"/>
          <w:sz w:val="21"/>
          <w:szCs w:val="21"/>
          <w:lang w:eastAsia="en-IN"/>
        </w:rPr>
        <w:t> Jan., 2021.</w:t>
      </w:r>
    </w:p>
    <w:p w:rsidR="007D16CC" w:rsidRPr="007D16CC" w:rsidRDefault="007D16CC" w:rsidP="007D16CC">
      <w:pPr>
        <w:spacing w:after="0" w:line="240" w:lineRule="auto"/>
        <w:ind w:left="495"/>
        <w:rPr>
          <w:rFonts w:ascii="Verdana" w:eastAsia="Times New Roman" w:hAnsi="Verdana" w:cs="Times New Roman"/>
          <w:color w:val="212121"/>
          <w:sz w:val="21"/>
          <w:szCs w:val="21"/>
          <w:lang w:eastAsia="en-IN"/>
        </w:rPr>
      </w:pPr>
      <w:r w:rsidRPr="007D16CC">
        <w:rPr>
          <w:rFonts w:ascii="Verdana" w:eastAsia="Times New Roman" w:hAnsi="Verdana" w:cs="Times New Roman"/>
          <w:color w:val="212121"/>
          <w:sz w:val="21"/>
          <w:szCs w:val="21"/>
          <w:lang w:eastAsia="en-IN"/>
        </w:rPr>
        <w:lastRenderedPageBreak/>
        <w:br/>
      </w:r>
    </w:p>
    <w:p w:rsidR="007D16CC" w:rsidRPr="007D16CC" w:rsidRDefault="007D16CC" w:rsidP="007D16CC">
      <w:pPr>
        <w:numPr>
          <w:ilvl w:val="0"/>
          <w:numId w:val="1"/>
        </w:numPr>
        <w:spacing w:before="100" w:beforeAutospacing="1" w:after="100" w:afterAutospacing="1" w:line="240" w:lineRule="auto"/>
        <w:ind w:left="495"/>
        <w:rPr>
          <w:rFonts w:ascii="Verdana" w:eastAsia="Times New Roman" w:hAnsi="Verdana" w:cs="Times New Roman"/>
          <w:color w:val="212121"/>
          <w:sz w:val="21"/>
          <w:szCs w:val="21"/>
          <w:lang w:eastAsia="en-IN"/>
        </w:rPr>
      </w:pPr>
      <w:r w:rsidRPr="007D16CC">
        <w:rPr>
          <w:rFonts w:ascii="Verdana" w:eastAsia="Times New Roman" w:hAnsi="Verdana" w:cs="Times New Roman"/>
          <w:color w:val="212121"/>
          <w:sz w:val="21"/>
          <w:szCs w:val="21"/>
          <w:lang w:eastAsia="en-IN"/>
        </w:rPr>
        <w:t>The RPs opting for the scheme can avail the facility of Invoice Furnishing Facility (IFF), so that the outward supplies to registered person is reflected in their Form GSTR 2A &amp; 2B.</w:t>
      </w:r>
    </w:p>
    <w:p w:rsidR="007D16CC" w:rsidRPr="007D16CC" w:rsidRDefault="007D16CC" w:rsidP="007D16CC">
      <w:pPr>
        <w:spacing w:after="0" w:line="240" w:lineRule="auto"/>
        <w:ind w:left="495"/>
        <w:rPr>
          <w:rFonts w:ascii="Verdana" w:eastAsia="Times New Roman" w:hAnsi="Verdana" w:cs="Times New Roman"/>
          <w:color w:val="212121"/>
          <w:sz w:val="21"/>
          <w:szCs w:val="21"/>
          <w:lang w:eastAsia="en-IN"/>
        </w:rPr>
      </w:pPr>
      <w:r w:rsidRPr="007D16CC">
        <w:rPr>
          <w:rFonts w:ascii="Verdana" w:eastAsia="Times New Roman" w:hAnsi="Verdana" w:cs="Times New Roman"/>
          <w:color w:val="212121"/>
          <w:sz w:val="21"/>
          <w:szCs w:val="21"/>
          <w:lang w:eastAsia="en-IN"/>
        </w:rPr>
        <w:br/>
      </w:r>
    </w:p>
    <w:p w:rsidR="007D16CC" w:rsidRPr="007D16CC" w:rsidRDefault="007D16CC" w:rsidP="007D16CC">
      <w:pPr>
        <w:numPr>
          <w:ilvl w:val="0"/>
          <w:numId w:val="1"/>
        </w:numPr>
        <w:spacing w:before="100" w:beforeAutospacing="1" w:after="100" w:afterAutospacing="1" w:line="240" w:lineRule="auto"/>
        <w:ind w:left="495"/>
        <w:rPr>
          <w:rFonts w:ascii="Verdana" w:eastAsia="Times New Roman" w:hAnsi="Verdana" w:cs="Times New Roman"/>
          <w:color w:val="212121"/>
          <w:sz w:val="21"/>
          <w:szCs w:val="21"/>
          <w:lang w:eastAsia="en-IN"/>
        </w:rPr>
      </w:pPr>
      <w:r w:rsidRPr="007D16CC">
        <w:rPr>
          <w:rFonts w:ascii="Verdana" w:eastAsia="Times New Roman" w:hAnsi="Verdana" w:cs="Times New Roman"/>
          <w:color w:val="212121"/>
          <w:sz w:val="21"/>
          <w:szCs w:val="21"/>
          <w:u w:val="single"/>
          <w:lang w:eastAsia="en-IN"/>
        </w:rPr>
        <w:t>Payment of tax under the scheme</w:t>
      </w:r>
      <w:r w:rsidRPr="007D16CC">
        <w:rPr>
          <w:rFonts w:ascii="Verdana" w:eastAsia="Times New Roman" w:hAnsi="Verdana" w:cs="Times New Roman"/>
          <w:color w:val="212121"/>
          <w:sz w:val="21"/>
          <w:szCs w:val="21"/>
          <w:lang w:eastAsia="en-IN"/>
        </w:rPr>
        <w:t>:</w:t>
      </w:r>
    </w:p>
    <w:p w:rsidR="007D16CC" w:rsidRPr="007D16CC" w:rsidRDefault="007D16CC" w:rsidP="007D16CC">
      <w:pPr>
        <w:spacing w:after="0" w:line="240" w:lineRule="auto"/>
        <w:ind w:left="495"/>
        <w:rPr>
          <w:rFonts w:ascii="Verdana" w:eastAsia="Times New Roman" w:hAnsi="Verdana" w:cs="Times New Roman"/>
          <w:color w:val="212121"/>
          <w:sz w:val="21"/>
          <w:szCs w:val="21"/>
          <w:lang w:eastAsia="en-IN"/>
        </w:rPr>
      </w:pPr>
      <w:r w:rsidRPr="007D16CC">
        <w:rPr>
          <w:rFonts w:ascii="Verdana" w:eastAsia="Times New Roman" w:hAnsi="Verdana" w:cs="Times New Roman"/>
          <w:color w:val="212121"/>
          <w:sz w:val="21"/>
          <w:szCs w:val="21"/>
          <w:lang w:eastAsia="en-IN"/>
        </w:rPr>
        <w:br/>
      </w:r>
    </w:p>
    <w:p w:rsidR="007D16CC" w:rsidRPr="007D16CC" w:rsidRDefault="007D16CC" w:rsidP="007D16CC">
      <w:pPr>
        <w:numPr>
          <w:ilvl w:val="1"/>
          <w:numId w:val="1"/>
        </w:numPr>
        <w:spacing w:before="100" w:beforeAutospacing="1" w:after="100" w:afterAutospacing="1" w:line="240" w:lineRule="auto"/>
        <w:ind w:left="1215"/>
        <w:rPr>
          <w:rFonts w:ascii="Verdana" w:eastAsia="Times New Roman" w:hAnsi="Verdana" w:cs="Times New Roman"/>
          <w:color w:val="212121"/>
          <w:sz w:val="21"/>
          <w:szCs w:val="21"/>
          <w:lang w:eastAsia="en-IN"/>
        </w:rPr>
      </w:pPr>
      <w:r w:rsidRPr="007D16CC">
        <w:rPr>
          <w:rFonts w:ascii="Verdana" w:eastAsia="Times New Roman" w:hAnsi="Verdana" w:cs="Times New Roman"/>
          <w:color w:val="212121"/>
          <w:sz w:val="21"/>
          <w:szCs w:val="21"/>
          <w:lang w:eastAsia="en-IN"/>
        </w:rPr>
        <w:t>RPs need to pay tax due in each of first two months (by 25</w:t>
      </w:r>
      <w:r w:rsidRPr="007D16CC">
        <w:rPr>
          <w:rFonts w:ascii="Verdana" w:eastAsia="Times New Roman" w:hAnsi="Verdana" w:cs="Times New Roman"/>
          <w:color w:val="212121"/>
          <w:sz w:val="16"/>
          <w:szCs w:val="16"/>
          <w:vertAlign w:val="superscript"/>
          <w:lang w:eastAsia="en-IN"/>
        </w:rPr>
        <w:t>th</w:t>
      </w:r>
      <w:r w:rsidRPr="007D16CC">
        <w:rPr>
          <w:rFonts w:ascii="Verdana" w:eastAsia="Times New Roman" w:hAnsi="Verdana" w:cs="Times New Roman"/>
          <w:color w:val="212121"/>
          <w:sz w:val="21"/>
          <w:szCs w:val="21"/>
          <w:lang w:eastAsia="en-IN"/>
        </w:rPr>
        <w:t> of next month) in the Qtr, by selecting “Monthly payment for quarterly taxpayer” as reason for generating Challan.</w:t>
      </w:r>
    </w:p>
    <w:p w:rsidR="007D16CC" w:rsidRPr="007D16CC" w:rsidRDefault="007D16CC" w:rsidP="007D16CC">
      <w:pPr>
        <w:numPr>
          <w:ilvl w:val="1"/>
          <w:numId w:val="1"/>
        </w:numPr>
        <w:spacing w:before="100" w:beforeAutospacing="1" w:after="100" w:afterAutospacing="1" w:line="240" w:lineRule="auto"/>
        <w:ind w:left="1215"/>
        <w:rPr>
          <w:rFonts w:ascii="Verdana" w:eastAsia="Times New Roman" w:hAnsi="Verdana" w:cs="Times New Roman"/>
          <w:color w:val="212121"/>
          <w:sz w:val="21"/>
          <w:szCs w:val="21"/>
          <w:lang w:eastAsia="en-IN"/>
        </w:rPr>
      </w:pPr>
      <w:r w:rsidRPr="007D16CC">
        <w:rPr>
          <w:rFonts w:ascii="Verdana" w:eastAsia="Times New Roman" w:hAnsi="Verdana" w:cs="Times New Roman"/>
          <w:color w:val="212121"/>
          <w:sz w:val="21"/>
          <w:szCs w:val="21"/>
          <w:lang w:eastAsia="en-IN"/>
        </w:rPr>
        <w:t>RPs can either use Fixed Sum Method (pre-filled challan) or Self-Assessment Method (actual tax due), for monthly payment of tax for first two months, after adjusting ITC.</w:t>
      </w:r>
    </w:p>
    <w:p w:rsidR="007D16CC" w:rsidRPr="007D16CC" w:rsidRDefault="007D16CC" w:rsidP="007D16CC">
      <w:pPr>
        <w:numPr>
          <w:ilvl w:val="1"/>
          <w:numId w:val="1"/>
        </w:numPr>
        <w:spacing w:before="100" w:beforeAutospacing="1" w:after="100" w:afterAutospacing="1" w:line="240" w:lineRule="auto"/>
        <w:ind w:left="1215"/>
        <w:rPr>
          <w:rFonts w:ascii="Verdana" w:eastAsia="Times New Roman" w:hAnsi="Verdana" w:cs="Times New Roman"/>
          <w:color w:val="212121"/>
          <w:sz w:val="21"/>
          <w:szCs w:val="21"/>
          <w:lang w:eastAsia="en-IN"/>
        </w:rPr>
      </w:pPr>
      <w:r w:rsidRPr="007D16CC">
        <w:rPr>
          <w:rFonts w:ascii="Verdana" w:eastAsia="Times New Roman" w:hAnsi="Verdana" w:cs="Times New Roman"/>
          <w:color w:val="212121"/>
          <w:sz w:val="21"/>
          <w:szCs w:val="21"/>
          <w:lang w:eastAsia="en-IN"/>
        </w:rPr>
        <w:t>No deposit is required for the month, if there is nil tax liability.</w:t>
      </w:r>
    </w:p>
    <w:p w:rsidR="007D16CC" w:rsidRPr="007D16CC" w:rsidRDefault="007D16CC" w:rsidP="007D16CC">
      <w:pPr>
        <w:numPr>
          <w:ilvl w:val="1"/>
          <w:numId w:val="1"/>
        </w:numPr>
        <w:spacing w:before="100" w:beforeAutospacing="1" w:after="100" w:afterAutospacing="1" w:line="240" w:lineRule="auto"/>
        <w:ind w:left="1215"/>
        <w:rPr>
          <w:rFonts w:ascii="Verdana" w:eastAsia="Times New Roman" w:hAnsi="Verdana" w:cs="Times New Roman"/>
          <w:color w:val="212121"/>
          <w:sz w:val="21"/>
          <w:szCs w:val="21"/>
          <w:lang w:eastAsia="en-IN"/>
        </w:rPr>
      </w:pPr>
      <w:r w:rsidRPr="007D16CC">
        <w:rPr>
          <w:rFonts w:ascii="Verdana" w:eastAsia="Times New Roman" w:hAnsi="Verdana" w:cs="Times New Roman"/>
          <w:color w:val="212121"/>
          <w:sz w:val="21"/>
          <w:szCs w:val="21"/>
          <w:lang w:eastAsia="en-IN"/>
        </w:rPr>
        <w:t>Tax deposited for first 02 months can be used for adjusting liability for the qtr. in Form GSTR-3B and can’t be used for any other purpose till the filing of return for the qtr.</w:t>
      </w:r>
    </w:p>
    <w:p w:rsidR="007D16CC" w:rsidRPr="007D16CC" w:rsidRDefault="007D16CC" w:rsidP="007D16CC">
      <w:pPr>
        <w:spacing w:after="0" w:line="240" w:lineRule="auto"/>
        <w:ind w:left="495"/>
        <w:rPr>
          <w:rFonts w:ascii="Verdana" w:eastAsia="Times New Roman" w:hAnsi="Verdana" w:cs="Times New Roman"/>
          <w:color w:val="212121"/>
          <w:sz w:val="21"/>
          <w:szCs w:val="21"/>
          <w:lang w:eastAsia="en-IN"/>
        </w:rPr>
      </w:pPr>
      <w:r w:rsidRPr="007D16CC">
        <w:rPr>
          <w:rFonts w:ascii="Verdana" w:eastAsia="Times New Roman" w:hAnsi="Verdana" w:cs="Times New Roman"/>
          <w:color w:val="212121"/>
          <w:sz w:val="21"/>
          <w:szCs w:val="21"/>
          <w:lang w:eastAsia="en-IN"/>
        </w:rPr>
        <w:br/>
      </w:r>
    </w:p>
    <w:p w:rsidR="007D16CC" w:rsidRPr="007D16CC" w:rsidRDefault="007D16CC" w:rsidP="007D16CC">
      <w:pPr>
        <w:numPr>
          <w:ilvl w:val="0"/>
          <w:numId w:val="1"/>
        </w:numPr>
        <w:spacing w:before="100" w:beforeAutospacing="1" w:after="100" w:afterAutospacing="1" w:line="240" w:lineRule="auto"/>
        <w:ind w:left="495"/>
        <w:rPr>
          <w:rFonts w:ascii="Verdana" w:eastAsia="Times New Roman" w:hAnsi="Verdana" w:cs="Times New Roman"/>
          <w:color w:val="212121"/>
          <w:sz w:val="21"/>
          <w:szCs w:val="21"/>
          <w:lang w:eastAsia="en-IN"/>
        </w:rPr>
      </w:pPr>
      <w:r w:rsidRPr="007D16CC">
        <w:rPr>
          <w:rFonts w:ascii="Verdana" w:eastAsia="Times New Roman" w:hAnsi="Verdana" w:cs="Times New Roman"/>
          <w:color w:val="212121"/>
          <w:sz w:val="21"/>
          <w:szCs w:val="21"/>
          <w:lang w:eastAsia="en-IN"/>
        </w:rPr>
        <w:t>Click here for details of </w:t>
      </w:r>
      <w:hyperlink r:id="rId5" w:tgtFrame="_blank" w:history="1">
        <w:r w:rsidRPr="007D16CC">
          <w:rPr>
            <w:rFonts w:ascii="Verdana" w:eastAsia="Times New Roman" w:hAnsi="Verdana" w:cs="Times New Roman"/>
            <w:color w:val="337AB7"/>
            <w:sz w:val="21"/>
            <w:lang w:eastAsia="en-IN"/>
          </w:rPr>
          <w:t>Notification</w:t>
        </w:r>
      </w:hyperlink>
      <w:r w:rsidRPr="007D16CC">
        <w:rPr>
          <w:rFonts w:ascii="Verdana" w:eastAsia="Times New Roman" w:hAnsi="Verdana" w:cs="Times New Roman"/>
          <w:color w:val="212121"/>
          <w:sz w:val="21"/>
          <w:szCs w:val="21"/>
          <w:lang w:eastAsia="en-IN"/>
        </w:rPr>
        <w:t> and </w:t>
      </w:r>
      <w:hyperlink r:id="rId6" w:tgtFrame="_blank" w:history="1">
        <w:r w:rsidRPr="007D16CC">
          <w:rPr>
            <w:rFonts w:ascii="Verdana" w:eastAsia="Times New Roman" w:hAnsi="Verdana" w:cs="Times New Roman"/>
            <w:color w:val="337AB7"/>
            <w:sz w:val="21"/>
            <w:lang w:eastAsia="en-IN"/>
          </w:rPr>
          <w:t>CBIC Circular.</w:t>
        </w:r>
      </w:hyperlink>
    </w:p>
    <w:p w:rsidR="007D16CC" w:rsidRPr="007D16CC" w:rsidRDefault="007D16CC" w:rsidP="007D16CC">
      <w:pPr>
        <w:spacing w:after="150" w:line="240" w:lineRule="auto"/>
        <w:rPr>
          <w:rFonts w:ascii="Verdana" w:eastAsia="Times New Roman" w:hAnsi="Verdana" w:cs="Times New Roman"/>
          <w:color w:val="212121"/>
          <w:sz w:val="21"/>
          <w:szCs w:val="21"/>
          <w:lang w:eastAsia="en-IN"/>
        </w:rPr>
      </w:pPr>
      <w:r w:rsidRPr="007D16CC">
        <w:rPr>
          <w:rFonts w:ascii="Verdana" w:eastAsia="Times New Roman" w:hAnsi="Verdana" w:cs="Times New Roman"/>
          <w:color w:val="212121"/>
          <w:sz w:val="21"/>
          <w:szCs w:val="21"/>
          <w:lang w:eastAsia="en-IN"/>
        </w:rPr>
        <w:t> </w:t>
      </w:r>
    </w:p>
    <w:p w:rsidR="007D16CC" w:rsidRPr="007D16CC" w:rsidRDefault="007D16CC" w:rsidP="007D16CC">
      <w:pPr>
        <w:spacing w:after="150" w:line="240" w:lineRule="auto"/>
        <w:rPr>
          <w:rFonts w:ascii="Verdana" w:eastAsia="Times New Roman" w:hAnsi="Verdana" w:cs="Times New Roman"/>
          <w:color w:val="212121"/>
          <w:sz w:val="21"/>
          <w:szCs w:val="21"/>
          <w:lang w:eastAsia="en-IN"/>
        </w:rPr>
      </w:pPr>
      <w:r w:rsidRPr="007D16CC">
        <w:rPr>
          <w:rFonts w:ascii="Verdana" w:eastAsia="Times New Roman" w:hAnsi="Verdana" w:cs="Times New Roman"/>
          <w:color w:val="212121"/>
          <w:sz w:val="21"/>
          <w:szCs w:val="21"/>
          <w:lang w:eastAsia="en-IN"/>
        </w:rPr>
        <w:t>Thanking you,</w:t>
      </w:r>
    </w:p>
    <w:p w:rsidR="007D16CC" w:rsidRPr="007D16CC" w:rsidRDefault="007D16CC" w:rsidP="007D16CC">
      <w:pPr>
        <w:spacing w:after="150" w:line="240" w:lineRule="auto"/>
        <w:rPr>
          <w:rFonts w:ascii="Verdana" w:eastAsia="Times New Roman" w:hAnsi="Verdana" w:cs="Times New Roman"/>
          <w:color w:val="212121"/>
          <w:sz w:val="21"/>
          <w:szCs w:val="21"/>
          <w:lang w:eastAsia="en-IN"/>
        </w:rPr>
      </w:pPr>
      <w:r w:rsidRPr="007D16CC">
        <w:rPr>
          <w:rFonts w:ascii="Verdana" w:eastAsia="Times New Roman" w:hAnsi="Verdana" w:cs="Times New Roman"/>
          <w:color w:val="212121"/>
          <w:sz w:val="21"/>
          <w:szCs w:val="21"/>
          <w:lang w:eastAsia="en-IN"/>
        </w:rPr>
        <w:t>Team GSTN</w:t>
      </w:r>
    </w:p>
    <w:p w:rsidR="007D16CC" w:rsidRPr="007D16CC" w:rsidRDefault="007D16CC" w:rsidP="007D16CC"/>
    <w:sectPr w:rsidR="007D16CC" w:rsidRPr="007D16CC" w:rsidSect="00E9063C">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inherit">
    <w:altName w:val="Times New Roman"/>
    <w:panose1 w:val="00000000000000000000"/>
    <w:charset w:val="00"/>
    <w:family w:val="roman"/>
    <w:notTrueType/>
    <w:pitch w:val="default"/>
    <w:sig w:usb0="00000000" w:usb1="00000000" w:usb2="00000000" w:usb3="00000000" w:csb0="000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EF7990"/>
    <w:multiLevelType w:val="multilevel"/>
    <w:tmpl w:val="CCD23FE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compat/>
  <w:rsids>
    <w:rsidRoot w:val="007D16CC"/>
    <w:rsid w:val="00050442"/>
    <w:rsid w:val="00123F5A"/>
    <w:rsid w:val="007D16CC"/>
    <w:rsid w:val="00E9063C"/>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063C"/>
  </w:style>
  <w:style w:type="paragraph" w:styleId="Heading4">
    <w:name w:val="heading 4"/>
    <w:basedOn w:val="Normal"/>
    <w:link w:val="Heading4Char"/>
    <w:uiPriority w:val="9"/>
    <w:qFormat/>
    <w:rsid w:val="007D16CC"/>
    <w:pPr>
      <w:spacing w:before="100" w:beforeAutospacing="1" w:after="100" w:afterAutospacing="1" w:line="240" w:lineRule="auto"/>
      <w:outlineLvl w:val="3"/>
    </w:pPr>
    <w:rPr>
      <w:rFonts w:ascii="Times New Roman" w:eastAsia="Times New Roman" w:hAnsi="Times New Roman" w:cs="Times New Roman"/>
      <w:b/>
      <w:bCs/>
      <w:sz w:val="24"/>
      <w:szCs w:val="24"/>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7D16CC"/>
    <w:rPr>
      <w:rFonts w:ascii="Times New Roman" w:eastAsia="Times New Roman" w:hAnsi="Times New Roman" w:cs="Times New Roman"/>
      <w:b/>
      <w:bCs/>
      <w:sz w:val="24"/>
      <w:szCs w:val="24"/>
      <w:lang w:eastAsia="en-IN"/>
    </w:rPr>
  </w:style>
  <w:style w:type="character" w:styleId="Strong">
    <w:name w:val="Strong"/>
    <w:basedOn w:val="DefaultParagraphFont"/>
    <w:uiPriority w:val="22"/>
    <w:qFormat/>
    <w:rsid w:val="007D16CC"/>
    <w:rPr>
      <w:b/>
      <w:bCs/>
    </w:rPr>
  </w:style>
  <w:style w:type="character" w:styleId="Emphasis">
    <w:name w:val="Emphasis"/>
    <w:basedOn w:val="DefaultParagraphFont"/>
    <w:uiPriority w:val="20"/>
    <w:qFormat/>
    <w:rsid w:val="007D16CC"/>
    <w:rPr>
      <w:i/>
      <w:iCs/>
    </w:rPr>
  </w:style>
  <w:style w:type="character" w:styleId="Hyperlink">
    <w:name w:val="Hyperlink"/>
    <w:basedOn w:val="DefaultParagraphFont"/>
    <w:uiPriority w:val="99"/>
    <w:semiHidden/>
    <w:unhideWhenUsed/>
    <w:rsid w:val="007D16CC"/>
    <w:rPr>
      <w:color w:val="0000FF"/>
      <w:u w:val="single"/>
    </w:rPr>
  </w:style>
  <w:style w:type="paragraph" w:styleId="NormalWeb">
    <w:name w:val="Normal (Web)"/>
    <w:basedOn w:val="Normal"/>
    <w:uiPriority w:val="99"/>
    <w:unhideWhenUsed/>
    <w:rsid w:val="007D16CC"/>
    <w:pPr>
      <w:spacing w:before="100" w:beforeAutospacing="1" w:after="100" w:afterAutospacing="1" w:line="240" w:lineRule="auto"/>
    </w:pPr>
    <w:rPr>
      <w:rFonts w:ascii="Times New Roman" w:eastAsia="Times New Roman" w:hAnsi="Times New Roman" w:cs="Times New Roman"/>
      <w:sz w:val="24"/>
      <w:szCs w:val="24"/>
      <w:lang w:eastAsia="en-IN"/>
    </w:rPr>
  </w:style>
</w:styles>
</file>

<file path=word/webSettings.xml><?xml version="1.0" encoding="utf-8"?>
<w:webSettings xmlns:r="http://schemas.openxmlformats.org/officeDocument/2006/relationships" xmlns:w="http://schemas.openxmlformats.org/wordprocessingml/2006/main">
  <w:divs>
    <w:div w:id="7681898">
      <w:bodyDiv w:val="1"/>
      <w:marLeft w:val="0"/>
      <w:marRight w:val="0"/>
      <w:marTop w:val="0"/>
      <w:marBottom w:val="0"/>
      <w:divBdr>
        <w:top w:val="none" w:sz="0" w:space="0" w:color="auto"/>
        <w:left w:val="none" w:sz="0" w:space="0" w:color="auto"/>
        <w:bottom w:val="none" w:sz="0" w:space="0" w:color="auto"/>
        <w:right w:val="none" w:sz="0" w:space="0" w:color="auto"/>
      </w:divBdr>
      <w:divsChild>
        <w:div w:id="1123113083">
          <w:marLeft w:val="0"/>
          <w:marRight w:val="0"/>
          <w:marTop w:val="0"/>
          <w:marBottom w:val="0"/>
          <w:divBdr>
            <w:top w:val="none" w:sz="0" w:space="0" w:color="auto"/>
            <w:left w:val="none" w:sz="0" w:space="0" w:color="auto"/>
            <w:bottom w:val="none" w:sz="0" w:space="0" w:color="auto"/>
            <w:right w:val="none" w:sz="0" w:space="0" w:color="auto"/>
          </w:divBdr>
        </w:div>
        <w:div w:id="2139378223">
          <w:marLeft w:val="0"/>
          <w:marRight w:val="0"/>
          <w:marTop w:val="0"/>
          <w:marBottom w:val="0"/>
          <w:divBdr>
            <w:top w:val="none" w:sz="0" w:space="0" w:color="auto"/>
            <w:left w:val="none" w:sz="0" w:space="0" w:color="auto"/>
            <w:bottom w:val="none" w:sz="0" w:space="0" w:color="auto"/>
            <w:right w:val="none" w:sz="0" w:space="0" w:color="auto"/>
          </w:divBdr>
        </w:div>
      </w:divsChild>
    </w:div>
    <w:div w:id="1037851831">
      <w:bodyDiv w:val="1"/>
      <w:marLeft w:val="0"/>
      <w:marRight w:val="0"/>
      <w:marTop w:val="0"/>
      <w:marBottom w:val="0"/>
      <w:divBdr>
        <w:top w:val="none" w:sz="0" w:space="0" w:color="auto"/>
        <w:left w:val="none" w:sz="0" w:space="0" w:color="auto"/>
        <w:bottom w:val="none" w:sz="0" w:space="0" w:color="auto"/>
        <w:right w:val="none" w:sz="0" w:space="0" w:color="auto"/>
      </w:divBdr>
      <w:divsChild>
        <w:div w:id="5253220">
          <w:marLeft w:val="-225"/>
          <w:marRight w:val="-225"/>
          <w:marTop w:val="0"/>
          <w:marBottom w:val="0"/>
          <w:divBdr>
            <w:top w:val="none" w:sz="0" w:space="0" w:color="auto"/>
            <w:left w:val="none" w:sz="0" w:space="0" w:color="auto"/>
            <w:bottom w:val="none" w:sz="0" w:space="0" w:color="auto"/>
            <w:right w:val="none" w:sz="0" w:space="0" w:color="auto"/>
          </w:divBdr>
          <w:divsChild>
            <w:div w:id="1305040365">
              <w:marLeft w:val="0"/>
              <w:marRight w:val="0"/>
              <w:marTop w:val="0"/>
              <w:marBottom w:val="0"/>
              <w:divBdr>
                <w:top w:val="none" w:sz="0" w:space="0" w:color="auto"/>
                <w:left w:val="none" w:sz="0" w:space="0" w:color="auto"/>
                <w:bottom w:val="none" w:sz="0" w:space="0" w:color="auto"/>
                <w:right w:val="none" w:sz="0" w:space="0" w:color="auto"/>
              </w:divBdr>
            </w:div>
          </w:divsChild>
        </w:div>
        <w:div w:id="967512964">
          <w:marLeft w:val="-225"/>
          <w:marRight w:val="-225"/>
          <w:marTop w:val="0"/>
          <w:marBottom w:val="0"/>
          <w:divBdr>
            <w:top w:val="none" w:sz="0" w:space="0" w:color="auto"/>
            <w:left w:val="none" w:sz="0" w:space="0" w:color="auto"/>
            <w:bottom w:val="none" w:sz="0" w:space="0" w:color="auto"/>
            <w:right w:val="none" w:sz="0" w:space="0" w:color="auto"/>
          </w:divBdr>
          <w:divsChild>
            <w:div w:id="145827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bic.gov.in/resources/htdocs-cbec/gst/Circular_Refund_143_11_2020.pdf" TargetMode="External"/><Relationship Id="rId5" Type="http://schemas.openxmlformats.org/officeDocument/2006/relationships/hyperlink" Target="https://www.cbic.gov.in/htdocs-cbec/gst/central-tax-notfns-2017"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412</Words>
  <Characters>2353</Characters>
  <Application>Microsoft Office Word</Application>
  <DocSecurity>0</DocSecurity>
  <Lines>19</Lines>
  <Paragraphs>5</Paragraphs>
  <ScaleCrop>false</ScaleCrop>
  <Company/>
  <LinksUpToDate>false</LinksUpToDate>
  <CharactersWithSpaces>2760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2020-12-08T05:01:00Z</dcterms:created>
  <dcterms:modified xsi:type="dcterms:W3CDTF">2020-12-08T05:02:00Z</dcterms:modified>
</cp:coreProperties>
</file>