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957BF" w14:textId="17681859" w:rsidR="0058437E" w:rsidRPr="00887AB3" w:rsidRDefault="00887AB3" w:rsidP="001767EF">
      <w:pPr>
        <w:spacing w:line="360" w:lineRule="auto"/>
        <w:jc w:val="both"/>
        <w:rPr>
          <w:rFonts w:ascii="Times New Roman" w:hAnsi="Times New Roman" w:cs="Times New Roman"/>
          <w:b/>
          <w:bCs/>
          <w:sz w:val="24"/>
          <w:szCs w:val="24"/>
          <w:u w:val="single"/>
        </w:rPr>
      </w:pPr>
      <w:r w:rsidRPr="00887AB3">
        <w:rPr>
          <w:rFonts w:ascii="Times New Roman" w:hAnsi="Times New Roman" w:cs="Times New Roman"/>
          <w:b/>
          <w:bCs/>
          <w:sz w:val="24"/>
          <w:szCs w:val="24"/>
          <w:u w:val="single"/>
        </w:rPr>
        <w:t>REFUND OF CESS ACCUMULATED AND UNUTILISED IN PRE</w:t>
      </w:r>
      <w:r>
        <w:rPr>
          <w:rFonts w:ascii="Times New Roman" w:hAnsi="Times New Roman" w:cs="Times New Roman"/>
          <w:b/>
          <w:bCs/>
          <w:sz w:val="24"/>
          <w:szCs w:val="24"/>
          <w:u w:val="single"/>
        </w:rPr>
        <w:t>-</w:t>
      </w:r>
      <w:r w:rsidRPr="00887AB3">
        <w:rPr>
          <w:rFonts w:ascii="Times New Roman" w:hAnsi="Times New Roman" w:cs="Times New Roman"/>
          <w:b/>
          <w:bCs/>
          <w:sz w:val="24"/>
          <w:szCs w:val="24"/>
          <w:u w:val="single"/>
        </w:rPr>
        <w:t>GST REGIME</w:t>
      </w:r>
    </w:p>
    <w:p w14:paraId="5783D02B" w14:textId="7E88D2A9" w:rsidR="002C3118" w:rsidRPr="001767EF" w:rsidRDefault="009A0FA0" w:rsidP="001767EF">
      <w:pPr>
        <w:spacing w:line="360" w:lineRule="auto"/>
        <w:jc w:val="both"/>
        <w:rPr>
          <w:rFonts w:ascii="Times New Roman" w:hAnsi="Times New Roman" w:cs="Times New Roman"/>
          <w:sz w:val="24"/>
          <w:szCs w:val="24"/>
        </w:rPr>
      </w:pPr>
      <w:r w:rsidRPr="001767EF">
        <w:rPr>
          <w:rFonts w:ascii="Times New Roman" w:hAnsi="Times New Roman" w:cs="Times New Roman"/>
          <w:sz w:val="24"/>
          <w:szCs w:val="24"/>
        </w:rPr>
        <w:t xml:space="preserve">The </w:t>
      </w:r>
      <w:r w:rsidR="006261B3" w:rsidRPr="001767EF">
        <w:rPr>
          <w:rFonts w:ascii="Times New Roman" w:hAnsi="Times New Roman" w:cs="Times New Roman"/>
          <w:sz w:val="24"/>
          <w:szCs w:val="24"/>
        </w:rPr>
        <w:t xml:space="preserve">Hon’ble </w:t>
      </w:r>
      <w:r w:rsidRPr="001767EF">
        <w:rPr>
          <w:rFonts w:ascii="Times New Roman" w:hAnsi="Times New Roman" w:cs="Times New Roman"/>
          <w:sz w:val="24"/>
          <w:szCs w:val="24"/>
        </w:rPr>
        <w:t xml:space="preserve">Division Bench of CESTAT, New Delhi in a </w:t>
      </w:r>
      <w:r w:rsidR="001767EF">
        <w:rPr>
          <w:rFonts w:ascii="Times New Roman" w:hAnsi="Times New Roman" w:cs="Times New Roman"/>
          <w:sz w:val="24"/>
          <w:szCs w:val="24"/>
        </w:rPr>
        <w:t>welcome</w:t>
      </w:r>
      <w:r w:rsidRPr="001767EF">
        <w:rPr>
          <w:rFonts w:ascii="Times New Roman" w:hAnsi="Times New Roman" w:cs="Times New Roman"/>
          <w:sz w:val="24"/>
          <w:szCs w:val="24"/>
        </w:rPr>
        <w:t xml:space="preserve"> judgment in the case of </w:t>
      </w:r>
      <w:r w:rsidRPr="001767EF">
        <w:rPr>
          <w:rFonts w:ascii="Times New Roman" w:hAnsi="Times New Roman" w:cs="Times New Roman"/>
          <w:b/>
          <w:bCs/>
          <w:i/>
          <w:iCs/>
          <w:sz w:val="24"/>
          <w:szCs w:val="24"/>
        </w:rPr>
        <w:t>M/s Bharat Heavy Electricals Ltd. v. The Commissioner of CGST, Central Excise and Customs</w:t>
      </w:r>
      <w:r w:rsidRPr="001767EF">
        <w:rPr>
          <w:rFonts w:ascii="Times New Roman" w:hAnsi="Times New Roman" w:cs="Times New Roman"/>
          <w:sz w:val="24"/>
          <w:szCs w:val="24"/>
        </w:rPr>
        <w:t xml:space="preserve">, Final </w:t>
      </w:r>
      <w:r w:rsidR="006261B3" w:rsidRPr="001767EF">
        <w:rPr>
          <w:rFonts w:ascii="Times New Roman" w:hAnsi="Times New Roman" w:cs="Times New Roman"/>
          <w:sz w:val="24"/>
          <w:szCs w:val="24"/>
        </w:rPr>
        <w:t>O</w:t>
      </w:r>
      <w:r w:rsidRPr="001767EF">
        <w:rPr>
          <w:rFonts w:ascii="Times New Roman" w:hAnsi="Times New Roman" w:cs="Times New Roman"/>
          <w:sz w:val="24"/>
          <w:szCs w:val="24"/>
        </w:rPr>
        <w:t xml:space="preserve">rder No. 51849/2019 </w:t>
      </w:r>
      <w:r w:rsidR="006261B3" w:rsidRPr="001767EF">
        <w:rPr>
          <w:rFonts w:ascii="Times New Roman" w:hAnsi="Times New Roman" w:cs="Times New Roman"/>
          <w:sz w:val="24"/>
          <w:szCs w:val="24"/>
        </w:rPr>
        <w:t xml:space="preserve">allowed the refund of cess balance which has been accumulated and unutilised as of 30.06.2017, which could not be carried forward in GST regime pertaining to Education Cess, Secondary Higher Education Cess and Krishi Kalyan Cess. </w:t>
      </w:r>
    </w:p>
    <w:p w14:paraId="347032E3" w14:textId="7C10FE38" w:rsidR="003416C0" w:rsidRPr="001767EF" w:rsidRDefault="006261B3" w:rsidP="001767EF">
      <w:pPr>
        <w:spacing w:line="360" w:lineRule="auto"/>
        <w:jc w:val="both"/>
        <w:rPr>
          <w:rFonts w:ascii="Times New Roman" w:hAnsi="Times New Roman" w:cs="Times New Roman"/>
          <w:sz w:val="24"/>
          <w:szCs w:val="24"/>
        </w:rPr>
      </w:pPr>
      <w:r w:rsidRPr="001767EF">
        <w:rPr>
          <w:rFonts w:ascii="Times New Roman" w:hAnsi="Times New Roman" w:cs="Times New Roman"/>
          <w:sz w:val="24"/>
          <w:szCs w:val="24"/>
        </w:rPr>
        <w:t>The facts of the case are such that the Appellants are manufacture</w:t>
      </w:r>
      <w:r w:rsidR="00F42A31" w:rsidRPr="001767EF">
        <w:rPr>
          <w:rFonts w:ascii="Times New Roman" w:hAnsi="Times New Roman" w:cs="Times New Roman"/>
          <w:sz w:val="24"/>
          <w:szCs w:val="24"/>
        </w:rPr>
        <w:t>rs of electrical and mechanical equipment, engaged in exports and deemed exports</w:t>
      </w:r>
      <w:r w:rsidR="003416C0" w:rsidRPr="001767EF">
        <w:rPr>
          <w:rFonts w:ascii="Times New Roman" w:hAnsi="Times New Roman" w:cs="Times New Roman"/>
          <w:sz w:val="24"/>
          <w:szCs w:val="24"/>
        </w:rPr>
        <w:t>. Hence, the CENVAT credit of Service Tax, Central Excise and Cess was accumulated and remained unutilized for the reason that their products were exempted from payment of duty under Sub-rule 6(6) of the CENVAT Credit Rules 2004. The appellants did not go for refund of unutilized CENVAT credit in terms of Rule 5 of the Cenvat Credit Rules, 2004 with the intention of using the credit to discharge</w:t>
      </w:r>
      <w:r w:rsidR="00034935" w:rsidRPr="001767EF">
        <w:rPr>
          <w:rFonts w:ascii="Times New Roman" w:hAnsi="Times New Roman" w:cs="Times New Roman"/>
          <w:sz w:val="24"/>
          <w:szCs w:val="24"/>
        </w:rPr>
        <w:t xml:space="preserve"> their domestic output tax liability</w:t>
      </w:r>
      <w:r w:rsidR="00490745" w:rsidRPr="001767EF">
        <w:rPr>
          <w:rFonts w:ascii="Times New Roman" w:hAnsi="Times New Roman" w:cs="Times New Roman"/>
          <w:sz w:val="24"/>
          <w:szCs w:val="24"/>
        </w:rPr>
        <w:t>. While the credit balance of service tax &amp; central excise duty was carried over through TRAN-1 under the new GST Regime the credit balances of the Cesses remained un-utilizable in the absence of any provision regarding the carrying forward the Cess balance under the GST Law.</w:t>
      </w:r>
    </w:p>
    <w:p w14:paraId="3F78460E" w14:textId="699A2E24" w:rsidR="006261B3" w:rsidRPr="001767EF" w:rsidRDefault="00490745" w:rsidP="001767EF">
      <w:pPr>
        <w:spacing w:line="360" w:lineRule="auto"/>
        <w:jc w:val="both"/>
        <w:rPr>
          <w:rFonts w:ascii="Times New Roman" w:hAnsi="Times New Roman" w:cs="Times New Roman"/>
          <w:sz w:val="24"/>
          <w:szCs w:val="24"/>
        </w:rPr>
      </w:pPr>
      <w:r w:rsidRPr="001767EF">
        <w:rPr>
          <w:rFonts w:ascii="Times New Roman" w:hAnsi="Times New Roman" w:cs="Times New Roman"/>
          <w:sz w:val="24"/>
          <w:szCs w:val="24"/>
        </w:rPr>
        <w:t xml:space="preserve">Therefore, the Appellant had filed the </w:t>
      </w:r>
      <w:r w:rsidR="006261B3" w:rsidRPr="001767EF">
        <w:rPr>
          <w:rFonts w:ascii="Times New Roman" w:hAnsi="Times New Roman" w:cs="Times New Roman"/>
          <w:sz w:val="24"/>
          <w:szCs w:val="24"/>
        </w:rPr>
        <w:t xml:space="preserve">application for refund </w:t>
      </w:r>
      <w:r w:rsidRPr="001767EF">
        <w:rPr>
          <w:rFonts w:ascii="Times New Roman" w:hAnsi="Times New Roman" w:cs="Times New Roman"/>
          <w:sz w:val="24"/>
          <w:szCs w:val="24"/>
        </w:rPr>
        <w:t xml:space="preserve">of the </w:t>
      </w:r>
      <w:r w:rsidR="006261B3" w:rsidRPr="001767EF">
        <w:rPr>
          <w:rFonts w:ascii="Times New Roman" w:hAnsi="Times New Roman" w:cs="Times New Roman"/>
          <w:sz w:val="24"/>
          <w:szCs w:val="24"/>
        </w:rPr>
        <w:t>Cenvat credit which has accumulated and remained unutilized on account of EC, SHEC &amp; KKC</w:t>
      </w:r>
      <w:r w:rsidRPr="001767EF">
        <w:rPr>
          <w:rFonts w:ascii="Times New Roman" w:hAnsi="Times New Roman" w:cs="Times New Roman"/>
          <w:sz w:val="24"/>
          <w:szCs w:val="24"/>
        </w:rPr>
        <w:t xml:space="preserve"> as of 30.06.2017</w:t>
      </w:r>
      <w:r w:rsidR="006261B3" w:rsidRPr="001767EF">
        <w:rPr>
          <w:rFonts w:ascii="Times New Roman" w:hAnsi="Times New Roman" w:cs="Times New Roman"/>
          <w:sz w:val="24"/>
          <w:szCs w:val="24"/>
        </w:rPr>
        <w:t>.</w:t>
      </w:r>
      <w:r w:rsidRPr="001767EF">
        <w:rPr>
          <w:rFonts w:ascii="Times New Roman" w:hAnsi="Times New Roman" w:cs="Times New Roman"/>
          <w:sz w:val="24"/>
          <w:szCs w:val="24"/>
        </w:rPr>
        <w:t xml:space="preserve"> The </w:t>
      </w:r>
      <w:r w:rsidR="00090CEF" w:rsidRPr="001767EF">
        <w:rPr>
          <w:rFonts w:ascii="Times New Roman" w:hAnsi="Times New Roman" w:cs="Times New Roman"/>
          <w:sz w:val="24"/>
          <w:szCs w:val="24"/>
        </w:rPr>
        <w:t xml:space="preserve">Revenue rejected the refund claim, against which an Appeal was filed, which was also rejected on the ground that there was no provision to carry over the balance cesses under the GST regime and there was no provision for refund of the same and thus such credits would lapse. </w:t>
      </w:r>
    </w:p>
    <w:p w14:paraId="4071ACA7" w14:textId="420011B7" w:rsidR="00696C9D" w:rsidRPr="001767EF" w:rsidRDefault="00090CEF" w:rsidP="001767EF">
      <w:pPr>
        <w:spacing w:line="360" w:lineRule="auto"/>
        <w:jc w:val="both"/>
        <w:rPr>
          <w:rFonts w:ascii="Times New Roman" w:hAnsi="Times New Roman" w:cs="Times New Roman"/>
          <w:sz w:val="24"/>
          <w:szCs w:val="24"/>
        </w:rPr>
      </w:pPr>
      <w:r w:rsidRPr="001767EF">
        <w:rPr>
          <w:rFonts w:ascii="Times New Roman" w:hAnsi="Times New Roman" w:cs="Times New Roman"/>
          <w:sz w:val="24"/>
          <w:szCs w:val="24"/>
        </w:rPr>
        <w:t xml:space="preserve">The </w:t>
      </w:r>
      <w:r w:rsidR="00696C9D" w:rsidRPr="001767EF">
        <w:rPr>
          <w:rFonts w:ascii="Times New Roman" w:hAnsi="Times New Roman" w:cs="Times New Roman"/>
          <w:sz w:val="24"/>
          <w:szCs w:val="24"/>
        </w:rPr>
        <w:t xml:space="preserve">Tribunal </w:t>
      </w:r>
      <w:r w:rsidR="001767EF">
        <w:rPr>
          <w:rFonts w:ascii="Times New Roman" w:hAnsi="Times New Roman" w:cs="Times New Roman"/>
          <w:sz w:val="24"/>
          <w:szCs w:val="24"/>
        </w:rPr>
        <w:t>upheld the judgements by the Apex Court in the cases  of</w:t>
      </w:r>
      <w:r w:rsidRPr="001767EF">
        <w:rPr>
          <w:rFonts w:ascii="Times New Roman" w:hAnsi="Times New Roman" w:cs="Times New Roman"/>
          <w:sz w:val="24"/>
          <w:szCs w:val="24"/>
        </w:rPr>
        <w:t xml:space="preserve"> </w:t>
      </w:r>
      <w:r w:rsidRPr="001767EF">
        <w:rPr>
          <w:rFonts w:ascii="Times New Roman" w:hAnsi="Times New Roman" w:cs="Times New Roman"/>
          <w:b/>
          <w:bCs/>
          <w:i/>
          <w:iCs/>
          <w:sz w:val="24"/>
          <w:szCs w:val="24"/>
        </w:rPr>
        <w:t>Eicher Motors Vs. UOI</w:t>
      </w:r>
      <w:r w:rsidR="001767EF" w:rsidRPr="001767EF">
        <w:rPr>
          <w:rFonts w:ascii="Times New Roman" w:hAnsi="Times New Roman" w:cs="Times New Roman"/>
          <w:sz w:val="24"/>
          <w:szCs w:val="24"/>
        </w:rPr>
        <w:t xml:space="preserve">, </w:t>
      </w:r>
      <w:r w:rsidRPr="001767EF">
        <w:rPr>
          <w:rFonts w:ascii="Times New Roman" w:hAnsi="Times New Roman" w:cs="Times New Roman"/>
          <w:sz w:val="24"/>
          <w:szCs w:val="24"/>
        </w:rPr>
        <w:t>1999 (106) E.L.T. -3 (S.C.)</w:t>
      </w:r>
      <w:r w:rsidR="00034935" w:rsidRPr="001767EF">
        <w:rPr>
          <w:rFonts w:ascii="Times New Roman" w:hAnsi="Times New Roman" w:cs="Times New Roman"/>
          <w:sz w:val="24"/>
          <w:szCs w:val="24"/>
        </w:rPr>
        <w:t xml:space="preserve"> and </w:t>
      </w:r>
      <w:proofErr w:type="spellStart"/>
      <w:r w:rsidR="00034935" w:rsidRPr="001767EF">
        <w:rPr>
          <w:rFonts w:ascii="Times New Roman" w:hAnsi="Times New Roman" w:cs="Times New Roman"/>
          <w:b/>
          <w:bCs/>
          <w:i/>
          <w:iCs/>
          <w:sz w:val="24"/>
          <w:szCs w:val="24"/>
        </w:rPr>
        <w:t>Samtel</w:t>
      </w:r>
      <w:proofErr w:type="spellEnd"/>
      <w:r w:rsidR="00034935" w:rsidRPr="001767EF">
        <w:rPr>
          <w:rFonts w:ascii="Times New Roman" w:hAnsi="Times New Roman" w:cs="Times New Roman"/>
          <w:b/>
          <w:bCs/>
          <w:i/>
          <w:iCs/>
          <w:sz w:val="24"/>
          <w:szCs w:val="24"/>
        </w:rPr>
        <w:t xml:space="preserve"> India Vs. CCE</w:t>
      </w:r>
      <w:r w:rsidR="001767EF">
        <w:rPr>
          <w:rFonts w:ascii="Times New Roman" w:hAnsi="Times New Roman" w:cs="Times New Roman"/>
          <w:b/>
          <w:bCs/>
          <w:sz w:val="24"/>
          <w:szCs w:val="24"/>
        </w:rPr>
        <w:t xml:space="preserve">, </w:t>
      </w:r>
      <w:r w:rsidR="00034935" w:rsidRPr="001767EF">
        <w:rPr>
          <w:rFonts w:ascii="Times New Roman" w:hAnsi="Times New Roman" w:cs="Times New Roman"/>
          <w:sz w:val="24"/>
          <w:szCs w:val="24"/>
        </w:rPr>
        <w:t>2003(155) E.L.T.-14(S.C.),</w:t>
      </w:r>
      <w:r w:rsidR="00034935" w:rsidRPr="001767EF">
        <w:rPr>
          <w:rFonts w:ascii="Times New Roman" w:hAnsi="Times New Roman" w:cs="Times New Roman"/>
          <w:b/>
          <w:bCs/>
          <w:sz w:val="24"/>
          <w:szCs w:val="24"/>
        </w:rPr>
        <w:t xml:space="preserve"> </w:t>
      </w:r>
      <w:r w:rsidR="00034935" w:rsidRPr="001767EF">
        <w:rPr>
          <w:rFonts w:ascii="Times New Roman" w:hAnsi="Times New Roman" w:cs="Times New Roman"/>
          <w:sz w:val="24"/>
          <w:szCs w:val="24"/>
        </w:rPr>
        <w:t xml:space="preserve">wherein </w:t>
      </w:r>
      <w:r w:rsidR="008B0D99">
        <w:rPr>
          <w:rFonts w:ascii="Times New Roman" w:hAnsi="Times New Roman" w:cs="Times New Roman"/>
          <w:sz w:val="24"/>
          <w:szCs w:val="24"/>
        </w:rPr>
        <w:t>it was</w:t>
      </w:r>
      <w:r w:rsidR="00034935" w:rsidRPr="001767EF">
        <w:rPr>
          <w:rFonts w:ascii="Times New Roman" w:hAnsi="Times New Roman" w:cs="Times New Roman"/>
          <w:sz w:val="24"/>
          <w:szCs w:val="24"/>
        </w:rPr>
        <w:t xml:space="preserve"> held that credit balance was a duly vested right of the Assessee which could not be taken away </w:t>
      </w:r>
      <w:r w:rsidR="00696C9D" w:rsidRPr="001767EF">
        <w:rPr>
          <w:rFonts w:ascii="Times New Roman" w:hAnsi="Times New Roman" w:cs="Times New Roman"/>
          <w:sz w:val="24"/>
          <w:szCs w:val="24"/>
        </w:rPr>
        <w:t xml:space="preserve">and will not extinguish with the change of law unless there was a specific provision which would debar such refund. The Tribunal observed that, </w:t>
      </w:r>
    </w:p>
    <w:p w14:paraId="7961FA09" w14:textId="63F956D0" w:rsidR="00090CEF" w:rsidRPr="001767EF" w:rsidRDefault="00696C9D" w:rsidP="001767EF">
      <w:pPr>
        <w:spacing w:line="360" w:lineRule="auto"/>
        <w:ind w:left="720" w:right="804"/>
        <w:jc w:val="both"/>
        <w:rPr>
          <w:rFonts w:ascii="Times New Roman" w:hAnsi="Times New Roman" w:cs="Times New Roman"/>
          <w:i/>
          <w:iCs/>
          <w:sz w:val="24"/>
          <w:szCs w:val="24"/>
        </w:rPr>
      </w:pPr>
      <w:r w:rsidRPr="001767EF">
        <w:rPr>
          <w:rFonts w:ascii="Times New Roman" w:hAnsi="Times New Roman" w:cs="Times New Roman"/>
          <w:i/>
          <w:iCs/>
          <w:sz w:val="24"/>
          <w:szCs w:val="24"/>
        </w:rPr>
        <w:t xml:space="preserve">“There is no provision in the newly enacted law that such credits would lapse. </w:t>
      </w:r>
      <w:proofErr w:type="gramStart"/>
      <w:r w:rsidRPr="001767EF">
        <w:rPr>
          <w:rFonts w:ascii="Times New Roman" w:hAnsi="Times New Roman" w:cs="Times New Roman"/>
          <w:i/>
          <w:iCs/>
          <w:sz w:val="24"/>
          <w:szCs w:val="24"/>
        </w:rPr>
        <w:t>Thus</w:t>
      </w:r>
      <w:proofErr w:type="gramEnd"/>
      <w:r w:rsidRPr="001767EF">
        <w:rPr>
          <w:rFonts w:ascii="Times New Roman" w:hAnsi="Times New Roman" w:cs="Times New Roman"/>
          <w:i/>
          <w:iCs/>
          <w:sz w:val="24"/>
          <w:szCs w:val="24"/>
        </w:rPr>
        <w:t xml:space="preserve"> merely by change of legislation suddenly the appellants could not be put in a position to lose this valuable right.”</w:t>
      </w:r>
      <w:r w:rsidR="00034935" w:rsidRPr="001767EF">
        <w:rPr>
          <w:rFonts w:ascii="Times New Roman" w:hAnsi="Times New Roman" w:cs="Times New Roman"/>
          <w:i/>
          <w:iCs/>
          <w:sz w:val="24"/>
          <w:szCs w:val="24"/>
        </w:rPr>
        <w:t xml:space="preserve"> </w:t>
      </w:r>
    </w:p>
    <w:p w14:paraId="6F8442B9" w14:textId="2E677736" w:rsidR="00696C9D" w:rsidRDefault="00696C9D" w:rsidP="001767EF">
      <w:pPr>
        <w:spacing w:line="360" w:lineRule="auto"/>
        <w:jc w:val="both"/>
        <w:rPr>
          <w:rFonts w:ascii="Times New Roman" w:hAnsi="Times New Roman" w:cs="Times New Roman"/>
          <w:sz w:val="24"/>
          <w:szCs w:val="24"/>
        </w:rPr>
      </w:pPr>
      <w:r w:rsidRPr="001767EF">
        <w:rPr>
          <w:rFonts w:ascii="Times New Roman" w:hAnsi="Times New Roman" w:cs="Times New Roman"/>
          <w:sz w:val="24"/>
          <w:szCs w:val="24"/>
        </w:rPr>
        <w:lastRenderedPageBreak/>
        <w:t xml:space="preserve">The Tribunal further </w:t>
      </w:r>
      <w:r w:rsidR="001767EF" w:rsidRPr="001767EF">
        <w:rPr>
          <w:rFonts w:ascii="Times New Roman" w:hAnsi="Times New Roman" w:cs="Times New Roman"/>
          <w:sz w:val="24"/>
          <w:szCs w:val="24"/>
        </w:rPr>
        <w:t>observed that the judgment of the Hon’ble High Court of Karnataka in</w:t>
      </w:r>
      <w:r w:rsidRPr="001767EF">
        <w:rPr>
          <w:rFonts w:ascii="Times New Roman" w:hAnsi="Times New Roman" w:cs="Times New Roman"/>
          <w:sz w:val="24"/>
          <w:szCs w:val="24"/>
        </w:rPr>
        <w:t xml:space="preserve"> the case of </w:t>
      </w:r>
      <w:r w:rsidRPr="008B0D99">
        <w:rPr>
          <w:rFonts w:ascii="Times New Roman" w:hAnsi="Times New Roman" w:cs="Times New Roman"/>
          <w:b/>
          <w:bCs/>
          <w:i/>
          <w:iCs/>
          <w:sz w:val="24"/>
          <w:szCs w:val="24"/>
        </w:rPr>
        <w:t>Slovak India Trading Co. Pvt Ltd.,</w:t>
      </w:r>
      <w:r w:rsidRPr="001767EF">
        <w:rPr>
          <w:rFonts w:ascii="Times New Roman" w:hAnsi="Times New Roman" w:cs="Times New Roman"/>
          <w:b/>
          <w:bCs/>
          <w:sz w:val="24"/>
          <w:szCs w:val="24"/>
        </w:rPr>
        <w:t xml:space="preserve"> </w:t>
      </w:r>
      <w:r w:rsidRPr="008B0D99">
        <w:rPr>
          <w:rFonts w:ascii="Times New Roman" w:hAnsi="Times New Roman" w:cs="Times New Roman"/>
          <w:sz w:val="24"/>
          <w:szCs w:val="24"/>
        </w:rPr>
        <w:t>2006 (201) E.L.T. 559 (Kar),</w:t>
      </w:r>
      <w:r w:rsidRPr="001767EF">
        <w:rPr>
          <w:rFonts w:ascii="Times New Roman" w:hAnsi="Times New Roman" w:cs="Times New Roman"/>
          <w:b/>
          <w:bCs/>
          <w:sz w:val="24"/>
          <w:szCs w:val="24"/>
        </w:rPr>
        <w:t xml:space="preserve"> </w:t>
      </w:r>
      <w:r w:rsidRPr="001767EF">
        <w:rPr>
          <w:rFonts w:ascii="Times New Roman" w:hAnsi="Times New Roman" w:cs="Times New Roman"/>
          <w:sz w:val="24"/>
          <w:szCs w:val="24"/>
        </w:rPr>
        <w:t>wherein the held that where the credit becomes un-utilizable due to some reason like stoppage of factory, it can be granted by cash as there is no provision in the central excise law which prohibits such credit</w:t>
      </w:r>
      <w:r w:rsidR="001767EF" w:rsidRPr="001767EF">
        <w:rPr>
          <w:rFonts w:ascii="Times New Roman" w:hAnsi="Times New Roman" w:cs="Times New Roman"/>
          <w:sz w:val="24"/>
          <w:szCs w:val="24"/>
        </w:rPr>
        <w:t xml:space="preserve"> is squarely applicable to the Appellant’s case and thus allowed the cash refund of the Cesses lying as CENVAT credit balance as on 30/06/2017 in the accounts of the Assessee</w:t>
      </w:r>
      <w:r w:rsidRPr="001767EF">
        <w:rPr>
          <w:rFonts w:ascii="Times New Roman" w:hAnsi="Times New Roman" w:cs="Times New Roman"/>
          <w:sz w:val="24"/>
          <w:szCs w:val="24"/>
        </w:rPr>
        <w:t>.</w:t>
      </w:r>
    </w:p>
    <w:p w14:paraId="0A4FB8EC" w14:textId="77777777" w:rsidR="00660A15" w:rsidRDefault="008B0D99" w:rsidP="001767EF">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the CENVAT credit pertaining to the Cess balance which could not be transferred in GST regime and got accumulated on account of deemed exports and exports, c</w:t>
      </w:r>
      <w:r w:rsidR="006615C1">
        <w:rPr>
          <w:rFonts w:ascii="Times New Roman" w:hAnsi="Times New Roman" w:cs="Times New Roman"/>
          <w:sz w:val="24"/>
          <w:szCs w:val="24"/>
        </w:rPr>
        <w:t xml:space="preserve">annot be lapsed automatically simply because there is due to lack of provisions in the law and the same could be refunded in cash. </w:t>
      </w:r>
      <w:r w:rsidR="00660A15">
        <w:rPr>
          <w:rFonts w:ascii="Times New Roman" w:hAnsi="Times New Roman" w:cs="Times New Roman"/>
          <w:sz w:val="24"/>
          <w:szCs w:val="24"/>
        </w:rPr>
        <w:t xml:space="preserve">The rationale of the Tribunal is that the credit which was utilizable as on 30.06.2019 cannot be deemed as lapsed or gone due to change of law unless the law prescribes so. </w:t>
      </w:r>
    </w:p>
    <w:p w14:paraId="525516BA" w14:textId="42E3A302" w:rsidR="008B0D99" w:rsidRDefault="006615C1" w:rsidP="001767EF">
      <w:pPr>
        <w:spacing w:line="360" w:lineRule="auto"/>
        <w:jc w:val="both"/>
        <w:rPr>
          <w:rFonts w:ascii="Times New Roman" w:hAnsi="Times New Roman" w:cs="Times New Roman"/>
          <w:sz w:val="24"/>
          <w:szCs w:val="24"/>
        </w:rPr>
      </w:pPr>
      <w:r>
        <w:rPr>
          <w:rFonts w:ascii="Times New Roman" w:hAnsi="Times New Roman" w:cs="Times New Roman"/>
          <w:sz w:val="24"/>
          <w:szCs w:val="24"/>
        </w:rPr>
        <w:t>This is a laudable judgement by the CESTAT, Delhi in as much as it opens up the prospect of refund of CENVAT Credit of Cess accumulated and lying unutilized under the erstwhile regime which could not be transferred to the GST regime</w:t>
      </w:r>
      <w:r w:rsidR="00660A15">
        <w:rPr>
          <w:rFonts w:ascii="Times New Roman" w:hAnsi="Times New Roman" w:cs="Times New Roman"/>
          <w:sz w:val="24"/>
          <w:szCs w:val="24"/>
        </w:rPr>
        <w:t>.</w:t>
      </w:r>
    </w:p>
    <w:p w14:paraId="006B45F5" w14:textId="419E23DA" w:rsidR="008B0D99" w:rsidRPr="001767EF" w:rsidRDefault="00B75601" w:rsidP="001767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Authors can be reached at </w:t>
      </w:r>
      <w:hyperlink r:id="rId4" w:history="1">
        <w:r w:rsidRPr="00377B14">
          <w:rPr>
            <w:rStyle w:val="Hyperlink"/>
            <w:rFonts w:ascii="Times New Roman" w:hAnsi="Times New Roman" w:cs="Times New Roman"/>
            <w:sz w:val="24"/>
            <w:szCs w:val="24"/>
          </w:rPr>
          <w:t>mahima@hiregange.com</w:t>
        </w:r>
      </w:hyperlink>
      <w:r>
        <w:rPr>
          <w:rFonts w:ascii="Times New Roman" w:hAnsi="Times New Roman" w:cs="Times New Roman"/>
          <w:sz w:val="24"/>
          <w:szCs w:val="24"/>
        </w:rPr>
        <w:t xml:space="preserve"> and </w:t>
      </w:r>
      <w:hyperlink r:id="rId5" w:history="1">
        <w:r w:rsidRPr="00377B14">
          <w:rPr>
            <w:rStyle w:val="Hyperlink"/>
            <w:rFonts w:ascii="Times New Roman" w:hAnsi="Times New Roman" w:cs="Times New Roman"/>
            <w:sz w:val="24"/>
            <w:szCs w:val="24"/>
          </w:rPr>
          <w:t>venkat@hiregange.com</w:t>
        </w:r>
      </w:hyperlink>
      <w:r>
        <w:rPr>
          <w:rFonts w:ascii="Times New Roman" w:hAnsi="Times New Roman" w:cs="Times New Roman"/>
          <w:sz w:val="24"/>
          <w:szCs w:val="24"/>
        </w:rPr>
        <w:t xml:space="preserve"> </w:t>
      </w:r>
    </w:p>
    <w:sectPr w:rsidR="008B0D99" w:rsidRPr="001767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AD"/>
    <w:rsid w:val="00034935"/>
    <w:rsid w:val="00090CEF"/>
    <w:rsid w:val="001767EF"/>
    <w:rsid w:val="002C3118"/>
    <w:rsid w:val="003416C0"/>
    <w:rsid w:val="00490745"/>
    <w:rsid w:val="0058437E"/>
    <w:rsid w:val="006261B3"/>
    <w:rsid w:val="00660A15"/>
    <w:rsid w:val="006615C1"/>
    <w:rsid w:val="00696C9D"/>
    <w:rsid w:val="006E0935"/>
    <w:rsid w:val="00887AB3"/>
    <w:rsid w:val="008B0D99"/>
    <w:rsid w:val="009A0FA0"/>
    <w:rsid w:val="00B75601"/>
    <w:rsid w:val="00D405AD"/>
    <w:rsid w:val="00F42A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9095"/>
  <w15:chartTrackingRefBased/>
  <w15:docId w15:val="{5E090816-DD65-4C4A-B448-9EF9020D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601"/>
    <w:rPr>
      <w:color w:val="0000FF" w:themeColor="hyperlink"/>
      <w:u w:val="single"/>
    </w:rPr>
  </w:style>
  <w:style w:type="character" w:styleId="UnresolvedMention">
    <w:name w:val="Unresolved Mention"/>
    <w:basedOn w:val="DefaultParagraphFont"/>
    <w:uiPriority w:val="99"/>
    <w:semiHidden/>
    <w:unhideWhenUsed/>
    <w:rsid w:val="00B75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28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enkat@hiregange.com" TargetMode="External"/><Relationship Id="rId4" Type="http://schemas.openxmlformats.org/officeDocument/2006/relationships/hyperlink" Target="mailto:mahima@hirega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Mahima Kesharwani</dc:creator>
  <cp:keywords/>
  <dc:description/>
  <cp:lastModifiedBy>VenkatanarayanaG M</cp:lastModifiedBy>
  <cp:revision>2</cp:revision>
  <dcterms:created xsi:type="dcterms:W3CDTF">2020-09-21T18:46:00Z</dcterms:created>
  <dcterms:modified xsi:type="dcterms:W3CDTF">2020-09-21T18:46:00Z</dcterms:modified>
</cp:coreProperties>
</file>