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Autospacing="0" w:afterAutospacing="0" w:line="180" w:lineRule="auto"/>
        <w:textAlignment w:val="auto"/>
        <w:rPr>
          <w:rFonts w:hint="default" w:ascii="Times New Roman" w:hAnsi="Times New Roman" w:cs="Times New Roman"/>
          <w:sz w:val="24"/>
          <w:szCs w:val="24"/>
        </w:rPr>
      </w:pPr>
      <w:bookmarkStart w:id="0" w:name="_GoBack"/>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"https://rajendramistry.blogspot.com/2019/02/highlights-of-33rd-gst-council-meet.html?m=1"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https://rajendramistry.blogspot.com/2019/02/highlights-of-33rd-gst-council-meet.html?m=1</w:t>
      </w:r>
      <w:r>
        <w:rPr>
          <w:rFonts w:hint="default" w:ascii="Times New Roman" w:hAnsi="Times New Roman" w:cs="Times New Roman"/>
          <w:sz w:val="24"/>
          <w:szCs w:val="24"/>
        </w:rPr>
        <w:fldChar w:fldCharType="end"/>
      </w:r>
    </w:p>
    <w:bookmarkEnd w:id="0"/>
    <w:p>
      <w:pPr>
        <w:keepNext w:val="0"/>
        <w:keepLines w:val="0"/>
        <w:pageBreakBefore w:val="0"/>
        <w:widowControl/>
        <w:kinsoku/>
        <w:wordWrap/>
        <w:overflowPunct/>
        <w:topLinePunct w:val="0"/>
        <w:autoSpaceDE/>
        <w:autoSpaceDN/>
        <w:bidi w:val="0"/>
        <w:adjustRightInd/>
        <w:snapToGrid/>
        <w:spacing w:beforeAutospacing="0" w:afterAutospacing="0" w:line="180" w:lineRule="auto"/>
        <w:textAlignment w:val="auto"/>
        <w:rPr>
          <w:rFonts w:hint="default" w:ascii="Times New Roman" w:hAnsi="Times New Roman" w:cs="Times New Roman"/>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150" w:afterAutospacing="0" w:line="180" w:lineRule="auto"/>
        <w:ind w:left="0" w:firstLine="0"/>
        <w:textAlignment w:val="auto"/>
        <w:rPr>
          <w:rFonts w:hint="default" w:ascii="Times New Roman" w:hAnsi="Times New Roman" w:cs="Times New Roman"/>
        </w:rPr>
      </w:pPr>
      <w:r>
        <w:rPr>
          <w:rStyle w:val="7"/>
          <w:rFonts w:hint="default" w:ascii="Times New Roman" w:hAnsi="Times New Roman" w:eastAsia="sans-serif" w:cs="Times New Roman"/>
          <w:b/>
          <w:bCs/>
          <w:i w:val="0"/>
          <w:caps w:val="0"/>
          <w:color w:val="333333"/>
          <w:spacing w:val="0"/>
          <w:sz w:val="45"/>
          <w:szCs w:val="45"/>
          <w:shd w:val="clear" w:fill="FFFFFF"/>
        </w:rPr>
        <w:t>Highlights of the 33rd GST Council Meet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jc w:val="left"/>
        <w:rPr>
          <w:rFonts w:hint="default" w:ascii="Times New Roman" w:hAnsi="Times New Roman" w:eastAsia="sans-serif" w:cs="Times New Roman"/>
          <w:i w:val="0"/>
          <w:caps w:val="0"/>
          <w:color w:val="333333"/>
          <w:spacing w:val="0"/>
          <w:sz w:val="36"/>
          <w:szCs w:val="36"/>
        </w:rPr>
      </w:pPr>
      <w:r>
        <w:rPr>
          <w:rFonts w:hint="default" w:ascii="Times New Roman" w:hAnsi="Times New Roman" w:eastAsia="sans-serif" w:cs="Times New Roman"/>
          <w:b/>
          <w:i w:val="0"/>
          <w:caps w:val="0"/>
          <w:color w:val="333333"/>
          <w:spacing w:val="0"/>
          <w:sz w:val="36"/>
          <w:szCs w:val="36"/>
          <w:bdr w:val="none" w:color="auto" w:sz="0" w:space="0"/>
          <w:shd w:val="clear" w:fill="FFFFFF"/>
        </w:rPr>
        <w:t>Housing under-construction gets a boost: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eastAsia="sans-serif" w:cs="Times New Roman"/>
          <w:i w:val="0"/>
          <w:caps w:val="0"/>
          <w:color w:val="333333"/>
          <w:spacing w:val="0"/>
          <w:sz w:val="24"/>
          <w:szCs w:val="24"/>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The FM announced a rate cut for the under-construction properties covering the residential segment as follows:</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default" w:ascii="Times New Roman" w:hAnsi="Times New Roman" w:cs="Times New Roma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cs="Times New Roman"/>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GST Rate for affordable housing slashed to 1% without the benefit of the Input tax credit (ITC) as against the earlier rate of 8%. However, the earlier proposal had pointed out that the rate will be slashed down to 3% without the ITC benefit.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cs="Times New Roman"/>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Affordable Housing has been redefined under the GST law with a twin definition to it as follows:</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cs="Times New Roman"/>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In case of Metro cities: Flats with a value of up to Rs.45 lakhs with the carpet area of up to 60 sq.m.</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cs="Times New Roman"/>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Metro cities currently cover Bengaluru, Chennai, Delhi NCR (limited to Delhi, Noida, Greater Noida, Ghaziabad, Gurgaon, Faridabad), Hyderabad, Kolkata and Mumbai (the whole of MMR)</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cs="Times New Roman"/>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In case of Non-metro cities: Flats with a value up to Rs.45 lakhs with the carpet area of up to 90 sq.m.</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eastAsia="sans-serif" w:cs="Times New Roman"/>
          <w:i w:val="0"/>
          <w:caps w:val="0"/>
          <w:color w:val="333333"/>
          <w:spacing w:val="0"/>
          <w:sz w:val="24"/>
          <w:szCs w:val="24"/>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GST rate for non-affordable housing reduced to 5% without ITC from the existing rate of 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eastAsia="sans-serif" w:cs="Times New Roman"/>
          <w:i w:val="0"/>
          <w:caps w:val="0"/>
          <w:color w:val="333333"/>
          <w:spacing w:val="0"/>
          <w:sz w:val="24"/>
          <w:szCs w:val="24"/>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On or before 10th March 2019, all the changes will be drafted in a circular by the law and fitment committee and will be presented before the GST Council as recommendations. The Notifications will be out before the public soon after it is passed by the GST Council and will be made applicable from 1st April 2019. This call was taken to sensitively address the transitional issues likely to be faced by many builders who have ongoing projects before the date of implementation of the new rates.</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cs="Times New Roman"/>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GST exemption proposed on Transfer Development Rights (TDR)/ Joint Development Agreement(JDA), long term lease (premium), FSI- Press release states that an Intermediate tax on development rights such as the above mentioned will be exempt from GST for such residential properties on which GST is payable.</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jc w:val="left"/>
        <w:rPr>
          <w:rFonts w:hint="default" w:ascii="Times New Roman" w:hAnsi="Times New Roman" w:eastAsia="sans-serif" w:cs="Times New Roman"/>
          <w:i w:val="0"/>
          <w:caps w:val="0"/>
          <w:color w:val="333333"/>
          <w:spacing w:val="0"/>
          <w:sz w:val="36"/>
          <w:szCs w:val="36"/>
        </w:rPr>
      </w:pPr>
      <w:r>
        <w:rPr>
          <w:rFonts w:hint="default" w:ascii="Times New Roman" w:hAnsi="Times New Roman" w:eastAsia="sans-serif" w:cs="Times New Roman"/>
          <w:b/>
          <w:i w:val="0"/>
          <w:caps w:val="0"/>
          <w:color w:val="333333"/>
          <w:spacing w:val="0"/>
          <w:sz w:val="36"/>
          <w:szCs w:val="36"/>
          <w:bdr w:val="none" w:color="auto" w:sz="0" w:space="0"/>
          <w:shd w:val="clear" w:fill="FFFFFF"/>
        </w:rPr>
        <w:t>GST rate cuts on Cement out of the discussion:</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eastAsia="sans-serif" w:cs="Times New Roman"/>
          <w:i w:val="0"/>
          <w:caps w:val="0"/>
          <w:color w:val="333333"/>
          <w:spacing w:val="0"/>
          <w:sz w:val="24"/>
          <w:szCs w:val="24"/>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No rate cuts were discussed for Cement, which is currently being charged a GST at the rate of 28%.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line="17" w:lineRule="atLeast"/>
        <w:ind w:left="0" w:right="0" w:firstLine="0"/>
        <w:jc w:val="left"/>
        <w:rPr>
          <w:rFonts w:hint="default" w:ascii="Times New Roman" w:hAnsi="Times New Roman" w:eastAsia="sans-serif" w:cs="Times New Roman"/>
          <w:i w:val="0"/>
          <w:caps w:val="0"/>
          <w:color w:val="333333"/>
          <w:spacing w:val="0"/>
          <w:sz w:val="36"/>
          <w:szCs w:val="36"/>
        </w:rPr>
      </w:pPr>
      <w:r>
        <w:rPr>
          <w:rFonts w:hint="default" w:ascii="Times New Roman" w:hAnsi="Times New Roman" w:eastAsia="sans-serif" w:cs="Times New Roman"/>
          <w:b/>
          <w:i w:val="0"/>
          <w:caps w:val="0"/>
          <w:color w:val="333333"/>
          <w:spacing w:val="0"/>
          <w:sz w:val="36"/>
          <w:szCs w:val="36"/>
          <w:bdr w:val="none" w:color="auto" w:sz="0" w:space="0"/>
          <w:shd w:val="clear" w:fill="FFFFFF"/>
        </w:rPr>
        <w:t>No conclusion on Lottery Rate slash:</w:t>
      </w:r>
    </w:p>
    <w:p>
      <w:pPr>
        <w:keepNext w:val="0"/>
        <w:keepLines w:val="0"/>
        <w:widowControl/>
        <w:suppressLineNumbers w:val="0"/>
        <w:jc w:val="left"/>
        <w:rPr>
          <w:rFonts w:hint="default" w:ascii="Times New Roman" w:hAnsi="Times New Roman" w:cs="Times New Roma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default" w:ascii="Times New Roman" w:hAnsi="Times New Roman" w:eastAsia="sans-serif" w:cs="Times New Roman"/>
          <w:i w:val="0"/>
          <w:caps w:val="0"/>
          <w:color w:val="333333"/>
          <w:spacing w:val="0"/>
          <w:sz w:val="24"/>
          <w:szCs w:val="24"/>
        </w:rPr>
      </w:pPr>
      <w:r>
        <w:rPr>
          <w:rFonts w:hint="default" w:ascii="Times New Roman" w:hAnsi="Times New Roman" w:eastAsia="sans-serif" w:cs="Times New Roman"/>
          <w:i w:val="0"/>
          <w:caps w:val="0"/>
          <w:color w:val="333333"/>
          <w:spacing w:val="0"/>
          <w:kern w:val="0"/>
          <w:sz w:val="24"/>
          <w:szCs w:val="24"/>
          <w:bdr w:val="none" w:color="auto" w:sz="0" w:space="0"/>
          <w:shd w:val="clear" w:fill="FFFFFF"/>
          <w:lang w:val="en-US" w:eastAsia="zh-CN" w:bidi="ar"/>
        </w:rPr>
        <w:t>No rate cuts were discussed for Cement, which is currently being charged a GST at the rate of 28%.</w:t>
      </w:r>
    </w:p>
    <w:p>
      <w:pPr>
        <w:keepNext w:val="0"/>
        <w:keepLines w:val="0"/>
        <w:widowControl/>
        <w:suppressLineNumbers w:val="0"/>
        <w:jc w:val="left"/>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beforeAutospacing="0" w:afterAutospacing="0" w:line="180" w:lineRule="auto"/>
        <w:textAlignment w:val="auto"/>
        <w:rPr>
          <w:rFonts w:hint="default"/>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Sitka Banner">
    <w:panose1 w:val="02000505000000020004"/>
    <w:charset w:val="00"/>
    <w:family w:val="auto"/>
    <w:pitch w:val="default"/>
    <w:sig w:usb0="A00002EF" w:usb1="4000204B" w:usb2="00000000" w:usb3="00000000" w:csb0="2000019F" w:csb1="00000000"/>
  </w:font>
  <w:font w:name="Calibri Light">
    <w:panose1 w:val="020F0302020204030204"/>
    <w:charset w:val="00"/>
    <w:family w:val="auto"/>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Microsoft JhengHe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YaHe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UI Gothic">
    <w:panose1 w:val="020B0600070205080204"/>
    <w:charset w:val="80"/>
    <w:family w:val="auto"/>
    <w:pitch w:val="default"/>
    <w:sig w:usb0="E00002FF" w:usb1="6AC7FDFB" w:usb2="08000012" w:usb3="00000000" w:csb0="4002009F" w:csb1="DFD70000"/>
  </w:font>
  <w:font w:name="NSimSun">
    <w:panose1 w:val="02010609030101010101"/>
    <w:charset w:val="86"/>
    <w:family w:val="auto"/>
    <w:pitch w:val="default"/>
    <w:sig w:usb0="00000283" w:usb1="288F0000" w:usb2="00000006" w:usb3="00000000" w:csb0="00040001" w:csb1="0000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Microsoft YaHei UI Light">
    <w:panose1 w:val="020B0502040204020203"/>
    <w:charset w:val="86"/>
    <w:family w:val="auto"/>
    <w:pitch w:val="default"/>
    <w:sig w:usb0="80000287" w:usb1="2ACF001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 w:name="Vimal">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Varsha">
    <w:panose1 w:val="00000000000000000000"/>
    <w:charset w:val="00"/>
    <w:family w:val="auto"/>
    <w:pitch w:val="default"/>
    <w:sig w:usb0="00000000" w:usb1="00000000" w:usb2="00000000" w:usb3="00000000" w:csb0="00000000" w:csb1="00000000"/>
  </w:font>
  <w:font w:name="Vakil_01">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687" w:usb1="00000000" w:usb2="00000000" w:usb3="00000000" w:csb0="2000009F" w:csb1="00000000"/>
  </w:font>
  <w:font w:name="TERAFONT-VARU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A560F9"/>
    <w:rsid w:val="644C5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Hyperlink"/>
    <w:basedOn w:val="5"/>
    <w:uiPriority w:val="0"/>
    <w:rPr>
      <w:color w:val="0000FF"/>
      <w:u w:val="single"/>
    </w:rPr>
  </w:style>
  <w:style w:type="character" w:styleId="7">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Office_10.2.0.7635_F1E327BC-269C-435d-A152-05C5408002CA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2019-02-25T05:31:15Z</dcterms:created>
  <dc:creator>admin</dc:creator>
  <cp:lastModifiedBy>admin</cp:lastModifiedBy>
  <dcterms:modified xsi:type="dcterms:W3CDTF">2019-02-25T05:38:00Z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