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6A9" w:rsidRPr="004636A9" w:rsidRDefault="004636A9" w:rsidP="004636A9">
      <w:pPr>
        <w:shd w:val="clear" w:color="auto" w:fill="FAFAFA"/>
        <w:spacing w:after="0" w:line="240" w:lineRule="auto"/>
        <w:outlineLvl w:val="0"/>
        <w:rPr>
          <w:rFonts w:ascii="Times New Roman" w:eastAsia="Times New Roman" w:hAnsi="Times New Roman" w:cs="Times New Roman"/>
          <w:b/>
          <w:bCs/>
          <w:color w:val="444444"/>
          <w:kern w:val="36"/>
          <w:sz w:val="27"/>
          <w:szCs w:val="27"/>
        </w:rPr>
      </w:pPr>
      <w:r w:rsidRPr="004636A9">
        <w:rPr>
          <w:rFonts w:ascii="Times New Roman" w:eastAsia="Times New Roman" w:hAnsi="Times New Roman" w:cs="Times New Roman"/>
          <w:b/>
          <w:bCs/>
          <w:color w:val="444444"/>
          <w:kern w:val="36"/>
          <w:sz w:val="27"/>
          <w:szCs w:val="27"/>
        </w:rPr>
        <w:fldChar w:fldCharType="begin"/>
      </w:r>
      <w:r w:rsidRPr="004636A9">
        <w:rPr>
          <w:rFonts w:ascii="Times New Roman" w:eastAsia="Times New Roman" w:hAnsi="Times New Roman" w:cs="Times New Roman"/>
          <w:b/>
          <w:bCs/>
          <w:color w:val="444444"/>
          <w:kern w:val="36"/>
          <w:sz w:val="27"/>
          <w:szCs w:val="27"/>
        </w:rPr>
        <w:instrText xml:space="preserve"> HYPERLINK "https://taxguru.in/chartered-accountant/blocked-input-tax-credit-itc-gst.html" \o "Blocked Input Tax Credit (ITC) of GST" </w:instrText>
      </w:r>
      <w:r w:rsidRPr="004636A9">
        <w:rPr>
          <w:rFonts w:ascii="Times New Roman" w:eastAsia="Times New Roman" w:hAnsi="Times New Roman" w:cs="Times New Roman"/>
          <w:b/>
          <w:bCs/>
          <w:color w:val="444444"/>
          <w:kern w:val="36"/>
          <w:sz w:val="27"/>
          <w:szCs w:val="27"/>
        </w:rPr>
        <w:fldChar w:fldCharType="separate"/>
      </w:r>
      <w:r w:rsidRPr="004636A9">
        <w:rPr>
          <w:rFonts w:ascii="Times New Roman" w:eastAsia="Times New Roman" w:hAnsi="Times New Roman" w:cs="Times New Roman"/>
          <w:b/>
          <w:bCs/>
          <w:color w:val="23527C"/>
          <w:kern w:val="36"/>
          <w:sz w:val="27"/>
        </w:rPr>
        <w:t>Blocked Input Tax Credit (ITC) of GST</w:t>
      </w:r>
      <w:r w:rsidRPr="004636A9">
        <w:rPr>
          <w:rFonts w:ascii="Times New Roman" w:eastAsia="Times New Roman" w:hAnsi="Times New Roman" w:cs="Times New Roman"/>
          <w:b/>
          <w:bCs/>
          <w:color w:val="444444"/>
          <w:kern w:val="36"/>
          <w:sz w:val="27"/>
          <w:szCs w:val="27"/>
        </w:rPr>
        <w:fldChar w:fldCharType="end"/>
      </w:r>
    </w:p>
    <w:p w:rsidR="00BE530C" w:rsidRDefault="00BE530C">
      <w:pPr>
        <w:rPr>
          <w:rFonts w:ascii="Nirmala UI" w:hAnsi="Nirmala UI" w:cs="Nirmala UI"/>
        </w:rPr>
      </w:pP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Fonts w:ascii="Arial" w:hAnsi="Arial" w:cs="Arial"/>
          <w:color w:val="475055"/>
        </w:rPr>
        <w:t>Input tax charged on any supply of goods or services or both to him which are used or intended to be used in the course or furtherance of business.</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Fonts w:ascii="Arial" w:hAnsi="Arial" w:cs="Arial"/>
          <w:color w:val="475055"/>
        </w:rPr>
        <w:t>ITC is used for payment of output tax. ITC being the backbone of GST and there are many condition to claim ITC on any items. But there are some cases where ITC is blocked so that recipient is not able to claim ITC. Section 17(5) of GST Act deals with the blocking of ITC on specified inward supplies.</w:t>
      </w:r>
    </w:p>
    <w:p w:rsidR="004636A9" w:rsidRDefault="004636A9">
      <w:pPr>
        <w:rPr>
          <w:rFonts w:ascii="Nirmala UI" w:hAnsi="Nirmala UI" w:cs="Nirmala UI"/>
        </w:rPr>
      </w:pPr>
    </w:p>
    <w:p w:rsidR="004636A9" w:rsidRDefault="004636A9">
      <w:pPr>
        <w:rPr>
          <w:rStyle w:val="Strong"/>
          <w:rFonts w:ascii="Arial" w:hAnsi="Arial" w:cs="Arial"/>
          <w:color w:val="0000FF"/>
          <w:shd w:val="clear" w:color="auto" w:fill="FFFFFF"/>
        </w:rPr>
      </w:pPr>
      <w:r>
        <w:rPr>
          <w:rStyle w:val="Strong"/>
          <w:rFonts w:ascii="Arial" w:hAnsi="Arial" w:cs="Arial"/>
          <w:color w:val="0000FF"/>
          <w:shd w:val="clear" w:color="auto" w:fill="FFFFFF"/>
        </w:rPr>
        <w:t>Blocked credit list {Section 17(5)}</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Style w:val="Strong"/>
          <w:rFonts w:ascii="Arial" w:hAnsi="Arial" w:cs="Arial"/>
          <w:color w:val="475055"/>
        </w:rPr>
        <w:t>1. Motor Vehicles and other conveyances</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Fonts w:ascii="Arial" w:hAnsi="Arial" w:cs="Arial"/>
          <w:color w:val="475055"/>
        </w:rPr>
        <w:t>E.g. Tax</w:t>
      </w:r>
      <w:r w:rsidR="00E94FC1">
        <w:rPr>
          <w:rFonts w:ascii="Arial" w:hAnsi="Arial" w:cs="Arial"/>
          <w:color w:val="475055"/>
        </w:rPr>
        <w:t xml:space="preserve"> </w:t>
      </w:r>
      <w:r>
        <w:rPr>
          <w:rFonts w:ascii="Arial" w:hAnsi="Arial" w:cs="Arial"/>
          <w:color w:val="475055"/>
        </w:rPr>
        <w:t>Town is purchased a car and registered with the name of Tax</w:t>
      </w:r>
      <w:r w:rsidR="00120198">
        <w:rPr>
          <w:rFonts w:ascii="Arial" w:hAnsi="Arial" w:cs="Arial"/>
          <w:color w:val="475055"/>
        </w:rPr>
        <w:t xml:space="preserve"> </w:t>
      </w:r>
      <w:r>
        <w:rPr>
          <w:rFonts w:ascii="Arial" w:hAnsi="Arial" w:cs="Arial"/>
          <w:color w:val="475055"/>
        </w:rPr>
        <w:t>Town in RTO office and uses the car for business purpose only. But in this case Tax</w:t>
      </w:r>
      <w:r w:rsidR="00120198">
        <w:rPr>
          <w:rFonts w:ascii="Arial" w:hAnsi="Arial" w:cs="Arial"/>
          <w:color w:val="475055"/>
        </w:rPr>
        <w:t xml:space="preserve"> </w:t>
      </w:r>
      <w:r>
        <w:rPr>
          <w:rFonts w:ascii="Arial" w:hAnsi="Arial" w:cs="Arial"/>
          <w:color w:val="475055"/>
        </w:rPr>
        <w:t>Town cannot take ITC on this car.</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Style w:val="Strong"/>
          <w:rFonts w:ascii="Arial" w:hAnsi="Arial" w:cs="Arial"/>
          <w:color w:val="475055"/>
        </w:rPr>
        <w:t>Exception to ITC on Motor vehicle (ITC can be claimed in these cases):-</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Style w:val="Strong"/>
          <w:rFonts w:ascii="Arial" w:hAnsi="Arial" w:cs="Arial"/>
          <w:color w:val="475055"/>
        </w:rPr>
        <w:t>(</w:t>
      </w:r>
      <w:proofErr w:type="spellStart"/>
      <w:r>
        <w:rPr>
          <w:rStyle w:val="Strong"/>
          <w:rFonts w:ascii="Arial" w:hAnsi="Arial" w:cs="Arial"/>
          <w:color w:val="475055"/>
        </w:rPr>
        <w:t>i</w:t>
      </w:r>
      <w:proofErr w:type="spellEnd"/>
      <w:r>
        <w:rPr>
          <w:rStyle w:val="Strong"/>
          <w:rFonts w:ascii="Arial" w:hAnsi="Arial" w:cs="Arial"/>
          <w:color w:val="475055"/>
        </w:rPr>
        <w:t>) Further supply of such Vehicles or conveyance –</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Fonts w:ascii="Arial" w:hAnsi="Arial" w:cs="Arial"/>
          <w:color w:val="475055"/>
        </w:rPr>
        <w:t> If registered person is dealing in car supplying the dealer can claim ITC. For e.g. Audi car dealer purchase car from a company and paid tax on this car, then dealer sold out that car to Tax</w:t>
      </w:r>
      <w:r w:rsidR="00E94FC1">
        <w:rPr>
          <w:rFonts w:ascii="Arial" w:hAnsi="Arial" w:cs="Arial"/>
          <w:color w:val="475055"/>
        </w:rPr>
        <w:t xml:space="preserve"> </w:t>
      </w:r>
      <w:r>
        <w:rPr>
          <w:rFonts w:ascii="Arial" w:hAnsi="Arial" w:cs="Arial"/>
          <w:color w:val="475055"/>
        </w:rPr>
        <w:t>Town. Now in this case, Audi can claim ITC and deduct his final tax liability.</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Style w:val="Strong"/>
          <w:rFonts w:ascii="Arial" w:hAnsi="Arial" w:cs="Arial"/>
          <w:color w:val="475055"/>
        </w:rPr>
        <w:t>(ii) Transportation of passenger –</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Fonts w:ascii="Arial" w:hAnsi="Arial" w:cs="Arial"/>
          <w:color w:val="475055"/>
        </w:rPr>
        <w:t>If any person is providing service by way of transportation of passenger than ITC can be claimed on the vehicle purchased.</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r>
        <w:rPr>
          <w:rFonts w:ascii="Arial" w:hAnsi="Arial" w:cs="Arial"/>
          <w:color w:val="475055"/>
        </w:rPr>
        <w:t>For example – if Red Bus is purchasing buses for transportation of passenger than Red Bus is eligible for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(iii) Imparting training on driving, flying, navigating such vehicles or conveyance-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If Maruti driving school purchasing vehicle for training of the driver then Maruti driving school can claim ITC on that vehicle.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Also, If Airplane training is given by some training school than he is also eligible to take ITC Credit.</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(iv) Transportation of goods –</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If any vehicle is used for transport of goods from one place to another place then vehicle is eligible for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2. Food and beverages, beauty treatment and others</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070"/>
        <w:gridCol w:w="3055"/>
        <w:gridCol w:w="3070"/>
      </w:tblGrid>
      <w:tr w:rsidR="004636A9" w:rsidRPr="004636A9" w:rsidTr="004636A9">
        <w:tc>
          <w:tcPr>
            <w:tcW w:w="295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353435"/>
                <w:sz w:val="21"/>
                <w:szCs w:val="21"/>
              </w:rPr>
            </w:pPr>
            <w:r w:rsidRPr="004636A9">
              <w:rPr>
                <w:rFonts w:ascii="Arial" w:eastAsia="Times New Roman" w:hAnsi="Arial" w:cs="Arial"/>
                <w:color w:val="353435"/>
                <w:sz w:val="21"/>
                <w:szCs w:val="21"/>
              </w:rPr>
              <w:lastRenderedPageBreak/>
              <w:t>Food and beverages</w:t>
            </w:r>
          </w:p>
        </w:tc>
        <w:tc>
          <w:tcPr>
            <w:tcW w:w="294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353435"/>
                <w:sz w:val="21"/>
                <w:szCs w:val="21"/>
              </w:rPr>
            </w:pPr>
            <w:r w:rsidRPr="004636A9">
              <w:rPr>
                <w:rFonts w:ascii="Arial" w:eastAsia="Times New Roman" w:hAnsi="Arial" w:cs="Arial"/>
                <w:color w:val="353435"/>
                <w:sz w:val="21"/>
                <w:szCs w:val="21"/>
              </w:rPr>
              <w:t>Outward catering</w:t>
            </w:r>
          </w:p>
        </w:tc>
        <w:tc>
          <w:tcPr>
            <w:tcW w:w="29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353435"/>
                <w:sz w:val="21"/>
                <w:szCs w:val="21"/>
              </w:rPr>
            </w:pPr>
            <w:r w:rsidRPr="004636A9">
              <w:rPr>
                <w:rFonts w:ascii="Arial" w:eastAsia="Times New Roman" w:hAnsi="Arial" w:cs="Arial"/>
                <w:color w:val="353435"/>
                <w:sz w:val="21"/>
                <w:szCs w:val="21"/>
              </w:rPr>
              <w:t>Beauty treatment</w:t>
            </w:r>
          </w:p>
        </w:tc>
      </w:tr>
      <w:tr w:rsidR="004636A9" w:rsidRPr="004636A9" w:rsidTr="004636A9">
        <w:tc>
          <w:tcPr>
            <w:tcW w:w="295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Health services</w:t>
            </w:r>
          </w:p>
        </w:tc>
        <w:tc>
          <w:tcPr>
            <w:tcW w:w="294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Cosmetic surgery</w:t>
            </w:r>
          </w:p>
        </w:tc>
        <w:tc>
          <w:tcPr>
            <w:tcW w:w="29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Plastic surgery</w:t>
            </w:r>
          </w:p>
        </w:tc>
      </w:tr>
    </w:tbl>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However, when inward supply is used for making of outward taxable supply of the same category or as an element of a taxable composite or mixed supply, then ITC can be claimed.</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Tax Town is taking outward catering services for celebrating annual day at Park hotel so in this Tax Town is not eligible for ITC.</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proofErr w:type="gramStart"/>
      <w:r>
        <w:rPr>
          <w:rFonts w:ascii="Arial" w:hAnsi="Arial" w:cs="Arial"/>
          <w:color w:val="475055"/>
        </w:rPr>
        <w:t>e.g.</w:t>
      </w:r>
      <w:proofErr w:type="gramEnd"/>
      <w:r>
        <w:rPr>
          <w:rFonts w:ascii="Arial" w:hAnsi="Arial" w:cs="Arial"/>
          <w:color w:val="475055"/>
        </w:rPr>
        <w:t xml:space="preserve">  </w:t>
      </w:r>
      <w:r w:rsidR="003B0E33">
        <w:rPr>
          <w:rFonts w:ascii="Arial" w:hAnsi="Arial" w:cs="Arial"/>
          <w:color w:val="475055"/>
        </w:rPr>
        <w:t>When</w:t>
      </w:r>
      <w:r>
        <w:rPr>
          <w:rFonts w:ascii="Arial" w:hAnsi="Arial" w:cs="Arial"/>
          <w:color w:val="475055"/>
        </w:rPr>
        <w:t xml:space="preserve"> </w:t>
      </w:r>
      <w:r w:rsidR="003B0E33">
        <w:rPr>
          <w:rFonts w:ascii="Arial" w:hAnsi="Arial" w:cs="Arial"/>
          <w:color w:val="475055"/>
        </w:rPr>
        <w:t>Airline Company</w:t>
      </w:r>
      <w:r>
        <w:rPr>
          <w:rFonts w:ascii="Arial" w:hAnsi="Arial" w:cs="Arial"/>
          <w:color w:val="475055"/>
        </w:rPr>
        <w:t xml:space="preserve"> is taking packed food for the passenger than ITC is eligible for inward supply. It is considered as part of the composite supply of air travel services.</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proofErr w:type="gramStart"/>
      <w:r>
        <w:rPr>
          <w:rFonts w:ascii="Arial" w:hAnsi="Arial" w:cs="Arial"/>
          <w:color w:val="475055"/>
        </w:rPr>
        <w:t>e.g</w:t>
      </w:r>
      <w:proofErr w:type="gramEnd"/>
      <w:r>
        <w:rPr>
          <w:rFonts w:ascii="Arial" w:hAnsi="Arial" w:cs="Arial"/>
          <w:color w:val="475055"/>
        </w:rPr>
        <w:t>. If any actress/production house is taking beauty treatment services than inward supply is not eligible for credit.</w:t>
      </w:r>
    </w:p>
    <w:p w:rsidR="004636A9" w:rsidRDefault="004636A9" w:rsidP="004636A9">
      <w:pPr>
        <w:pStyle w:val="NormalWeb"/>
        <w:shd w:val="clear" w:color="auto" w:fill="FFFFFF"/>
        <w:spacing w:before="0" w:beforeAutospacing="0" w:after="150" w:afterAutospacing="0"/>
        <w:jc w:val="both"/>
        <w:rPr>
          <w:rFonts w:ascii="Arial" w:hAnsi="Arial" w:cs="Arial"/>
          <w:color w:val="475055"/>
        </w:rPr>
      </w:pPr>
      <w:proofErr w:type="gramStart"/>
      <w:r>
        <w:rPr>
          <w:rFonts w:ascii="Arial" w:hAnsi="Arial" w:cs="Arial"/>
          <w:color w:val="475055"/>
        </w:rPr>
        <w:t>e.g</w:t>
      </w:r>
      <w:proofErr w:type="gramEnd"/>
      <w:r>
        <w:rPr>
          <w:rFonts w:ascii="Arial" w:hAnsi="Arial" w:cs="Arial"/>
          <w:color w:val="475055"/>
        </w:rPr>
        <w:t>. When restaurant is taking inward supply of beverage than restaurant can claim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3. Membership   </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065"/>
        <w:gridCol w:w="3065"/>
        <w:gridCol w:w="3065"/>
      </w:tblGrid>
      <w:tr w:rsidR="004636A9" w:rsidRPr="004636A9" w:rsidTr="004636A9">
        <w:tc>
          <w:tcPr>
            <w:tcW w:w="8130" w:type="dxa"/>
            <w:gridSpan w:val="3"/>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353435"/>
                <w:sz w:val="21"/>
                <w:szCs w:val="21"/>
              </w:rPr>
            </w:pPr>
            <w:r w:rsidRPr="004636A9">
              <w:rPr>
                <w:rFonts w:ascii="Arial" w:eastAsia="Times New Roman" w:hAnsi="Arial" w:cs="Arial"/>
                <w:b/>
                <w:bCs/>
                <w:color w:val="353435"/>
                <w:sz w:val="21"/>
              </w:rPr>
              <w:t>Membership of below:-</w:t>
            </w:r>
          </w:p>
        </w:tc>
      </w:tr>
      <w:tr w:rsidR="004636A9" w:rsidRPr="004636A9" w:rsidTr="004636A9">
        <w:tc>
          <w:tcPr>
            <w:tcW w:w="27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Club</w:t>
            </w:r>
          </w:p>
        </w:tc>
        <w:tc>
          <w:tcPr>
            <w:tcW w:w="27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Health</w:t>
            </w:r>
          </w:p>
        </w:tc>
        <w:tc>
          <w:tcPr>
            <w:tcW w:w="27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Fitness center</w:t>
            </w:r>
          </w:p>
        </w:tc>
      </w:tr>
    </w:tbl>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Tax</w:t>
      </w:r>
      <w:r w:rsidR="003B0E33">
        <w:rPr>
          <w:rFonts w:ascii="Arial" w:eastAsia="Times New Roman" w:hAnsi="Arial" w:cs="Arial"/>
          <w:color w:val="475055"/>
          <w:sz w:val="24"/>
          <w:szCs w:val="24"/>
        </w:rPr>
        <w:t xml:space="preserve"> </w:t>
      </w:r>
      <w:r w:rsidRPr="004636A9">
        <w:rPr>
          <w:rFonts w:ascii="Arial" w:eastAsia="Times New Roman" w:hAnsi="Arial" w:cs="Arial"/>
          <w:color w:val="475055"/>
          <w:sz w:val="24"/>
          <w:szCs w:val="24"/>
        </w:rPr>
        <w:t>Town is taking membership of gold gym for its employees then inward supply is not eligible for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X Ltd. Purchased club membership for its director for client meeting so in this case inward supply is not eligible for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4. Rent-a-cab, life insurance and health insurance  </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These above mentioned inward supply is not eligible for ITC. But there are some exceptions where we can claim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w:t>
      </w:r>
      <w:proofErr w:type="spellStart"/>
      <w:r w:rsidRPr="004636A9">
        <w:rPr>
          <w:rFonts w:ascii="Arial" w:eastAsia="Times New Roman" w:hAnsi="Arial" w:cs="Arial"/>
          <w:color w:val="475055"/>
          <w:sz w:val="24"/>
          <w:szCs w:val="24"/>
        </w:rPr>
        <w:t>i</w:t>
      </w:r>
      <w:proofErr w:type="spellEnd"/>
      <w:r w:rsidRPr="004636A9">
        <w:rPr>
          <w:rFonts w:ascii="Arial" w:eastAsia="Times New Roman" w:hAnsi="Arial" w:cs="Arial"/>
          <w:color w:val="475055"/>
          <w:sz w:val="24"/>
          <w:szCs w:val="24"/>
        </w:rPr>
        <w:t>) The government has made mandatory for an employer to provide specific service to its employees.</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xml:space="preserve">. Indian government has made that all employee health insurance is mandatory. </w:t>
      </w:r>
      <w:proofErr w:type="gramStart"/>
      <w:r w:rsidRPr="004636A9">
        <w:rPr>
          <w:rFonts w:ascii="Arial" w:eastAsia="Times New Roman" w:hAnsi="Arial" w:cs="Arial"/>
          <w:color w:val="475055"/>
          <w:sz w:val="24"/>
          <w:szCs w:val="24"/>
        </w:rPr>
        <w:t>so</w:t>
      </w:r>
      <w:proofErr w:type="gramEnd"/>
      <w:r w:rsidRPr="004636A9">
        <w:rPr>
          <w:rFonts w:ascii="Arial" w:eastAsia="Times New Roman" w:hAnsi="Arial" w:cs="Arial"/>
          <w:color w:val="475055"/>
          <w:sz w:val="24"/>
          <w:szCs w:val="24"/>
        </w:rPr>
        <w:t xml:space="preserve"> in this case Tax</w:t>
      </w:r>
      <w:r w:rsidR="003B0E33">
        <w:rPr>
          <w:rFonts w:ascii="Arial" w:eastAsia="Times New Roman" w:hAnsi="Arial" w:cs="Arial"/>
          <w:color w:val="475055"/>
          <w:sz w:val="24"/>
          <w:szCs w:val="24"/>
        </w:rPr>
        <w:t xml:space="preserve"> </w:t>
      </w:r>
      <w:r w:rsidRPr="004636A9">
        <w:rPr>
          <w:rFonts w:ascii="Arial" w:eastAsia="Times New Roman" w:hAnsi="Arial" w:cs="Arial"/>
          <w:color w:val="475055"/>
          <w:sz w:val="24"/>
          <w:szCs w:val="24"/>
        </w:rPr>
        <w:t>Town Ltd has took the health insurance of all the employees. Then ITC is available to Tax</w:t>
      </w:r>
      <w:r w:rsidR="003B0E33">
        <w:rPr>
          <w:rFonts w:ascii="Arial" w:eastAsia="Times New Roman" w:hAnsi="Arial" w:cs="Arial"/>
          <w:color w:val="475055"/>
          <w:sz w:val="24"/>
          <w:szCs w:val="24"/>
        </w:rPr>
        <w:t xml:space="preserve"> </w:t>
      </w:r>
      <w:r w:rsidRPr="004636A9">
        <w:rPr>
          <w:rFonts w:ascii="Arial" w:eastAsia="Times New Roman" w:hAnsi="Arial" w:cs="Arial"/>
          <w:color w:val="475055"/>
          <w:sz w:val="24"/>
          <w:szCs w:val="24"/>
        </w:rPr>
        <w:t>Town Ltd for health insurance inward supply.</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xml:space="preserve">. Haryana government issue a notification for all the employer of </w:t>
      </w:r>
      <w:r w:rsidR="003B0E33" w:rsidRPr="004636A9">
        <w:rPr>
          <w:rFonts w:ascii="Arial" w:eastAsia="Times New Roman" w:hAnsi="Arial" w:cs="Arial"/>
          <w:color w:val="475055"/>
          <w:sz w:val="24"/>
          <w:szCs w:val="24"/>
        </w:rPr>
        <w:t>Gurgaon’</w:t>
      </w:r>
      <w:r w:rsidRPr="004636A9">
        <w:rPr>
          <w:rFonts w:ascii="Arial" w:eastAsia="Times New Roman" w:hAnsi="Arial" w:cs="Arial"/>
          <w:color w:val="475055"/>
          <w:sz w:val="24"/>
          <w:szCs w:val="24"/>
        </w:rPr>
        <w:t xml:space="preserve"> to provide mandatory cab services to all the employees after 9’0 clock. Tax</w:t>
      </w:r>
      <w:r w:rsidR="003B0E33">
        <w:rPr>
          <w:rFonts w:ascii="Arial" w:eastAsia="Times New Roman" w:hAnsi="Arial" w:cs="Arial"/>
          <w:color w:val="475055"/>
          <w:sz w:val="24"/>
          <w:szCs w:val="24"/>
        </w:rPr>
        <w:t xml:space="preserve"> </w:t>
      </w:r>
      <w:r w:rsidRPr="004636A9">
        <w:rPr>
          <w:rFonts w:ascii="Arial" w:eastAsia="Times New Roman" w:hAnsi="Arial" w:cs="Arial"/>
          <w:color w:val="475055"/>
          <w:sz w:val="24"/>
          <w:szCs w:val="24"/>
        </w:rPr>
        <w:t>Town Ltd hires a rent-a-cab to provide transportation of its staff. Then Tax</w:t>
      </w:r>
      <w:r w:rsidR="003B0E33">
        <w:rPr>
          <w:rFonts w:ascii="Arial" w:eastAsia="Times New Roman" w:hAnsi="Arial" w:cs="Arial"/>
          <w:color w:val="475055"/>
          <w:sz w:val="24"/>
          <w:szCs w:val="24"/>
        </w:rPr>
        <w:t xml:space="preserve"> </w:t>
      </w:r>
      <w:r w:rsidRPr="004636A9">
        <w:rPr>
          <w:rFonts w:ascii="Arial" w:eastAsia="Times New Roman" w:hAnsi="Arial" w:cs="Arial"/>
          <w:color w:val="475055"/>
          <w:sz w:val="24"/>
          <w:szCs w:val="24"/>
        </w:rPr>
        <w:t>Town Ltd is eligible to take ITC of cab services.</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(ii) If inward supply of these services is used for making outward taxable supply of the same category or as an element of taxable composite or mixed supply.</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XYZ travels rent-a-cab services to BZ travels. Then BZ Travels can claim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lastRenderedPageBreak/>
        <w:t>e.g</w:t>
      </w:r>
      <w:proofErr w:type="gramEnd"/>
      <w:r w:rsidRPr="004636A9">
        <w:rPr>
          <w:rFonts w:ascii="Arial" w:eastAsia="Times New Roman" w:hAnsi="Arial" w:cs="Arial"/>
          <w:color w:val="475055"/>
          <w:sz w:val="24"/>
          <w:szCs w:val="24"/>
        </w:rPr>
        <w:t xml:space="preserve">. XYZ Ltd. insurance company is providing Re-insurance services to LIC. Then in this case </w:t>
      </w:r>
      <w:r w:rsidR="003B0E33" w:rsidRPr="004636A9">
        <w:rPr>
          <w:rFonts w:ascii="Arial" w:eastAsia="Times New Roman" w:hAnsi="Arial" w:cs="Arial"/>
          <w:color w:val="475055"/>
          <w:sz w:val="24"/>
          <w:szCs w:val="24"/>
        </w:rPr>
        <w:t>LIC Re-insurance services are</w:t>
      </w:r>
      <w:r w:rsidRPr="004636A9">
        <w:rPr>
          <w:rFonts w:ascii="Arial" w:eastAsia="Times New Roman" w:hAnsi="Arial" w:cs="Arial"/>
          <w:color w:val="475055"/>
          <w:sz w:val="24"/>
          <w:szCs w:val="24"/>
        </w:rPr>
        <w:t xml:space="preserve"> eligible for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5. Travel benefits</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If travel benefit is extended to its employees on vacation such as LTC or home travel concession, then inward supply of travel is not eligible for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But if travel is for business purpose then can be claimed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6. Works contract</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Works contract services for construction of an immovable property </w:t>
      </w:r>
      <w:r w:rsidRPr="004636A9">
        <w:rPr>
          <w:rFonts w:ascii="Arial" w:eastAsia="Times New Roman" w:hAnsi="Arial" w:cs="Arial"/>
          <w:b/>
          <w:bCs/>
          <w:color w:val="475055"/>
          <w:sz w:val="24"/>
          <w:szCs w:val="24"/>
        </w:rPr>
        <w:t>Except When</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It means ITC credit is available in these cases:-</w:t>
      </w:r>
    </w:p>
    <w:p w:rsidR="004636A9" w:rsidRPr="004636A9" w:rsidRDefault="004636A9" w:rsidP="004636A9">
      <w:pPr>
        <w:numPr>
          <w:ilvl w:val="0"/>
          <w:numId w:val="1"/>
        </w:numPr>
        <w:shd w:val="clear" w:color="auto" w:fill="FFFFFF"/>
        <w:spacing w:after="0" w:line="240" w:lineRule="auto"/>
        <w:ind w:left="0"/>
        <w:jc w:val="both"/>
        <w:rPr>
          <w:rFonts w:ascii="Arial" w:eastAsia="Times New Roman" w:hAnsi="Arial" w:cs="Arial"/>
          <w:color w:val="475055"/>
          <w:sz w:val="24"/>
          <w:szCs w:val="24"/>
        </w:rPr>
      </w:pPr>
      <w:r w:rsidRPr="004636A9">
        <w:rPr>
          <w:rFonts w:ascii="Arial" w:eastAsia="Times New Roman" w:hAnsi="Arial" w:cs="Arial"/>
          <w:color w:val="475055"/>
          <w:sz w:val="24"/>
          <w:szCs w:val="24"/>
        </w:rPr>
        <w:t>Input services for further supply of works contract services.</w:t>
      </w:r>
    </w:p>
    <w:p w:rsidR="004636A9" w:rsidRPr="004636A9" w:rsidRDefault="004636A9" w:rsidP="004636A9">
      <w:pPr>
        <w:numPr>
          <w:ilvl w:val="0"/>
          <w:numId w:val="1"/>
        </w:numPr>
        <w:shd w:val="clear" w:color="auto" w:fill="FFFFFF"/>
        <w:spacing w:after="0" w:line="240" w:lineRule="auto"/>
        <w:ind w:left="0"/>
        <w:jc w:val="both"/>
        <w:rPr>
          <w:rFonts w:ascii="Arial" w:eastAsia="Times New Roman" w:hAnsi="Arial" w:cs="Arial"/>
          <w:color w:val="475055"/>
          <w:sz w:val="24"/>
          <w:szCs w:val="24"/>
        </w:rPr>
      </w:pPr>
      <w:r w:rsidRPr="004636A9">
        <w:rPr>
          <w:rFonts w:ascii="Arial" w:eastAsia="Times New Roman" w:hAnsi="Arial" w:cs="Arial"/>
          <w:color w:val="475055"/>
          <w:sz w:val="24"/>
          <w:szCs w:val="24"/>
        </w:rPr>
        <w:t>For construction of immovable property i.e. plant and machinery only.</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A company hires contractor to construct an office building to house the plant supervisory staff. ITC on this service is not eligible.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If the contractor has sub-contracted the work to another contractor. In this case, contractor is eligible to book the credit of sub-contract service. It is an input service for further supply of works contract services.</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Manufacturing company is taking service for construction of  AC plant in the factory. It is eligible for ITC since it is considered as plant &amp; machinery.</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7. Immovable property on his own account</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ITC is not available for goods/services or both used for construction of an immovable property on his own account. But if inward supply is used for plant &amp; machinery then eligible for ITC even if it is used for own use.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When inward supply is used for construction of immovable property and immovable property is used in the course or furtherance of business then ITC is not available.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XYZ Ltd is developer of buildings. It builds a corporate office for itself. XYZ Ltd cannot take credit of inward supply even the office used for business purpose.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XYZ Ltd construct boiler to manufacture. ITC is available since it is Plant &amp; Machinery.</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8. Composition Scheme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 xml:space="preserve">ITC is not available for inward goods/services or both received by composite dealer. Since composite supplier is not </w:t>
      </w:r>
      <w:proofErr w:type="gramStart"/>
      <w:r w:rsidRPr="004636A9">
        <w:rPr>
          <w:rFonts w:ascii="Arial" w:eastAsia="Times New Roman" w:hAnsi="Arial" w:cs="Arial"/>
          <w:color w:val="475055"/>
          <w:sz w:val="24"/>
          <w:szCs w:val="24"/>
        </w:rPr>
        <w:t>entitle</w:t>
      </w:r>
      <w:proofErr w:type="gramEnd"/>
      <w:r w:rsidRPr="004636A9">
        <w:rPr>
          <w:rFonts w:ascii="Arial" w:eastAsia="Times New Roman" w:hAnsi="Arial" w:cs="Arial"/>
          <w:color w:val="475055"/>
          <w:sz w:val="24"/>
          <w:szCs w:val="24"/>
        </w:rPr>
        <w:t xml:space="preserve"> to collect any GST from recipient, so dealer is eligible to book any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9. Non-Resident Person</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 xml:space="preserve">Non-resident person is not eligible for ITC on goods/services or both. But Non-resident person is eligible for ITC on goods imported and supplied in </w:t>
      </w:r>
      <w:r w:rsidR="003B0E33" w:rsidRPr="004636A9">
        <w:rPr>
          <w:rFonts w:ascii="Arial" w:eastAsia="Times New Roman" w:hAnsi="Arial" w:cs="Arial"/>
          <w:color w:val="475055"/>
          <w:sz w:val="24"/>
          <w:szCs w:val="24"/>
        </w:rPr>
        <w:t>India</w:t>
      </w:r>
      <w:r w:rsidRPr="004636A9">
        <w:rPr>
          <w:rFonts w:ascii="Arial" w:eastAsia="Times New Roman" w:hAnsi="Arial" w:cs="Arial"/>
          <w:color w:val="475055"/>
          <w:sz w:val="24"/>
          <w:szCs w:val="24"/>
        </w:rPr>
        <w:t>.</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10. Personal consumption</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lastRenderedPageBreak/>
        <w:t>ITC is not available on goods/services or both used for personal consumption.</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11. Lost goods, gift and free samples</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ITC is not available in following case-</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065"/>
        <w:gridCol w:w="3065"/>
        <w:gridCol w:w="3065"/>
      </w:tblGrid>
      <w:tr w:rsidR="004636A9" w:rsidRPr="004636A9" w:rsidTr="004636A9">
        <w:tc>
          <w:tcPr>
            <w:tcW w:w="295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353435"/>
                <w:sz w:val="21"/>
                <w:szCs w:val="21"/>
              </w:rPr>
            </w:pPr>
            <w:r w:rsidRPr="004636A9">
              <w:rPr>
                <w:rFonts w:ascii="Arial" w:eastAsia="Times New Roman" w:hAnsi="Arial" w:cs="Arial"/>
                <w:color w:val="353435"/>
                <w:sz w:val="21"/>
                <w:szCs w:val="21"/>
              </w:rPr>
              <w:t>Lost Goods</w:t>
            </w:r>
          </w:p>
        </w:tc>
        <w:tc>
          <w:tcPr>
            <w:tcW w:w="29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353435"/>
                <w:sz w:val="21"/>
                <w:szCs w:val="21"/>
              </w:rPr>
            </w:pPr>
            <w:r w:rsidRPr="004636A9">
              <w:rPr>
                <w:rFonts w:ascii="Arial" w:eastAsia="Times New Roman" w:hAnsi="Arial" w:cs="Arial"/>
                <w:color w:val="353435"/>
                <w:sz w:val="21"/>
                <w:szCs w:val="21"/>
              </w:rPr>
              <w:t>Stolen Goods</w:t>
            </w:r>
          </w:p>
        </w:tc>
        <w:tc>
          <w:tcPr>
            <w:tcW w:w="29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353435"/>
                <w:sz w:val="21"/>
                <w:szCs w:val="21"/>
              </w:rPr>
            </w:pPr>
            <w:r w:rsidRPr="004636A9">
              <w:rPr>
                <w:rFonts w:ascii="Arial" w:eastAsia="Times New Roman" w:hAnsi="Arial" w:cs="Arial"/>
                <w:color w:val="353435"/>
                <w:sz w:val="21"/>
                <w:szCs w:val="21"/>
              </w:rPr>
              <w:t>Destroyed</w:t>
            </w:r>
          </w:p>
        </w:tc>
      </w:tr>
      <w:tr w:rsidR="004636A9" w:rsidRPr="004636A9" w:rsidTr="004636A9">
        <w:tc>
          <w:tcPr>
            <w:tcW w:w="295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Written off</w:t>
            </w:r>
          </w:p>
        </w:tc>
        <w:tc>
          <w:tcPr>
            <w:tcW w:w="29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Gift</w:t>
            </w:r>
          </w:p>
        </w:tc>
        <w:tc>
          <w:tcPr>
            <w:tcW w:w="29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4636A9" w:rsidRPr="004636A9" w:rsidRDefault="004636A9" w:rsidP="004636A9">
            <w:pPr>
              <w:spacing w:after="0" w:line="240" w:lineRule="auto"/>
              <w:rPr>
                <w:rFonts w:ascii="Arial" w:eastAsia="Times New Roman" w:hAnsi="Arial" w:cs="Arial"/>
                <w:color w:val="444444"/>
                <w:sz w:val="21"/>
                <w:szCs w:val="21"/>
              </w:rPr>
            </w:pPr>
            <w:r w:rsidRPr="004636A9">
              <w:rPr>
                <w:rFonts w:ascii="Arial" w:eastAsia="Times New Roman" w:hAnsi="Arial" w:cs="Arial"/>
                <w:color w:val="444444"/>
                <w:sz w:val="21"/>
                <w:szCs w:val="21"/>
              </w:rPr>
              <w:t>Free samples</w:t>
            </w:r>
          </w:p>
        </w:tc>
      </w:tr>
    </w:tbl>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TP Ltd purchased 20 rolls of yarns for manufacturing the cloth. But due to accident of truck 10 rolls are destroyed and 10 rolls are stolen due to the accident. Hence 20 rolls of yarn are not eligible for ITC.</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TP Ltd has written off the unsold inventory in the books of account. Thus in this case ITC need to be reversed.</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proofErr w:type="gramStart"/>
      <w:r w:rsidRPr="004636A9">
        <w:rPr>
          <w:rFonts w:ascii="Arial" w:eastAsia="Times New Roman" w:hAnsi="Arial" w:cs="Arial"/>
          <w:color w:val="475055"/>
          <w:sz w:val="24"/>
          <w:szCs w:val="24"/>
        </w:rPr>
        <w:t>e.g</w:t>
      </w:r>
      <w:proofErr w:type="gramEnd"/>
      <w:r w:rsidRPr="004636A9">
        <w:rPr>
          <w:rFonts w:ascii="Arial" w:eastAsia="Times New Roman" w:hAnsi="Arial" w:cs="Arial"/>
          <w:color w:val="475055"/>
          <w:sz w:val="24"/>
          <w:szCs w:val="24"/>
        </w:rPr>
        <w:t>. TP Ltd has given a TV as a gift to the dealer. Since it is not taxable supply then ITC is not admissible.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b/>
          <w:bCs/>
          <w:color w:val="475055"/>
          <w:sz w:val="24"/>
          <w:szCs w:val="24"/>
        </w:rPr>
        <w:t>12. ITC is not admissible on Search &amp; Seizure</w:t>
      </w:r>
    </w:p>
    <w:p w:rsidR="004636A9" w:rsidRPr="004636A9" w:rsidRDefault="004636A9" w:rsidP="004636A9">
      <w:pPr>
        <w:shd w:val="clear" w:color="auto" w:fill="FFFFFF"/>
        <w:spacing w:after="150" w:line="240" w:lineRule="auto"/>
        <w:jc w:val="both"/>
        <w:rPr>
          <w:rFonts w:ascii="Arial" w:eastAsia="Times New Roman" w:hAnsi="Arial" w:cs="Arial"/>
          <w:color w:val="475055"/>
          <w:sz w:val="24"/>
          <w:szCs w:val="24"/>
        </w:rPr>
      </w:pPr>
      <w:r w:rsidRPr="004636A9">
        <w:rPr>
          <w:rFonts w:ascii="Arial" w:eastAsia="Times New Roman" w:hAnsi="Arial" w:cs="Arial"/>
          <w:color w:val="475055"/>
          <w:sz w:val="24"/>
          <w:szCs w:val="24"/>
        </w:rPr>
        <w:t>No ITC is available if tax is paid because of any following reason-</w:t>
      </w:r>
    </w:p>
    <w:p w:rsidR="004636A9" w:rsidRPr="004636A9" w:rsidRDefault="004636A9" w:rsidP="004636A9">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4636A9">
        <w:rPr>
          <w:rFonts w:ascii="Arial" w:eastAsia="Times New Roman" w:hAnsi="Arial" w:cs="Arial"/>
          <w:color w:val="475055"/>
          <w:sz w:val="24"/>
          <w:szCs w:val="24"/>
        </w:rPr>
        <w:t>Fraud, willful misstatement or suppression of facts</w:t>
      </w:r>
    </w:p>
    <w:p w:rsidR="004636A9" w:rsidRPr="004636A9" w:rsidRDefault="004636A9" w:rsidP="004636A9">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4636A9">
        <w:rPr>
          <w:rFonts w:ascii="Arial" w:eastAsia="Times New Roman" w:hAnsi="Arial" w:cs="Arial"/>
          <w:color w:val="475055"/>
          <w:sz w:val="24"/>
          <w:szCs w:val="24"/>
        </w:rPr>
        <w:t>Detention, seizure and release of goods in transit</w:t>
      </w:r>
    </w:p>
    <w:p w:rsidR="004636A9" w:rsidRPr="004636A9" w:rsidRDefault="004636A9" w:rsidP="004636A9">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4636A9">
        <w:rPr>
          <w:rFonts w:ascii="Arial" w:eastAsia="Times New Roman" w:hAnsi="Arial" w:cs="Arial"/>
          <w:color w:val="475055"/>
          <w:sz w:val="24"/>
          <w:szCs w:val="24"/>
        </w:rPr>
        <w:t>Confiscation of goods.</w:t>
      </w:r>
    </w:p>
    <w:p w:rsidR="00E14AE7" w:rsidRDefault="00E14AE7"/>
    <w:sectPr w:rsidR="00E14AE7" w:rsidSect="00BE53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irmala UI">
    <w:panose1 w:val="020B0502040204020203"/>
    <w:charset w:val="00"/>
    <w:family w:val="swiss"/>
    <w:pitch w:val="variable"/>
    <w:sig w:usb0="80FF8023" w:usb1="0000004A" w:usb2="000002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45D6B"/>
    <w:multiLevelType w:val="multilevel"/>
    <w:tmpl w:val="2D26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2855CD"/>
    <w:multiLevelType w:val="multilevel"/>
    <w:tmpl w:val="A48C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4AE7"/>
    <w:rsid w:val="00120198"/>
    <w:rsid w:val="001C5EEA"/>
    <w:rsid w:val="003B0E33"/>
    <w:rsid w:val="004636A9"/>
    <w:rsid w:val="00A753D8"/>
    <w:rsid w:val="00BE530C"/>
    <w:rsid w:val="00E14AE7"/>
    <w:rsid w:val="00E94F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30C"/>
  </w:style>
  <w:style w:type="paragraph" w:styleId="Heading1">
    <w:name w:val="heading 1"/>
    <w:basedOn w:val="Normal"/>
    <w:link w:val="Heading1Char"/>
    <w:uiPriority w:val="9"/>
    <w:qFormat/>
    <w:rsid w:val="004636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6A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636A9"/>
    <w:rPr>
      <w:color w:val="0000FF"/>
      <w:u w:val="single"/>
    </w:rPr>
  </w:style>
  <w:style w:type="paragraph" w:styleId="NormalWeb">
    <w:name w:val="Normal (Web)"/>
    <w:basedOn w:val="Normal"/>
    <w:uiPriority w:val="99"/>
    <w:semiHidden/>
    <w:unhideWhenUsed/>
    <w:rsid w:val="004636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36A9"/>
    <w:rPr>
      <w:b/>
      <w:bCs/>
    </w:rPr>
  </w:style>
</w:styles>
</file>

<file path=word/webSettings.xml><?xml version="1.0" encoding="utf-8"?>
<w:webSettings xmlns:r="http://schemas.openxmlformats.org/officeDocument/2006/relationships" xmlns:w="http://schemas.openxmlformats.org/wordprocessingml/2006/main">
  <w:divs>
    <w:div w:id="32924417">
      <w:bodyDiv w:val="1"/>
      <w:marLeft w:val="0"/>
      <w:marRight w:val="0"/>
      <w:marTop w:val="0"/>
      <w:marBottom w:val="0"/>
      <w:divBdr>
        <w:top w:val="none" w:sz="0" w:space="0" w:color="auto"/>
        <w:left w:val="none" w:sz="0" w:space="0" w:color="auto"/>
        <w:bottom w:val="none" w:sz="0" w:space="0" w:color="auto"/>
        <w:right w:val="none" w:sz="0" w:space="0" w:color="auto"/>
      </w:divBdr>
    </w:div>
    <w:div w:id="250622498">
      <w:bodyDiv w:val="1"/>
      <w:marLeft w:val="0"/>
      <w:marRight w:val="0"/>
      <w:marTop w:val="0"/>
      <w:marBottom w:val="0"/>
      <w:divBdr>
        <w:top w:val="none" w:sz="0" w:space="0" w:color="auto"/>
        <w:left w:val="none" w:sz="0" w:space="0" w:color="auto"/>
        <w:bottom w:val="none" w:sz="0" w:space="0" w:color="auto"/>
        <w:right w:val="none" w:sz="0" w:space="0" w:color="auto"/>
      </w:divBdr>
    </w:div>
    <w:div w:id="441804010">
      <w:bodyDiv w:val="1"/>
      <w:marLeft w:val="0"/>
      <w:marRight w:val="0"/>
      <w:marTop w:val="0"/>
      <w:marBottom w:val="0"/>
      <w:divBdr>
        <w:top w:val="none" w:sz="0" w:space="0" w:color="auto"/>
        <w:left w:val="none" w:sz="0" w:space="0" w:color="auto"/>
        <w:bottom w:val="none" w:sz="0" w:space="0" w:color="auto"/>
        <w:right w:val="none" w:sz="0" w:space="0" w:color="auto"/>
      </w:divBdr>
    </w:div>
    <w:div w:id="734624971">
      <w:bodyDiv w:val="1"/>
      <w:marLeft w:val="0"/>
      <w:marRight w:val="0"/>
      <w:marTop w:val="0"/>
      <w:marBottom w:val="0"/>
      <w:divBdr>
        <w:top w:val="none" w:sz="0" w:space="0" w:color="auto"/>
        <w:left w:val="none" w:sz="0" w:space="0" w:color="auto"/>
        <w:bottom w:val="none" w:sz="0" w:space="0" w:color="auto"/>
        <w:right w:val="none" w:sz="0" w:space="0" w:color="auto"/>
      </w:divBdr>
    </w:div>
    <w:div w:id="1022974523">
      <w:bodyDiv w:val="1"/>
      <w:marLeft w:val="0"/>
      <w:marRight w:val="0"/>
      <w:marTop w:val="0"/>
      <w:marBottom w:val="0"/>
      <w:divBdr>
        <w:top w:val="none" w:sz="0" w:space="0" w:color="auto"/>
        <w:left w:val="none" w:sz="0" w:space="0" w:color="auto"/>
        <w:bottom w:val="none" w:sz="0" w:space="0" w:color="auto"/>
        <w:right w:val="none" w:sz="0" w:space="0" w:color="auto"/>
      </w:divBdr>
    </w:div>
    <w:div w:id="1266233092">
      <w:bodyDiv w:val="1"/>
      <w:marLeft w:val="0"/>
      <w:marRight w:val="0"/>
      <w:marTop w:val="0"/>
      <w:marBottom w:val="0"/>
      <w:divBdr>
        <w:top w:val="none" w:sz="0" w:space="0" w:color="auto"/>
        <w:left w:val="none" w:sz="0" w:space="0" w:color="auto"/>
        <w:bottom w:val="none" w:sz="0" w:space="0" w:color="auto"/>
        <w:right w:val="none" w:sz="0" w:space="0" w:color="auto"/>
      </w:divBdr>
    </w:div>
    <w:div w:id="1578515890">
      <w:bodyDiv w:val="1"/>
      <w:marLeft w:val="0"/>
      <w:marRight w:val="0"/>
      <w:marTop w:val="0"/>
      <w:marBottom w:val="0"/>
      <w:divBdr>
        <w:top w:val="none" w:sz="0" w:space="0" w:color="auto"/>
        <w:left w:val="none" w:sz="0" w:space="0" w:color="auto"/>
        <w:bottom w:val="none" w:sz="0" w:space="0" w:color="auto"/>
        <w:right w:val="none" w:sz="0" w:space="0" w:color="auto"/>
      </w:divBdr>
    </w:div>
    <w:div w:id="1691029550">
      <w:bodyDiv w:val="1"/>
      <w:marLeft w:val="0"/>
      <w:marRight w:val="0"/>
      <w:marTop w:val="0"/>
      <w:marBottom w:val="0"/>
      <w:divBdr>
        <w:top w:val="none" w:sz="0" w:space="0" w:color="auto"/>
        <w:left w:val="none" w:sz="0" w:space="0" w:color="auto"/>
        <w:bottom w:val="none" w:sz="0" w:space="0" w:color="auto"/>
        <w:right w:val="none" w:sz="0" w:space="0" w:color="auto"/>
      </w:divBdr>
    </w:div>
    <w:div w:id="1819301532">
      <w:bodyDiv w:val="1"/>
      <w:marLeft w:val="0"/>
      <w:marRight w:val="0"/>
      <w:marTop w:val="0"/>
      <w:marBottom w:val="0"/>
      <w:divBdr>
        <w:top w:val="none" w:sz="0" w:space="0" w:color="auto"/>
        <w:left w:val="none" w:sz="0" w:space="0" w:color="auto"/>
        <w:bottom w:val="none" w:sz="0" w:space="0" w:color="auto"/>
        <w:right w:val="none" w:sz="0" w:space="0" w:color="auto"/>
      </w:divBdr>
    </w:div>
    <w:div w:id="185757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9</cp:revision>
  <dcterms:created xsi:type="dcterms:W3CDTF">2018-04-21T06:30:00Z</dcterms:created>
  <dcterms:modified xsi:type="dcterms:W3CDTF">2018-04-21T08:18:00Z</dcterms:modified>
</cp:coreProperties>
</file>