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6D" w:rsidRP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36"/>
          <w:szCs w:val="36"/>
          <w:shd w:val="clear" w:color="auto" w:fill="FFFFFF"/>
        </w:rPr>
      </w:pPr>
      <w:r w:rsidRPr="002F4FA4">
        <w:rPr>
          <w:rFonts w:cstheme="minorHAnsi"/>
          <w:b/>
          <w:bCs/>
          <w:color w:val="222222"/>
          <w:sz w:val="36"/>
          <w:szCs w:val="36"/>
          <w:shd w:val="clear" w:color="auto" w:fill="FFFFFF"/>
        </w:rPr>
        <w:t xml:space="preserve"> </w:t>
      </w:r>
    </w:p>
    <w:p w:rsidR="00D41C6D" w:rsidRP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8"/>
          <w:szCs w:val="28"/>
          <w:lang w:bidi="hi-IN"/>
        </w:rPr>
      </w:pPr>
      <w:r>
        <w:rPr>
          <w:rFonts w:eastAsia="Arial-BoldMT" w:cstheme="minorHAnsi"/>
          <w:b/>
          <w:bCs/>
          <w:noProof/>
          <w:sz w:val="28"/>
          <w:szCs w:val="28"/>
          <w:lang w:eastAsia="en-IN" w:bidi="hi-IN"/>
        </w:rPr>
        <w:drawing>
          <wp:inline distT="0" distB="0" distL="0" distR="0">
            <wp:extent cx="6479540" cy="18611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dYouKno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sz w:val="36"/>
          <w:szCs w:val="36"/>
          <w:lang w:bidi="hi-IN"/>
        </w:rPr>
      </w:pPr>
      <w:r w:rsidRPr="002F4FA4">
        <w:rPr>
          <w:rFonts w:eastAsia="Arial-BoldMT" w:cstheme="minorHAnsi"/>
          <w:b/>
          <w:bCs/>
          <w:sz w:val="36"/>
          <w:szCs w:val="36"/>
          <w:lang w:bidi="hi-IN"/>
        </w:rPr>
        <w:t>GOODS AND SERVICE TAX (GST)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22222"/>
          <w:sz w:val="36"/>
          <w:szCs w:val="36"/>
          <w:shd w:val="clear" w:color="auto" w:fill="FFFFFF"/>
        </w:rPr>
      </w:pPr>
      <w:r w:rsidRPr="002F4FA4">
        <w:rPr>
          <w:rFonts w:cstheme="minorHAnsi"/>
          <w:b/>
          <w:bCs/>
          <w:color w:val="222222"/>
          <w:sz w:val="36"/>
          <w:szCs w:val="36"/>
          <w:shd w:val="clear" w:color="auto" w:fill="FFFFFF"/>
        </w:rPr>
        <w:t>Momentous ahead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Pr="00D41C6D" w:rsidRDefault="00D41C6D" w:rsidP="00D41C6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color w:val="002060"/>
          <w:sz w:val="32"/>
          <w:szCs w:val="32"/>
          <w:u w:val="single"/>
          <w:lang w:bidi="hi-IN"/>
        </w:rPr>
      </w:pPr>
      <w:r w:rsidRPr="00D41C6D">
        <w:rPr>
          <w:rFonts w:eastAsia="Arial-BoldMT" w:cstheme="minorHAnsi"/>
          <w:b/>
          <w:bCs/>
          <w:color w:val="002060"/>
          <w:sz w:val="32"/>
          <w:szCs w:val="32"/>
          <w:u w:val="single"/>
          <w:lang w:bidi="hi-IN"/>
        </w:rPr>
        <w:t>New Concepts, New Areas and New Procedures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2F4FA4">
        <w:rPr>
          <w:rFonts w:cstheme="minorHAnsi"/>
          <w:color w:val="222222"/>
          <w:sz w:val="28"/>
          <w:szCs w:val="28"/>
          <w:shd w:val="clear" w:color="auto" w:fill="FFFFFF"/>
        </w:rPr>
        <w:t xml:space="preserve">▪ </w:t>
      </w:r>
      <w:r w:rsidRPr="002F4FA4">
        <w:rPr>
          <w:rFonts w:cstheme="minorHAnsi"/>
          <w:color w:val="222222"/>
          <w:sz w:val="32"/>
          <w:szCs w:val="32"/>
          <w:shd w:val="clear" w:color="auto" w:fill="FFFFFF"/>
        </w:rPr>
        <w:t xml:space="preserve">Cardinal Points 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1. Supply without consideration is Taxable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2. Interstate supply to own branches, Units would be taxable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3. Levy of GST on Billed to Shipped to transactions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4. Intangible would be considered as Goods &amp; Services (Revised)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5. Concept of IGST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6. Head office to Branch or Vice-versa, within state and interstate – Taxability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7. Service oriented companies having provisions from different states then state wise separate Registrations, Returns &amp; Payments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8. GST credits – GSTN &amp; E- Credit Ledger, Provisional Credits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9. Taxation for Job Workers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10. E-commerce taxation (TCS)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11. No Revised Returns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12. ISD would distribute GST Credits, Separate Registrations for ISD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13. Separate Registrations for verticals of a Company in a state would be allowed. GST applicable on supplies between such Verticals.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14. Digital Record Allowed.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15. GST Council would be most powerful body under GST Regime as it wou</w:t>
      </w:r>
      <w:r>
        <w:rPr>
          <w:rFonts w:eastAsia="Arial-BoldMT" w:cstheme="minorHAnsi"/>
          <w:sz w:val="28"/>
          <w:szCs w:val="28"/>
          <w:lang w:bidi="hi-IN"/>
        </w:rPr>
        <w:t>ld take most critical decisions.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D41C6D" w:rsidRDefault="00D41C6D" w:rsidP="00D41C6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color w:val="002060"/>
          <w:sz w:val="32"/>
          <w:szCs w:val="32"/>
          <w:lang w:bidi="hi-IN"/>
        </w:rPr>
      </w:pPr>
      <w:r w:rsidRPr="00D41C6D">
        <w:rPr>
          <w:rFonts w:eastAsia="Arial-BoldMT" w:cstheme="minorHAnsi"/>
          <w:b/>
          <w:bCs/>
          <w:color w:val="002060"/>
          <w:sz w:val="32"/>
          <w:szCs w:val="32"/>
          <w:lang w:bidi="hi-IN"/>
        </w:rPr>
        <w:t>UNIFORM LAW &amp; DESIGN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4"/>
          <w:szCs w:val="24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4"/>
          <w:szCs w:val="24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4"/>
          <w:szCs w:val="24"/>
          <w:lang w:bidi="hi-IN"/>
        </w:rPr>
      </w:pPr>
      <w:r w:rsidRPr="00BC1F40">
        <w:rPr>
          <w:rFonts w:eastAsia="Arial-BoldMT" w:cstheme="minorHAnsi"/>
          <w:b/>
          <w:bCs/>
          <w:sz w:val="24"/>
          <w:szCs w:val="24"/>
          <w:lang w:bidi="hi-IN"/>
        </w:rPr>
        <w:t>1. NEW CONCEPT / DEFINITIONS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b/>
          <w:bCs/>
          <w:sz w:val="24"/>
          <w:szCs w:val="24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Supply of goods and services:</w:t>
      </w:r>
      <w:r w:rsidRPr="002F4FA4">
        <w:rPr>
          <w:rFonts w:eastAsia="Arial-BoldMT" w:cstheme="minorHAnsi"/>
          <w:sz w:val="28"/>
          <w:szCs w:val="28"/>
          <w:lang w:bidi="hi-IN"/>
        </w:rPr>
        <w:tab/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In the course of business or furtherance of business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sz w:val="28"/>
          <w:szCs w:val="28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Goods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Every kind of movable property,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- Intangible Goods;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- Does not include; Immovable Property, Actionable Claims &amp; Money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TimesNewRomanPS-BoldMT" w:cstheme="minorHAnsi"/>
          <w:sz w:val="28"/>
          <w:szCs w:val="28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Services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Anything other than goods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- Works Contracts (Deemed Supply), Job Works etc.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- Does not include Actionable Claims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8"/>
          <w:szCs w:val="28"/>
          <w:lang w:bidi="hi-IN"/>
        </w:rPr>
      </w:pP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2. GST RATES, EXEMPTIONS, THRESHOLDS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sz w:val="28"/>
          <w:szCs w:val="28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The GST Council has decided on Most of the Points: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- GST Rates, Exemptions, thresholds Limits, dispute Resolution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Arial-BoldMT" w:cstheme="minorHAnsi"/>
          <w:sz w:val="28"/>
          <w:szCs w:val="28"/>
          <w:lang w:bidi="hi-IN"/>
        </w:rPr>
        <w:t>- Model GST Law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b/>
          <w:bCs/>
          <w:sz w:val="28"/>
          <w:szCs w:val="28"/>
          <w:lang w:bidi="hi-IN"/>
        </w:rPr>
      </w:pP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 xml:space="preserve">3. LEVY OF GST 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rPr>
          <w:rFonts w:eastAsia="Arial-BoldMT" w:cstheme="minorHAnsi"/>
          <w:sz w:val="28"/>
          <w:szCs w:val="28"/>
          <w:lang w:bidi="hi-IN"/>
        </w:rPr>
      </w:pP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Levy of GST on supply of goods and services, S-GST, C-GST &amp; I-GST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left="720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I-GST would be handled by the Central Govt. which is applicable on imports, inter-state supplies and inter-state services</w:t>
      </w:r>
    </w:p>
    <w:p w:rsidR="00D41C6D" w:rsidRPr="002F4FA4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2F4FA4">
        <w:rPr>
          <w:rFonts w:eastAsia="TimesNewRomanPSMT" w:cstheme="minorHAnsi"/>
          <w:sz w:val="28"/>
          <w:szCs w:val="28"/>
          <w:lang w:bidi="hi-IN"/>
        </w:rPr>
        <w:t xml:space="preserve">● </w:t>
      </w:r>
      <w:r w:rsidRPr="002F4FA4">
        <w:rPr>
          <w:rFonts w:eastAsia="Arial-BoldMT" w:cstheme="minorHAnsi"/>
          <w:sz w:val="28"/>
          <w:szCs w:val="28"/>
          <w:lang w:bidi="hi-IN"/>
        </w:rPr>
        <w:t>Provision for GST Credits on inputs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4"/>
          <w:szCs w:val="24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4. GST COMPLIANCE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theme="minorHAnsi"/>
          <w:b/>
          <w:bCs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Registrations – Voluntary or threshold limit of Rs.20 lakhs, State wise Registrations .Vertical wise Separate Registrations in a State.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Returns – State wise monthly, &amp; Annual Returns. Quarterly Returns for Composite Tax Payers. No Revised Returns.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Payments – Electronically through most of the Banks, State wise.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Refunds – Online process to be followed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Returns/Payments in the state of origin of goods or provision of services. IGST would be transferred to destination/consuming states by way of clearing house mechanism.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5. Composition</w:t>
      </w:r>
      <w:r>
        <w:rPr>
          <w:rFonts w:eastAsia="Arial-BoldMT" w:cstheme="minorHAnsi"/>
          <w:b/>
          <w:bCs/>
          <w:sz w:val="28"/>
          <w:szCs w:val="28"/>
          <w:lang w:bidi="hi-IN"/>
        </w:rPr>
        <w:t xml:space="preserve"> </w:t>
      </w: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Tax –</w:t>
      </w:r>
      <w:r>
        <w:rPr>
          <w:rFonts w:eastAsia="Arial-BoldMT" w:cstheme="minorHAnsi"/>
          <w:b/>
          <w:bCs/>
          <w:sz w:val="28"/>
          <w:szCs w:val="28"/>
          <w:lang w:bidi="hi-IN"/>
        </w:rPr>
        <w:t xml:space="preserve"> Small Tax </w:t>
      </w: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Payers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>
        <w:rPr>
          <w:rFonts w:eastAsia="TimesNewRomanPS-BoldMT" w:cstheme="minorHAnsi"/>
          <w:sz w:val="28"/>
          <w:szCs w:val="28"/>
          <w:lang w:bidi="hi-IN"/>
        </w:rPr>
        <w:t>`</w:t>
      </w: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Rates –</w:t>
      </w:r>
      <w:r>
        <w:rPr>
          <w:rFonts w:eastAsia="Arial-BoldMT" w:cstheme="minorHAnsi"/>
          <w:sz w:val="28"/>
          <w:szCs w:val="28"/>
          <w:lang w:bidi="hi-IN"/>
        </w:rPr>
        <w:t xml:space="preserve"> 2% for Manufacturers</w:t>
      </w:r>
      <w:r w:rsidRPr="00BC1F40">
        <w:rPr>
          <w:rFonts w:eastAsia="Arial-BoldMT" w:cstheme="minorHAnsi"/>
          <w:sz w:val="28"/>
          <w:szCs w:val="28"/>
          <w:lang w:bidi="hi-IN"/>
        </w:rPr>
        <w:t xml:space="preserve">, 5% </w:t>
      </w:r>
      <w:r>
        <w:rPr>
          <w:rFonts w:eastAsia="Arial-BoldMT" w:cstheme="minorHAnsi"/>
          <w:sz w:val="28"/>
          <w:szCs w:val="28"/>
          <w:lang w:bidi="hi-IN"/>
        </w:rPr>
        <w:t>for hoteliers and 1% for others</w:t>
      </w:r>
      <w:r w:rsidRPr="00BC1F40">
        <w:rPr>
          <w:rFonts w:eastAsia="Arial-BoldMT" w:cstheme="minorHAnsi"/>
          <w:sz w:val="28"/>
          <w:szCs w:val="28"/>
          <w:lang w:bidi="hi-IN"/>
        </w:rPr>
        <w:t>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>
        <w:rPr>
          <w:rFonts w:eastAsia="Arial-BoldMT" w:cstheme="minorHAnsi"/>
          <w:sz w:val="28"/>
          <w:szCs w:val="28"/>
          <w:lang w:bidi="hi-IN"/>
        </w:rPr>
        <w:t>For Annual turnover below Rs. 50 Lakhs</w:t>
      </w:r>
      <w:r w:rsidRPr="00BC1F40">
        <w:rPr>
          <w:rFonts w:eastAsia="Arial-BoldMT" w:cstheme="minorHAnsi"/>
          <w:sz w:val="28"/>
          <w:szCs w:val="28"/>
          <w:lang w:bidi="hi-IN"/>
        </w:rPr>
        <w:t>. No GST credits available.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6. Specific areas</w:t>
      </w:r>
      <w:r>
        <w:rPr>
          <w:rFonts w:eastAsia="Arial-BoldMT" w:cstheme="minorHAnsi"/>
          <w:b/>
          <w:bCs/>
          <w:sz w:val="28"/>
          <w:szCs w:val="28"/>
          <w:lang w:bidi="hi-IN"/>
        </w:rPr>
        <w:t xml:space="preserve"> </w:t>
      </w: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of GST Taxation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Taxation on Job works, supplies without Consideration, TCS for e</w:t>
      </w:r>
      <w:r>
        <w:rPr>
          <w:rFonts w:eastAsia="Arial-BoldMT" w:cstheme="minorHAnsi"/>
          <w:sz w:val="28"/>
          <w:szCs w:val="28"/>
          <w:lang w:bidi="hi-IN"/>
        </w:rPr>
        <w:t xml:space="preserve"> </w:t>
      </w:r>
      <w:r w:rsidRPr="00BC1F40">
        <w:rPr>
          <w:rFonts w:eastAsia="Arial-BoldMT" w:cstheme="minorHAnsi"/>
          <w:sz w:val="28"/>
          <w:szCs w:val="28"/>
          <w:lang w:bidi="hi-IN"/>
        </w:rPr>
        <w:t>commerce operators, Works Contracts, Intangible Assets, Branch</w:t>
      </w:r>
      <w:r>
        <w:rPr>
          <w:rFonts w:eastAsia="Arial-BoldMT" w:cstheme="minorHAnsi"/>
          <w:sz w:val="28"/>
          <w:szCs w:val="28"/>
          <w:lang w:bidi="hi-IN"/>
        </w:rPr>
        <w:t xml:space="preserve"> </w:t>
      </w:r>
      <w:r w:rsidRPr="00BC1F40">
        <w:rPr>
          <w:rFonts w:eastAsia="Arial-BoldMT" w:cstheme="minorHAnsi"/>
          <w:sz w:val="28"/>
          <w:szCs w:val="28"/>
          <w:lang w:bidi="hi-IN"/>
        </w:rPr>
        <w:t>Transfers etc.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  <w:r w:rsidRPr="00BC1F40">
        <w:rPr>
          <w:rFonts w:eastAsia="Arial-BoldMT" w:cstheme="minorHAnsi"/>
          <w:b/>
          <w:bCs/>
          <w:sz w:val="28"/>
          <w:szCs w:val="28"/>
          <w:lang w:bidi="hi-IN"/>
        </w:rPr>
        <w:t>7. Not Taxable under GST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b/>
          <w:bCs/>
          <w:sz w:val="28"/>
          <w:szCs w:val="28"/>
          <w:lang w:bidi="hi-IN"/>
        </w:rPr>
      </w:pP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Tobacco &amp; Tobacco Products – Subject to GST, Central Excise Duty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Alcoholic liquor for human consumption – State Excise and VAT to</w:t>
      </w:r>
      <w:r>
        <w:rPr>
          <w:rFonts w:eastAsia="Arial-BoldMT" w:cstheme="minorHAnsi"/>
          <w:sz w:val="28"/>
          <w:szCs w:val="28"/>
          <w:lang w:bidi="hi-IN"/>
        </w:rPr>
        <w:t xml:space="preserve"> </w:t>
      </w:r>
      <w:r w:rsidRPr="00BC1F40">
        <w:rPr>
          <w:rFonts w:eastAsia="Arial-BoldMT" w:cstheme="minorHAnsi"/>
          <w:sz w:val="28"/>
          <w:szCs w:val="28"/>
          <w:lang w:bidi="hi-IN"/>
        </w:rPr>
        <w:t>continue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Electricity Duty – States would continue to levy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TimesNewRomanPS-BoldMT" w:cstheme="minorHAnsi"/>
          <w:sz w:val="28"/>
          <w:szCs w:val="28"/>
          <w:lang w:bidi="hi-IN"/>
        </w:rPr>
        <w:t xml:space="preserve">● </w:t>
      </w:r>
      <w:r w:rsidRPr="00BC1F40">
        <w:rPr>
          <w:rFonts w:eastAsia="Arial-BoldMT" w:cstheme="minorHAnsi"/>
          <w:sz w:val="28"/>
          <w:szCs w:val="28"/>
          <w:lang w:bidi="hi-IN"/>
        </w:rPr>
        <w:t>Petroleum Products – Petrol, Diesel &amp; ATF (Excise + VAT to continue)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D41C6D" w:rsidRDefault="00D41C6D" w:rsidP="00D41C6D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  <w:color w:val="002060"/>
          <w:sz w:val="28"/>
          <w:szCs w:val="28"/>
          <w:lang w:bidi="hi-IN"/>
        </w:rPr>
      </w:pPr>
      <w:r w:rsidRPr="00D41C6D">
        <w:rPr>
          <w:rFonts w:eastAsia="Arial-BoldMT" w:cstheme="minorHAnsi"/>
          <w:b/>
          <w:bCs/>
          <w:color w:val="002060"/>
          <w:sz w:val="28"/>
          <w:szCs w:val="28"/>
          <w:lang w:bidi="hi-IN"/>
        </w:rPr>
        <w:t>GST – Concept, Levy &amp; Design (Summary)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D41C6D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>GST is destination based Consumption Tax</w:t>
      </w:r>
      <w:r>
        <w:rPr>
          <w:rFonts w:eastAsia="Arial-BoldMT" w:cstheme="minorHAnsi"/>
          <w:sz w:val="28"/>
          <w:szCs w:val="28"/>
          <w:lang w:bidi="hi-IN"/>
        </w:rPr>
        <w:t>.</w:t>
      </w:r>
    </w:p>
    <w:p w:rsidR="00D41C6D" w:rsidRPr="00D41C6D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 xml:space="preserve">I-GST </w:t>
      </w:r>
      <w:r w:rsidRPr="00BC1F40">
        <w:rPr>
          <w:rFonts w:eastAsia="ArialMT" w:cstheme="minorHAnsi"/>
          <w:sz w:val="28"/>
          <w:szCs w:val="28"/>
          <w:lang w:bidi="hi-IN"/>
        </w:rPr>
        <w:t>- A Novel concept (Clearing House Mechanism).</w:t>
      </w:r>
    </w:p>
    <w:p w:rsidR="00D41C6D" w:rsidRPr="00D41C6D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>Seamless Flow of GST Credits. No Cost to Business.</w:t>
      </w:r>
    </w:p>
    <w:p w:rsidR="00D41C6D" w:rsidRPr="00D41C6D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 xml:space="preserve">Returns </w:t>
      </w:r>
      <w:r w:rsidRPr="00BC1F40">
        <w:rPr>
          <w:rFonts w:eastAsia="ArialMT" w:cstheme="minorHAnsi"/>
          <w:sz w:val="28"/>
          <w:szCs w:val="28"/>
          <w:lang w:bidi="hi-IN"/>
        </w:rPr>
        <w:t>- Output GST Payable (-) Input GST Credit</w:t>
      </w:r>
      <w:r>
        <w:rPr>
          <w:rFonts w:eastAsia="ArialMT" w:cstheme="minorHAnsi"/>
          <w:sz w:val="28"/>
          <w:szCs w:val="28"/>
          <w:lang w:bidi="hi-IN"/>
        </w:rPr>
        <w:t xml:space="preserve"> </w:t>
      </w:r>
      <w:r w:rsidRPr="00BC1F40">
        <w:rPr>
          <w:rFonts w:eastAsia="ArialMT" w:cstheme="minorHAnsi"/>
          <w:sz w:val="28"/>
          <w:szCs w:val="28"/>
          <w:lang w:bidi="hi-IN"/>
        </w:rPr>
        <w:t>= Net GST Payable or Refund (Single Return in each State).</w:t>
      </w:r>
    </w:p>
    <w:p w:rsidR="00D41C6D" w:rsidRPr="00BC1F40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 xml:space="preserve">Payments </w:t>
      </w:r>
      <w:r w:rsidRPr="00BC1F40">
        <w:rPr>
          <w:rFonts w:eastAsia="ArialMT" w:cstheme="minorHAnsi"/>
          <w:sz w:val="28"/>
          <w:szCs w:val="28"/>
          <w:lang w:bidi="hi-IN"/>
        </w:rPr>
        <w:t>- Through Electronic Mode only.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MT" w:cstheme="minorHAnsi"/>
          <w:sz w:val="28"/>
          <w:szCs w:val="28"/>
          <w:lang w:bidi="hi-IN"/>
        </w:rPr>
      </w:pPr>
      <w:r w:rsidRPr="00BC1F40">
        <w:rPr>
          <w:rFonts w:eastAsia="ArialMT" w:cstheme="minorHAnsi"/>
          <w:sz w:val="28"/>
          <w:szCs w:val="28"/>
          <w:lang w:bidi="hi-IN"/>
        </w:rPr>
        <w:t>- C-GST to C-GST to I-GST, S-GST to S-GST to I-GST.</w:t>
      </w:r>
    </w:p>
    <w:p w:rsidR="00D41C6D" w:rsidRPr="00BC1F40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MT" w:cstheme="minorHAnsi"/>
          <w:sz w:val="28"/>
          <w:szCs w:val="28"/>
          <w:lang w:bidi="hi-IN"/>
        </w:rPr>
      </w:pPr>
      <w:r w:rsidRPr="00BC1F40">
        <w:rPr>
          <w:rFonts w:eastAsia="ArialMT" w:cstheme="minorHAnsi"/>
          <w:sz w:val="28"/>
          <w:szCs w:val="28"/>
          <w:lang w:bidi="hi-IN"/>
        </w:rPr>
        <w:t>- I-GST to I-GST to C-GST then to S-GST.</w:t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MT" w:cstheme="minorHAnsi"/>
          <w:sz w:val="28"/>
          <w:szCs w:val="28"/>
          <w:lang w:bidi="hi-IN"/>
        </w:rPr>
      </w:pPr>
      <w:r w:rsidRPr="00BC1F40">
        <w:rPr>
          <w:rFonts w:eastAsia="ArialMT" w:cstheme="minorHAnsi"/>
          <w:sz w:val="28"/>
          <w:szCs w:val="28"/>
          <w:lang w:bidi="hi-IN"/>
        </w:rPr>
        <w:t>- No adjustment between C-GST &amp; S-GST.</w:t>
      </w:r>
    </w:p>
    <w:p w:rsidR="00D41C6D" w:rsidRPr="00D41C6D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>GST would not be issue for Companies for deciding on sourcing &amp; distribution routes.</w:t>
      </w:r>
    </w:p>
    <w:p w:rsidR="00D41C6D" w:rsidRPr="00D41C6D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 w:rsidRPr="00BC1F40">
        <w:rPr>
          <w:rFonts w:eastAsia="Arial-BoldMT" w:cstheme="minorHAnsi"/>
          <w:sz w:val="28"/>
          <w:szCs w:val="28"/>
          <w:lang w:bidi="hi-IN"/>
        </w:rPr>
        <w:t xml:space="preserve">New Concepts </w:t>
      </w:r>
      <w:r w:rsidRPr="00BC1F40">
        <w:rPr>
          <w:rFonts w:eastAsia="ArialMT" w:cstheme="minorHAnsi"/>
          <w:sz w:val="28"/>
          <w:szCs w:val="28"/>
          <w:lang w:bidi="hi-IN"/>
        </w:rPr>
        <w:t>- Taxable person, Supply of goods &amp; services without Consideration etc.</w:t>
      </w:r>
    </w:p>
    <w:p w:rsidR="00D41C6D" w:rsidRPr="001B1B75" w:rsidRDefault="00D41C6D" w:rsidP="00D41C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>
        <w:rPr>
          <w:rFonts w:eastAsia="Arial-BoldMT" w:cstheme="minorHAnsi"/>
          <w:sz w:val="28"/>
          <w:szCs w:val="28"/>
          <w:lang w:bidi="hi-IN"/>
        </w:rPr>
        <w:t>Service Companies</w:t>
      </w:r>
      <w:r w:rsidRPr="00BC1F40">
        <w:rPr>
          <w:rFonts w:eastAsia="Arial-BoldMT" w:cstheme="minorHAnsi"/>
          <w:sz w:val="28"/>
          <w:szCs w:val="28"/>
          <w:lang w:bidi="hi-IN"/>
        </w:rPr>
        <w:t xml:space="preserve"> </w:t>
      </w:r>
      <w:r w:rsidRPr="00BC1F40">
        <w:rPr>
          <w:rFonts w:eastAsia="ArialMT" w:cstheme="minorHAnsi"/>
          <w:sz w:val="28"/>
          <w:szCs w:val="28"/>
          <w:lang w:bidi="hi-IN"/>
        </w:rPr>
        <w:t>- State wise Registrations for Service Companies</w:t>
      </w:r>
    </w:p>
    <w:p w:rsidR="00D41C6D" w:rsidRPr="001B1B75" w:rsidRDefault="00D41C6D" w:rsidP="00D41C6D">
      <w:pPr>
        <w:pStyle w:val="ListParagrap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  <w:r>
        <w:rPr>
          <w:rFonts w:eastAsia="Arial-BoldMT" w:cstheme="minorHAnsi"/>
          <w:noProof/>
          <w:sz w:val="28"/>
          <w:szCs w:val="28"/>
          <w:lang w:eastAsia="en-IN" w:bidi="hi-IN"/>
        </w:rPr>
        <w:drawing>
          <wp:inline distT="0" distB="0" distL="0" distR="0" wp14:anchorId="306B8EFF" wp14:editId="29598E20">
            <wp:extent cx="6420379" cy="6276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752" cy="6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C6D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D41C6D" w:rsidRPr="001B1B75" w:rsidRDefault="00D41C6D" w:rsidP="00D41C6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theme="minorHAnsi"/>
          <w:sz w:val="28"/>
          <w:szCs w:val="28"/>
          <w:lang w:bidi="hi-IN"/>
        </w:rPr>
      </w:pPr>
    </w:p>
    <w:p w:rsidR="00AF0512" w:rsidRDefault="00AF0512" w:rsidP="00C650B6">
      <w:pPr>
        <w:pStyle w:val="Heading1"/>
        <w:shd w:val="clear" w:color="auto" w:fill="FFFFFF"/>
        <w:spacing w:before="48" w:after="108" w:line="312" w:lineRule="atLeast"/>
        <w:rPr>
          <w:rFonts w:asciiTheme="minorHAnsi" w:hAnsiTheme="minorHAnsi" w:cstheme="minorHAnsi"/>
          <w:b/>
          <w:bCs/>
          <w:color w:val="auto"/>
          <w:spacing w:val="-10"/>
          <w:sz w:val="36"/>
          <w:szCs w:val="36"/>
        </w:rPr>
      </w:pPr>
      <w:bookmarkStart w:id="0" w:name="_GoBack"/>
      <w:bookmarkEnd w:id="0"/>
    </w:p>
    <w:sectPr w:rsidR="00AF0512" w:rsidSect="00AF0512">
      <w:headerReference w:type="default" r:id="rId9"/>
      <w:footerReference w:type="default" r:id="rId10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2D" w:rsidRDefault="000D3C2D" w:rsidP="006A1251">
      <w:pPr>
        <w:spacing w:after="0" w:line="240" w:lineRule="auto"/>
      </w:pPr>
      <w:r>
        <w:separator/>
      </w:r>
    </w:p>
  </w:endnote>
  <w:endnote w:type="continuationSeparator" w:id="0">
    <w:p w:rsidR="000D3C2D" w:rsidRDefault="000D3C2D" w:rsidP="006A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9E" w:rsidRPr="0077529E" w:rsidRDefault="0077529E" w:rsidP="0077529E">
    <w:pPr>
      <w:pStyle w:val="Header"/>
      <w:pBdr>
        <w:top w:val="single" w:sz="6" w:space="10" w:color="5B9BD5" w:themeColor="accent1"/>
      </w:pBdr>
      <w:spacing w:before="240"/>
      <w:rPr>
        <w:b/>
        <w:bCs/>
        <w:color w:val="000000" w:themeColor="text1"/>
      </w:rPr>
    </w:pPr>
    <w:r>
      <w:rPr>
        <w:noProof/>
        <w:color w:val="5B9BD5" w:themeColor="accent1"/>
        <w:lang w:eastAsia="en-IN" w:bidi="hi-IN"/>
      </w:rPr>
      <w:drawing>
        <wp:inline distT="0" distB="0" distL="0" distR="0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529E">
      <w:rPr>
        <w:b/>
        <w:bCs/>
        <w:color w:val="000000" w:themeColor="text1"/>
      </w:rPr>
      <w:t>577, Agarwal Cyber Plaza-II, Netaji Subhash Place, Pitampura, Delhi-110034 (India)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2D" w:rsidRDefault="000D3C2D" w:rsidP="006A1251">
      <w:pPr>
        <w:spacing w:after="0" w:line="240" w:lineRule="auto"/>
      </w:pPr>
      <w:r>
        <w:separator/>
      </w:r>
    </w:p>
  </w:footnote>
  <w:footnote w:type="continuationSeparator" w:id="0">
    <w:p w:rsidR="000D3C2D" w:rsidRDefault="000D3C2D" w:rsidP="006A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51" w:rsidRPr="00EA3EC6" w:rsidRDefault="006A1251">
    <w:pPr>
      <w:pStyle w:val="Header"/>
      <w:rPr>
        <w:rFonts w:ascii="Cambria Math" w:hAnsi="Cambria Math"/>
        <w:sz w:val="36"/>
        <w:szCs w:val="36"/>
      </w:rPr>
    </w:pPr>
    <w:r w:rsidRPr="00EA3EC6">
      <w:rPr>
        <w:rFonts w:ascii="Cambria Math" w:hAnsi="Cambria Math"/>
        <w:noProof/>
        <w:sz w:val="36"/>
        <w:szCs w:val="36"/>
        <w:lang w:eastAsia="en-IN" w:bidi="hi-IN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251" w:rsidRDefault="006A1251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650B6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id="Rectangle 133" o:spid="_x0000_s1026" style="position:absolute;margin-left:-4.4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" o:allowoverlap="f" fillcolor="#5b9bd5 [3204]" stroked="f" strokeweight="1pt">
              <v:path arrowok="t"/>
              <o:lock v:ext="edit" aspectratio="t"/>
              <v:textbox>
                <w:txbxContent>
                  <w:p w:rsidR="006A1251" w:rsidRDefault="006A1251">
                    <w:pPr>
                      <w:pStyle w:val="Header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C650B6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 w:rsidRPr="00EA3EC6">
      <w:rPr>
        <w:rFonts w:ascii="Cambria Math" w:hAnsi="Cambria Math"/>
        <w:sz w:val="36"/>
        <w:szCs w:val="36"/>
      </w:rPr>
      <w:t>PRADEEP KUMAR GOYAL &amp; ASSOCIATES</w:t>
    </w:r>
  </w:p>
  <w:p w:rsidR="006A1251" w:rsidRPr="00EA3EC6" w:rsidRDefault="006A1251">
    <w:pPr>
      <w:pStyle w:val="Header"/>
      <w:rPr>
        <w:rFonts w:ascii="Cambria Math" w:hAnsi="Cambria Math"/>
        <w:sz w:val="24"/>
        <w:szCs w:val="24"/>
      </w:rPr>
    </w:pPr>
    <w:r w:rsidRPr="00EA3EC6">
      <w:rPr>
        <w:rFonts w:ascii="Cambria Math" w:hAnsi="Cambria Math"/>
        <w:sz w:val="24"/>
        <w:szCs w:val="24"/>
      </w:rPr>
      <w:t xml:space="preserve">Chartered Accountants </w:t>
    </w:r>
  </w:p>
  <w:p w:rsidR="00EA3EC6" w:rsidRPr="00EA3EC6" w:rsidRDefault="000D3C2D">
    <w:pPr>
      <w:pStyle w:val="Header"/>
      <w:rPr>
        <w:rFonts w:ascii="Cambria Math" w:hAnsi="Cambria Math"/>
        <w:sz w:val="24"/>
        <w:szCs w:val="24"/>
      </w:rPr>
    </w:pPr>
    <w:hyperlink r:id="rId1" w:history="1">
      <w:r w:rsidR="00EA3EC6" w:rsidRPr="00EA3EC6">
        <w:rPr>
          <w:rStyle w:val="Hyperlink"/>
          <w:rFonts w:ascii="Cambria Math" w:hAnsi="Cambria Math"/>
          <w:color w:val="auto"/>
          <w:sz w:val="24"/>
          <w:szCs w:val="24"/>
          <w:u w:val="none"/>
        </w:rPr>
        <w:t>pradeepgoyal@kcsassociates.in</w:t>
      </w:r>
    </w:hyperlink>
  </w:p>
  <w:p w:rsidR="00EA3EC6" w:rsidRPr="00EA3EC6" w:rsidRDefault="00EA3EC6">
    <w:pPr>
      <w:pStyle w:val="Header"/>
      <w:rPr>
        <w:rFonts w:ascii="Cambria Math" w:hAnsi="Cambria Math"/>
        <w:sz w:val="24"/>
        <w:szCs w:val="24"/>
      </w:rPr>
    </w:pPr>
    <w:r w:rsidRPr="00EA3EC6">
      <w:rPr>
        <w:rFonts w:ascii="Cambria Math" w:hAnsi="Cambria Math"/>
        <w:sz w:val="24"/>
        <w:szCs w:val="24"/>
      </w:rPr>
      <w:t>+91-11-9811777103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E7B"/>
    <w:multiLevelType w:val="multilevel"/>
    <w:tmpl w:val="85C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44F95"/>
    <w:multiLevelType w:val="multilevel"/>
    <w:tmpl w:val="86C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E4935"/>
    <w:multiLevelType w:val="multilevel"/>
    <w:tmpl w:val="7050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16603"/>
    <w:multiLevelType w:val="multilevel"/>
    <w:tmpl w:val="A738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B041E"/>
    <w:multiLevelType w:val="multilevel"/>
    <w:tmpl w:val="1F2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A7C1A"/>
    <w:multiLevelType w:val="multilevel"/>
    <w:tmpl w:val="95FC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24EF0"/>
    <w:multiLevelType w:val="multilevel"/>
    <w:tmpl w:val="3E6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51028"/>
    <w:multiLevelType w:val="multilevel"/>
    <w:tmpl w:val="1C3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B5CA2"/>
    <w:multiLevelType w:val="multilevel"/>
    <w:tmpl w:val="007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F007B"/>
    <w:multiLevelType w:val="multilevel"/>
    <w:tmpl w:val="4E54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173E6"/>
    <w:multiLevelType w:val="multilevel"/>
    <w:tmpl w:val="1DAC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17B6E"/>
    <w:multiLevelType w:val="hybridMultilevel"/>
    <w:tmpl w:val="59E07E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51"/>
    <w:rsid w:val="00057408"/>
    <w:rsid w:val="00084E03"/>
    <w:rsid w:val="000D3C2D"/>
    <w:rsid w:val="001517E4"/>
    <w:rsid w:val="00397261"/>
    <w:rsid w:val="00536535"/>
    <w:rsid w:val="00580FD9"/>
    <w:rsid w:val="005A5A35"/>
    <w:rsid w:val="006A1251"/>
    <w:rsid w:val="0077529E"/>
    <w:rsid w:val="007A3B46"/>
    <w:rsid w:val="00AF0512"/>
    <w:rsid w:val="00B8594B"/>
    <w:rsid w:val="00C650B6"/>
    <w:rsid w:val="00C849C8"/>
    <w:rsid w:val="00C8527A"/>
    <w:rsid w:val="00CF203C"/>
    <w:rsid w:val="00D41C6D"/>
    <w:rsid w:val="00DB7F0F"/>
    <w:rsid w:val="00E862C7"/>
    <w:rsid w:val="00EA3EC6"/>
    <w:rsid w:val="00EA3FBB"/>
    <w:rsid w:val="00EE091A"/>
    <w:rsid w:val="00E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AF5B9-F58F-47DB-A9C5-58555E83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C6D"/>
  </w:style>
  <w:style w:type="paragraph" w:styleId="Heading1">
    <w:name w:val="heading 1"/>
    <w:basedOn w:val="Normal"/>
    <w:next w:val="Normal"/>
    <w:link w:val="Heading1Char"/>
    <w:uiPriority w:val="9"/>
    <w:qFormat/>
    <w:rsid w:val="00AF0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A1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4">
    <w:name w:val="heading 4"/>
    <w:basedOn w:val="Normal"/>
    <w:link w:val="Heading4Char"/>
    <w:uiPriority w:val="9"/>
    <w:qFormat/>
    <w:rsid w:val="006A12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5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1251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6A1251"/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paragraph" w:styleId="NormalWeb">
    <w:name w:val="Normal (Web)"/>
    <w:basedOn w:val="Normal"/>
    <w:uiPriority w:val="99"/>
    <w:unhideWhenUsed/>
    <w:rsid w:val="006A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customStyle="1" w:styleId="apple-converted-space">
    <w:name w:val="apple-converted-space"/>
    <w:basedOn w:val="DefaultParagraphFont"/>
    <w:rsid w:val="006A1251"/>
  </w:style>
  <w:style w:type="character" w:styleId="Hyperlink">
    <w:name w:val="Hyperlink"/>
    <w:basedOn w:val="DefaultParagraphFont"/>
    <w:uiPriority w:val="99"/>
    <w:unhideWhenUsed/>
    <w:rsid w:val="006A12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12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51"/>
  </w:style>
  <w:style w:type="paragraph" w:styleId="Footer">
    <w:name w:val="footer"/>
    <w:basedOn w:val="Normal"/>
    <w:link w:val="FooterChar"/>
    <w:uiPriority w:val="99"/>
    <w:unhideWhenUsed/>
    <w:rsid w:val="006A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51"/>
  </w:style>
  <w:style w:type="character" w:customStyle="1" w:styleId="Heading1Char">
    <w:name w:val="Heading 1 Char"/>
    <w:basedOn w:val="DefaultParagraphFont"/>
    <w:link w:val="Heading1"/>
    <w:uiPriority w:val="9"/>
    <w:rsid w:val="00AF0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-meta">
    <w:name w:val="date-meta"/>
    <w:basedOn w:val="DefaultParagraphFont"/>
    <w:rsid w:val="00AF0512"/>
  </w:style>
  <w:style w:type="character" w:customStyle="1" w:styleId="swpshare">
    <w:name w:val="swp_share"/>
    <w:basedOn w:val="DefaultParagraphFont"/>
    <w:rsid w:val="00AF0512"/>
  </w:style>
  <w:style w:type="character" w:customStyle="1" w:styleId="swpcount">
    <w:name w:val="swp_count"/>
    <w:basedOn w:val="DefaultParagraphFont"/>
    <w:rsid w:val="00AF0512"/>
  </w:style>
  <w:style w:type="character" w:customStyle="1" w:styleId="swplabel">
    <w:name w:val="swp_label"/>
    <w:basedOn w:val="DefaultParagraphFont"/>
    <w:rsid w:val="00AF0512"/>
  </w:style>
  <w:style w:type="character" w:customStyle="1" w:styleId="Heading6Char">
    <w:name w:val="Heading 6 Char"/>
    <w:basedOn w:val="DefaultParagraphFont"/>
    <w:link w:val="Heading6"/>
    <w:uiPriority w:val="9"/>
    <w:semiHidden/>
    <w:rsid w:val="00AF051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D4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571">
              <w:marLeft w:val="0"/>
              <w:marRight w:val="75"/>
              <w:marTop w:val="0"/>
              <w:marBottom w:val="0"/>
              <w:divBdr>
                <w:top w:val="single" w:sz="6" w:space="0" w:color="3A589E"/>
                <w:left w:val="single" w:sz="6" w:space="0" w:color="3A589E"/>
                <w:bottom w:val="single" w:sz="6" w:space="0" w:color="3A589E"/>
                <w:right w:val="single" w:sz="6" w:space="0" w:color="3A589E"/>
              </w:divBdr>
            </w:div>
            <w:div w:id="1176456108">
              <w:marLeft w:val="75"/>
              <w:marRight w:val="75"/>
              <w:marTop w:val="0"/>
              <w:marBottom w:val="0"/>
              <w:divBdr>
                <w:top w:val="single" w:sz="6" w:space="0" w:color="429CD6"/>
                <w:left w:val="single" w:sz="6" w:space="0" w:color="429CD6"/>
                <w:bottom w:val="single" w:sz="6" w:space="0" w:color="429CD6"/>
                <w:right w:val="single" w:sz="6" w:space="0" w:color="429CD6"/>
              </w:divBdr>
            </w:div>
            <w:div w:id="471101645">
              <w:marLeft w:val="75"/>
              <w:marRight w:val="75"/>
              <w:marTop w:val="0"/>
              <w:marBottom w:val="0"/>
              <w:divBdr>
                <w:top w:val="single" w:sz="6" w:space="0" w:color="0D77B7"/>
                <w:left w:val="single" w:sz="6" w:space="0" w:color="0D77B7"/>
                <w:bottom w:val="single" w:sz="6" w:space="0" w:color="0D77B7"/>
                <w:right w:val="single" w:sz="6" w:space="0" w:color="0D77B7"/>
              </w:divBdr>
            </w:div>
            <w:div w:id="99104824">
              <w:marLeft w:val="75"/>
              <w:marRight w:val="75"/>
              <w:marTop w:val="0"/>
              <w:marBottom w:val="0"/>
              <w:divBdr>
                <w:top w:val="single" w:sz="6" w:space="0" w:color="DF4B37"/>
                <w:left w:val="single" w:sz="6" w:space="0" w:color="DF4B37"/>
                <w:bottom w:val="single" w:sz="6" w:space="0" w:color="DF4B37"/>
                <w:right w:val="single" w:sz="6" w:space="0" w:color="DF4B3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deepgoyal@kcsassociat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SWPE</dc:creator>
  <cp:keywords/>
  <dc:description/>
  <cp:lastModifiedBy>SWPE</cp:lastModifiedBy>
  <cp:revision>3</cp:revision>
  <dcterms:created xsi:type="dcterms:W3CDTF">2017-05-30T05:36:00Z</dcterms:created>
  <dcterms:modified xsi:type="dcterms:W3CDTF">2017-05-30T05:39:00Z</dcterms:modified>
</cp:coreProperties>
</file>