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3AB" w:rsidRPr="00AC3148" w:rsidRDefault="009843AB" w:rsidP="00726370">
      <w:pPr>
        <w:pStyle w:val="Heading1"/>
        <w:spacing w:before="0"/>
        <w:jc w:val="center"/>
        <w:rPr>
          <w:rFonts w:eastAsia="Verdana"/>
          <w:u w:val="single"/>
        </w:rPr>
      </w:pPr>
      <w:r w:rsidRPr="00AC3148">
        <w:rPr>
          <w:rFonts w:eastAsia="Verdana"/>
          <w:u w:val="single"/>
        </w:rPr>
        <w:t>GST</w:t>
      </w:r>
    </w:p>
    <w:p w:rsidR="00A158C2" w:rsidRPr="00AC3148" w:rsidRDefault="00A158C2" w:rsidP="00726370">
      <w:pPr>
        <w:pStyle w:val="Heading1"/>
        <w:spacing w:before="0"/>
        <w:jc w:val="center"/>
        <w:rPr>
          <w:rFonts w:eastAsia="Verdana"/>
          <w:u w:val="single"/>
        </w:rPr>
      </w:pPr>
      <w:r w:rsidRPr="00AC3148">
        <w:rPr>
          <w:rFonts w:eastAsia="Verdana"/>
          <w:u w:val="single"/>
        </w:rPr>
        <w:t>INPUT TAX CREDIT</w:t>
      </w:r>
    </w:p>
    <w:p w:rsidR="00A158C2" w:rsidRPr="00031E5F" w:rsidRDefault="00A158C2" w:rsidP="002369BF">
      <w:pPr>
        <w:spacing w:line="164" w:lineRule="exact"/>
        <w:rPr>
          <w:rFonts w:ascii="Arial" w:eastAsia="Times New Roman" w:hAnsi="Arial"/>
          <w:sz w:val="22"/>
        </w:rPr>
      </w:pPr>
    </w:p>
    <w:p w:rsidR="00DA0ED9" w:rsidRPr="00031E5F" w:rsidRDefault="00DA0ED9" w:rsidP="00402A67">
      <w:pPr>
        <w:pStyle w:val="ListParagraph"/>
        <w:numPr>
          <w:ilvl w:val="0"/>
          <w:numId w:val="9"/>
        </w:numPr>
        <w:tabs>
          <w:tab w:val="left" w:pos="398"/>
        </w:tabs>
        <w:spacing w:line="292" w:lineRule="auto"/>
        <w:jc w:val="both"/>
        <w:rPr>
          <w:rFonts w:ascii="Arial" w:eastAsia="Verdana" w:hAnsi="Arial"/>
          <w:sz w:val="22"/>
        </w:rPr>
      </w:pPr>
      <w:r w:rsidRPr="00031E5F">
        <w:rPr>
          <w:rFonts w:ascii="Arial" w:eastAsia="Verdana" w:hAnsi="Arial"/>
          <w:sz w:val="22"/>
        </w:rPr>
        <w:t xml:space="preserve">Every person whether registered or applied for registration </w:t>
      </w:r>
      <w:r w:rsidR="008A2BA2" w:rsidRPr="00031E5F">
        <w:rPr>
          <w:rFonts w:ascii="Arial" w:eastAsia="Verdana" w:hAnsi="Arial"/>
          <w:sz w:val="22"/>
        </w:rPr>
        <w:t xml:space="preserve">within 30 days from the date on which he become liable to registration </w:t>
      </w:r>
      <w:r w:rsidRPr="00031E5F">
        <w:rPr>
          <w:rFonts w:ascii="Arial" w:eastAsia="Verdana" w:hAnsi="Arial"/>
          <w:sz w:val="22"/>
        </w:rPr>
        <w:t>is entitle</w:t>
      </w:r>
      <w:r w:rsidR="002870DF" w:rsidRPr="00031E5F">
        <w:rPr>
          <w:rFonts w:ascii="Arial" w:eastAsia="Verdana" w:hAnsi="Arial"/>
          <w:sz w:val="22"/>
        </w:rPr>
        <w:t>d</w:t>
      </w:r>
      <w:r w:rsidRPr="00031E5F">
        <w:rPr>
          <w:rFonts w:ascii="Arial" w:eastAsia="Verdana" w:hAnsi="Arial"/>
          <w:sz w:val="22"/>
        </w:rPr>
        <w:t xml:space="preserve"> to take ITC(Input Tax Credit)</w:t>
      </w:r>
    </w:p>
    <w:p w:rsidR="00AD6A90" w:rsidRPr="00031E5F" w:rsidRDefault="00AD6A90" w:rsidP="00402A67">
      <w:pPr>
        <w:pStyle w:val="ListParagraph"/>
        <w:numPr>
          <w:ilvl w:val="0"/>
          <w:numId w:val="9"/>
        </w:numPr>
        <w:spacing w:line="296" w:lineRule="auto"/>
        <w:jc w:val="both"/>
        <w:rPr>
          <w:rFonts w:ascii="Arial" w:eastAsia="Verdana" w:hAnsi="Arial"/>
          <w:sz w:val="22"/>
        </w:rPr>
      </w:pPr>
      <w:r w:rsidRPr="00031E5F">
        <w:rPr>
          <w:rFonts w:ascii="Arial" w:eastAsia="Verdana" w:hAnsi="Arial"/>
          <w:sz w:val="22"/>
        </w:rPr>
        <w:t xml:space="preserve">If one year is elapsed from the date of invoice the assesse can’t take input tax credit. </w:t>
      </w:r>
    </w:p>
    <w:p w:rsidR="00AD6A90" w:rsidRPr="00031E5F" w:rsidRDefault="00AD6A90" w:rsidP="00402A67">
      <w:pPr>
        <w:pStyle w:val="ListParagraph"/>
        <w:numPr>
          <w:ilvl w:val="0"/>
          <w:numId w:val="9"/>
        </w:numPr>
        <w:tabs>
          <w:tab w:val="left" w:pos="398"/>
        </w:tabs>
        <w:spacing w:line="292" w:lineRule="auto"/>
        <w:jc w:val="both"/>
        <w:rPr>
          <w:rFonts w:ascii="Arial" w:eastAsia="Verdana" w:hAnsi="Arial"/>
          <w:sz w:val="22"/>
        </w:rPr>
      </w:pPr>
      <w:r w:rsidRPr="00031E5F">
        <w:rPr>
          <w:rFonts w:ascii="Arial" w:eastAsia="Verdana" w:hAnsi="Arial"/>
          <w:sz w:val="22"/>
        </w:rPr>
        <w:t>For calculation purpose, GAAP is to be followed.</w:t>
      </w:r>
    </w:p>
    <w:p w:rsidR="003854FB" w:rsidRPr="00031E5F" w:rsidRDefault="003854FB" w:rsidP="00402A67">
      <w:pPr>
        <w:pStyle w:val="ListParagraph"/>
        <w:numPr>
          <w:ilvl w:val="0"/>
          <w:numId w:val="9"/>
        </w:numPr>
        <w:tabs>
          <w:tab w:val="left" w:pos="398"/>
        </w:tabs>
        <w:spacing w:line="292" w:lineRule="auto"/>
        <w:jc w:val="both"/>
        <w:rPr>
          <w:rFonts w:ascii="Arial" w:eastAsia="Verdana" w:hAnsi="Arial"/>
          <w:sz w:val="22"/>
        </w:rPr>
      </w:pPr>
      <w:r w:rsidRPr="00031E5F">
        <w:rPr>
          <w:rFonts w:ascii="Arial" w:eastAsia="Verdana" w:hAnsi="Arial"/>
          <w:sz w:val="22"/>
        </w:rPr>
        <w:t>In case Input service or goods are used for business purpose and personal purpose or for taxable service and nontaxable or exempted service also then ITC will be allowed on proportionate basis</w:t>
      </w:r>
      <w:r w:rsidR="00843CCD" w:rsidRPr="00031E5F">
        <w:rPr>
          <w:rFonts w:ascii="Arial" w:eastAsia="Verdana" w:hAnsi="Arial"/>
          <w:sz w:val="22"/>
        </w:rPr>
        <w:t>.</w:t>
      </w:r>
    </w:p>
    <w:p w:rsidR="00CA3249" w:rsidRPr="00031E5F" w:rsidRDefault="00CA3249" w:rsidP="00402A67">
      <w:pPr>
        <w:pStyle w:val="ListParagraph"/>
        <w:numPr>
          <w:ilvl w:val="0"/>
          <w:numId w:val="9"/>
        </w:numPr>
        <w:tabs>
          <w:tab w:val="left" w:pos="398"/>
        </w:tabs>
        <w:spacing w:line="292" w:lineRule="auto"/>
        <w:jc w:val="both"/>
        <w:rPr>
          <w:rFonts w:ascii="Arial" w:eastAsia="Verdana" w:hAnsi="Arial"/>
          <w:sz w:val="22"/>
        </w:rPr>
      </w:pPr>
      <w:r w:rsidRPr="00031E5F">
        <w:rPr>
          <w:rFonts w:ascii="Arial" w:eastAsia="Verdana" w:hAnsi="Arial"/>
          <w:sz w:val="22"/>
        </w:rPr>
        <w:t>In case amalgamation merger or like cases, transferor can transfer unutilized input tax credit.</w:t>
      </w:r>
    </w:p>
    <w:p w:rsidR="008040CF" w:rsidRPr="00031E5F" w:rsidRDefault="008040CF" w:rsidP="00402A67">
      <w:pPr>
        <w:pStyle w:val="ListParagraph"/>
        <w:numPr>
          <w:ilvl w:val="0"/>
          <w:numId w:val="9"/>
        </w:numPr>
        <w:tabs>
          <w:tab w:val="left" w:pos="398"/>
        </w:tabs>
        <w:spacing w:line="292" w:lineRule="auto"/>
        <w:jc w:val="both"/>
        <w:rPr>
          <w:rFonts w:ascii="Arial" w:eastAsia="Verdana" w:hAnsi="Arial"/>
          <w:sz w:val="22"/>
        </w:rPr>
      </w:pPr>
      <w:r w:rsidRPr="00031E5F">
        <w:rPr>
          <w:rFonts w:ascii="Arial" w:eastAsia="Verdana" w:hAnsi="Arial"/>
          <w:sz w:val="22"/>
        </w:rPr>
        <w:t>ITC is not available in following cases:</w:t>
      </w:r>
    </w:p>
    <w:p w:rsidR="008040CF" w:rsidRPr="00031E5F" w:rsidRDefault="008040CF" w:rsidP="00402A67">
      <w:pPr>
        <w:pStyle w:val="ListParagraph"/>
        <w:numPr>
          <w:ilvl w:val="0"/>
          <w:numId w:val="16"/>
        </w:numPr>
        <w:jc w:val="both"/>
        <w:rPr>
          <w:rFonts w:ascii="Arial" w:eastAsia="Verdana" w:hAnsi="Arial"/>
          <w:sz w:val="22"/>
        </w:rPr>
      </w:pPr>
      <w:r w:rsidRPr="00031E5F">
        <w:rPr>
          <w:rFonts w:ascii="Arial" w:eastAsia="Verdana" w:hAnsi="Arial"/>
          <w:sz w:val="22"/>
        </w:rPr>
        <w:t xml:space="preserve">Motor vehicle </w:t>
      </w:r>
    </w:p>
    <w:p w:rsidR="008040CF" w:rsidRPr="00031E5F" w:rsidRDefault="008040CF" w:rsidP="00402A67">
      <w:pPr>
        <w:pStyle w:val="ListParagraph"/>
        <w:ind w:left="1080"/>
        <w:jc w:val="both"/>
        <w:rPr>
          <w:rFonts w:ascii="Arial" w:eastAsia="Verdana" w:hAnsi="Arial"/>
          <w:sz w:val="22"/>
        </w:rPr>
      </w:pPr>
      <w:r w:rsidRPr="00031E5F">
        <w:rPr>
          <w:rFonts w:ascii="Arial" w:eastAsia="Verdana" w:hAnsi="Arial"/>
          <w:sz w:val="22"/>
        </w:rPr>
        <w:t>Exception: if it is used in the usual course of business or are used for providing transportation of passengers or transportation of goods or imparting training on motor driving skills then ITC allowed.</w:t>
      </w:r>
    </w:p>
    <w:p w:rsidR="008040CF" w:rsidRPr="00031E5F" w:rsidRDefault="008856DB" w:rsidP="00402A67">
      <w:pPr>
        <w:pStyle w:val="ListParagraph"/>
        <w:numPr>
          <w:ilvl w:val="0"/>
          <w:numId w:val="16"/>
        </w:numPr>
        <w:jc w:val="both"/>
        <w:rPr>
          <w:rFonts w:ascii="Arial" w:eastAsia="Verdana" w:hAnsi="Arial"/>
          <w:sz w:val="22"/>
        </w:rPr>
      </w:pPr>
      <w:r w:rsidRPr="00031E5F">
        <w:rPr>
          <w:rFonts w:ascii="Arial" w:eastAsia="Verdana" w:hAnsi="Arial"/>
          <w:sz w:val="22"/>
        </w:rPr>
        <w:t>goods and / or services provided in relation to food and beverages, outdoor catering, beauty treatment, health services, cosmetic and plastic surgery, membership of a club, health and fitness centre, life insurance, health insurance and travel benefits extended to employees on vacation such as leave or home travel concession, when such goods and/or services are used primarily for personal use or consumption of any employee</w:t>
      </w:r>
    </w:p>
    <w:p w:rsidR="002369BF" w:rsidRPr="00031E5F" w:rsidRDefault="002369BF" w:rsidP="00402A67">
      <w:pPr>
        <w:pStyle w:val="ListParagraph"/>
        <w:numPr>
          <w:ilvl w:val="0"/>
          <w:numId w:val="16"/>
        </w:numPr>
        <w:jc w:val="both"/>
        <w:rPr>
          <w:rFonts w:ascii="Arial" w:eastAsia="Verdana" w:hAnsi="Arial"/>
          <w:sz w:val="22"/>
        </w:rPr>
      </w:pPr>
      <w:r w:rsidRPr="00031E5F">
        <w:rPr>
          <w:rFonts w:ascii="Arial" w:eastAsia="Verdana" w:hAnsi="Arial"/>
          <w:sz w:val="22"/>
        </w:rPr>
        <w:t>goods and/or services acquired by the principal in the execution of works contract when such contract results in construction of immovable property, other than plant and machinery</w:t>
      </w:r>
    </w:p>
    <w:p w:rsidR="002369BF" w:rsidRPr="00031E5F" w:rsidRDefault="002369BF" w:rsidP="00402A67">
      <w:pPr>
        <w:pStyle w:val="ListParagraph"/>
        <w:numPr>
          <w:ilvl w:val="0"/>
          <w:numId w:val="16"/>
        </w:numPr>
        <w:jc w:val="both"/>
        <w:rPr>
          <w:rFonts w:ascii="Arial" w:eastAsia="Verdana" w:hAnsi="Arial"/>
          <w:sz w:val="22"/>
        </w:rPr>
      </w:pPr>
      <w:r w:rsidRPr="00031E5F">
        <w:rPr>
          <w:rFonts w:ascii="Arial" w:eastAsia="Verdana" w:hAnsi="Arial"/>
          <w:sz w:val="22"/>
        </w:rPr>
        <w:t>goods acquired by a principal, the property in which is not transferred (whether as goods or in some other form) to any other person, which are used in the construction of immovable property, other than plant and machinery;</w:t>
      </w:r>
    </w:p>
    <w:p w:rsidR="002369BF" w:rsidRPr="00031E5F" w:rsidRDefault="002369BF" w:rsidP="00402A67">
      <w:pPr>
        <w:pStyle w:val="ListParagraph"/>
        <w:numPr>
          <w:ilvl w:val="0"/>
          <w:numId w:val="16"/>
        </w:numPr>
        <w:jc w:val="both"/>
        <w:rPr>
          <w:rFonts w:ascii="Arial" w:eastAsia="Verdana" w:hAnsi="Arial"/>
          <w:sz w:val="22"/>
        </w:rPr>
      </w:pPr>
      <w:r w:rsidRPr="00031E5F">
        <w:rPr>
          <w:rFonts w:ascii="Arial" w:eastAsia="Verdana" w:hAnsi="Arial"/>
          <w:sz w:val="22"/>
        </w:rPr>
        <w:t>goods and/or services on which tax has been paid under section 8</w:t>
      </w:r>
    </w:p>
    <w:p w:rsidR="002369BF" w:rsidRPr="00031E5F" w:rsidRDefault="002369BF" w:rsidP="00402A67">
      <w:pPr>
        <w:pStyle w:val="ListParagraph"/>
        <w:numPr>
          <w:ilvl w:val="0"/>
          <w:numId w:val="16"/>
        </w:numPr>
        <w:jc w:val="both"/>
        <w:rPr>
          <w:rFonts w:ascii="Arial" w:eastAsia="Verdana" w:hAnsi="Arial"/>
          <w:sz w:val="22"/>
        </w:rPr>
      </w:pPr>
      <w:r w:rsidRPr="00031E5F">
        <w:rPr>
          <w:rFonts w:ascii="Arial" w:eastAsia="Verdana" w:hAnsi="Arial"/>
          <w:sz w:val="22"/>
        </w:rPr>
        <w:t>goods and/or services used for private or personal consumption, to the extent they are so consumed</w:t>
      </w:r>
    </w:p>
    <w:p w:rsidR="00E33154" w:rsidRPr="00031E5F" w:rsidRDefault="00E33154" w:rsidP="00402A67">
      <w:pPr>
        <w:pStyle w:val="ListParagraph"/>
        <w:numPr>
          <w:ilvl w:val="0"/>
          <w:numId w:val="9"/>
        </w:numPr>
        <w:tabs>
          <w:tab w:val="left" w:pos="398"/>
        </w:tabs>
        <w:spacing w:line="292" w:lineRule="auto"/>
        <w:jc w:val="both"/>
        <w:rPr>
          <w:rFonts w:ascii="Arial" w:eastAsia="Verdana" w:hAnsi="Arial"/>
          <w:sz w:val="22"/>
        </w:rPr>
      </w:pPr>
      <w:r w:rsidRPr="00031E5F">
        <w:rPr>
          <w:rFonts w:ascii="Arial" w:eastAsia="Verdana" w:hAnsi="Arial"/>
          <w:sz w:val="22"/>
        </w:rPr>
        <w:t xml:space="preserve">Depreciation and ITC both </w:t>
      </w:r>
      <w:r w:rsidR="000C35C4" w:rsidRPr="00031E5F">
        <w:rPr>
          <w:rFonts w:ascii="Arial" w:eastAsia="Verdana" w:hAnsi="Arial"/>
          <w:sz w:val="22"/>
        </w:rPr>
        <w:t xml:space="preserve">are </w:t>
      </w:r>
      <w:r w:rsidRPr="00031E5F">
        <w:rPr>
          <w:rFonts w:ascii="Arial" w:eastAsia="Verdana" w:hAnsi="Arial"/>
          <w:sz w:val="22"/>
        </w:rPr>
        <w:t>not allowed.</w:t>
      </w:r>
    </w:p>
    <w:p w:rsidR="0058682B" w:rsidRPr="00031E5F" w:rsidRDefault="0058682B" w:rsidP="00402A67">
      <w:pPr>
        <w:pStyle w:val="ListParagraph"/>
        <w:numPr>
          <w:ilvl w:val="0"/>
          <w:numId w:val="9"/>
        </w:numPr>
        <w:tabs>
          <w:tab w:val="left" w:pos="398"/>
        </w:tabs>
        <w:spacing w:line="292" w:lineRule="auto"/>
        <w:jc w:val="both"/>
        <w:rPr>
          <w:rFonts w:ascii="Arial" w:eastAsia="Verdana" w:hAnsi="Arial"/>
          <w:sz w:val="22"/>
        </w:rPr>
      </w:pPr>
      <w:r w:rsidRPr="00031E5F">
        <w:rPr>
          <w:rFonts w:ascii="Arial" w:eastAsia="Verdana" w:hAnsi="Arial"/>
          <w:sz w:val="22"/>
        </w:rPr>
        <w:t>Following conditions are to fulfilled for availing ITC</w:t>
      </w:r>
    </w:p>
    <w:p w:rsidR="0058682B" w:rsidRPr="00031E5F" w:rsidRDefault="0058682B" w:rsidP="00402A67">
      <w:pPr>
        <w:pStyle w:val="ListParagraph"/>
        <w:numPr>
          <w:ilvl w:val="0"/>
          <w:numId w:val="17"/>
        </w:numPr>
        <w:tabs>
          <w:tab w:val="left" w:pos="398"/>
        </w:tabs>
        <w:spacing w:line="292" w:lineRule="auto"/>
        <w:jc w:val="both"/>
        <w:rPr>
          <w:rFonts w:ascii="Arial" w:eastAsia="Verdana" w:hAnsi="Arial"/>
          <w:sz w:val="22"/>
        </w:rPr>
      </w:pPr>
      <w:r w:rsidRPr="00031E5F">
        <w:rPr>
          <w:rFonts w:ascii="Arial" w:eastAsia="Verdana" w:hAnsi="Arial"/>
          <w:sz w:val="22"/>
        </w:rPr>
        <w:t>Assessee has Tax Invoice or like documents</w:t>
      </w:r>
    </w:p>
    <w:p w:rsidR="0058682B" w:rsidRPr="00031E5F" w:rsidRDefault="0058682B" w:rsidP="00402A67">
      <w:pPr>
        <w:pStyle w:val="ListParagraph"/>
        <w:numPr>
          <w:ilvl w:val="0"/>
          <w:numId w:val="17"/>
        </w:numPr>
        <w:tabs>
          <w:tab w:val="left" w:pos="398"/>
        </w:tabs>
        <w:spacing w:line="292" w:lineRule="auto"/>
        <w:jc w:val="both"/>
        <w:rPr>
          <w:rFonts w:ascii="Arial" w:eastAsia="Verdana" w:hAnsi="Arial"/>
          <w:sz w:val="22"/>
        </w:rPr>
      </w:pPr>
      <w:r w:rsidRPr="00031E5F">
        <w:rPr>
          <w:rFonts w:ascii="Arial" w:eastAsia="Verdana" w:hAnsi="Arial"/>
          <w:sz w:val="22"/>
        </w:rPr>
        <w:t>Assessee has received goods</w:t>
      </w:r>
    </w:p>
    <w:p w:rsidR="0058682B" w:rsidRPr="00031E5F" w:rsidRDefault="0058682B" w:rsidP="00402A67">
      <w:pPr>
        <w:pStyle w:val="ListParagraph"/>
        <w:numPr>
          <w:ilvl w:val="0"/>
          <w:numId w:val="17"/>
        </w:numPr>
        <w:tabs>
          <w:tab w:val="left" w:pos="398"/>
        </w:tabs>
        <w:spacing w:line="292" w:lineRule="auto"/>
        <w:jc w:val="both"/>
        <w:rPr>
          <w:rFonts w:ascii="Arial" w:eastAsia="Verdana" w:hAnsi="Arial"/>
          <w:sz w:val="22"/>
        </w:rPr>
      </w:pPr>
      <w:r w:rsidRPr="00031E5F">
        <w:rPr>
          <w:rFonts w:ascii="Arial" w:eastAsia="Verdana" w:hAnsi="Arial"/>
          <w:sz w:val="22"/>
        </w:rPr>
        <w:t>Tax charged on invoice has been paid to the government</w:t>
      </w:r>
    </w:p>
    <w:p w:rsidR="0058682B" w:rsidRPr="00031E5F" w:rsidRDefault="0058682B" w:rsidP="00402A67">
      <w:pPr>
        <w:pStyle w:val="ListParagraph"/>
        <w:numPr>
          <w:ilvl w:val="0"/>
          <w:numId w:val="17"/>
        </w:numPr>
        <w:tabs>
          <w:tab w:val="left" w:pos="398"/>
        </w:tabs>
        <w:spacing w:line="292" w:lineRule="auto"/>
        <w:jc w:val="both"/>
        <w:rPr>
          <w:rFonts w:ascii="Arial" w:eastAsia="Verdana" w:hAnsi="Arial"/>
          <w:sz w:val="22"/>
        </w:rPr>
      </w:pPr>
      <w:r w:rsidRPr="00031E5F">
        <w:rPr>
          <w:rFonts w:ascii="Arial" w:eastAsia="Verdana" w:hAnsi="Arial"/>
          <w:sz w:val="22"/>
        </w:rPr>
        <w:t>Assessee has furnished the return under section 27.</w:t>
      </w:r>
    </w:p>
    <w:p w:rsidR="00B254E8" w:rsidRPr="00031E5F" w:rsidRDefault="0058682B" w:rsidP="00402A67">
      <w:pPr>
        <w:pStyle w:val="ListParagraph"/>
        <w:numPr>
          <w:ilvl w:val="0"/>
          <w:numId w:val="9"/>
        </w:numPr>
        <w:tabs>
          <w:tab w:val="left" w:pos="398"/>
        </w:tabs>
        <w:spacing w:line="292" w:lineRule="auto"/>
        <w:jc w:val="both"/>
        <w:rPr>
          <w:rFonts w:ascii="Arial" w:eastAsia="Verdana" w:hAnsi="Arial"/>
          <w:sz w:val="22"/>
        </w:rPr>
      </w:pPr>
      <w:r w:rsidRPr="00031E5F">
        <w:rPr>
          <w:rFonts w:ascii="Arial" w:eastAsia="Verdana" w:hAnsi="Arial"/>
          <w:sz w:val="22"/>
        </w:rPr>
        <w:t>I</w:t>
      </w:r>
      <w:r w:rsidR="00B254E8" w:rsidRPr="00031E5F">
        <w:rPr>
          <w:rFonts w:ascii="Arial" w:eastAsia="Verdana" w:hAnsi="Arial"/>
          <w:sz w:val="22"/>
        </w:rPr>
        <w:t>n case of sale of capital goods, assessee has to pay higher of following two amount</w:t>
      </w:r>
    </w:p>
    <w:p w:rsidR="00B254E8" w:rsidRPr="00031E5F" w:rsidRDefault="00B254E8" w:rsidP="00402A67">
      <w:pPr>
        <w:pStyle w:val="ListParagraph"/>
        <w:numPr>
          <w:ilvl w:val="1"/>
          <w:numId w:val="18"/>
        </w:numPr>
        <w:tabs>
          <w:tab w:val="left" w:pos="398"/>
        </w:tabs>
        <w:spacing w:line="292" w:lineRule="auto"/>
        <w:jc w:val="both"/>
        <w:rPr>
          <w:rFonts w:ascii="Arial" w:eastAsia="Verdana" w:hAnsi="Arial"/>
          <w:sz w:val="22"/>
        </w:rPr>
      </w:pPr>
      <w:r w:rsidRPr="00031E5F">
        <w:rPr>
          <w:rFonts w:ascii="Arial" w:eastAsia="Verdana" w:hAnsi="Arial"/>
          <w:sz w:val="22"/>
        </w:rPr>
        <w:t>ITC taken on that capital goods reduced by specified percentage</w:t>
      </w:r>
    </w:p>
    <w:p w:rsidR="009843AB" w:rsidRPr="00726370" w:rsidRDefault="0098131E" w:rsidP="0098131E">
      <w:pPr>
        <w:pStyle w:val="ListParagraph"/>
        <w:numPr>
          <w:ilvl w:val="1"/>
          <w:numId w:val="18"/>
        </w:numPr>
        <w:tabs>
          <w:tab w:val="left" w:pos="398"/>
        </w:tabs>
        <w:spacing w:line="292" w:lineRule="auto"/>
        <w:jc w:val="both"/>
        <w:rPr>
          <w:rFonts w:ascii="Arial" w:hAnsi="Arial"/>
          <w:sz w:val="22"/>
        </w:rPr>
      </w:pPr>
      <w:r>
        <w:rPr>
          <w:rFonts w:ascii="Arial" w:eastAsia="Verdana" w:hAnsi="Arial"/>
          <w:sz w:val="22"/>
        </w:rPr>
        <w:t xml:space="preserve">Tax on </w:t>
      </w:r>
      <w:bookmarkStart w:id="0" w:name="_GoBack"/>
      <w:bookmarkEnd w:id="0"/>
      <w:r w:rsidR="00B254E8" w:rsidRPr="00726370">
        <w:rPr>
          <w:rFonts w:ascii="Arial" w:eastAsia="Verdana" w:hAnsi="Arial"/>
          <w:sz w:val="22"/>
        </w:rPr>
        <w:t>transaction value</w:t>
      </w:r>
    </w:p>
    <w:sectPr w:rsidR="009843AB" w:rsidRPr="00726370" w:rsidSect="00726370">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87"/>
    <w:multiLevelType w:val="hybridMultilevel"/>
    <w:tmpl w:val="62A5D5B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
    <w:nsid w:val="00000088"/>
    <w:multiLevelType w:val="hybridMultilevel"/>
    <w:tmpl w:val="718FABF8"/>
    <w:lvl w:ilvl="0" w:tplc="FFFFFFFF">
      <w:start w:val="5888"/>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16778240"/>
      <w:numFmt w:val="decimal"/>
      <w:lvlText w:val="ᜀĀᜀĀ"/>
      <w:lvlJc w:val="left"/>
    </w:lvl>
    <w:lvl w:ilvl="6" w:tplc="FFFFFFFF">
      <w:start w:val="16777216"/>
      <w:numFmt w:val="decimal"/>
      <w:lvlText w:val=""/>
      <w:lvlJc w:val="left"/>
    </w:lvl>
    <w:lvl w:ilvl="7" w:tplc="FFFFFFFF">
      <w:start w:val="671089408"/>
      <w:numFmt w:val="decimal"/>
      <w:lvlText w:val=""/>
      <w:lvlJc w:val="left"/>
    </w:lvl>
    <w:lvl w:ilvl="8" w:tplc="FFFFFFFF">
      <w:numFmt w:val="decimal"/>
      <w:lvlText w:val=""/>
      <w:lvlJc w:val="left"/>
    </w:lvl>
  </w:abstractNum>
  <w:abstractNum w:abstractNumId="2">
    <w:nsid w:val="00000089"/>
    <w:multiLevelType w:val="hybridMultilevel"/>
    <w:tmpl w:val="7775797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suff w:val="nothing"/>
      <w:lvlText w:val=""/>
      <w:lvlJc w:val="left"/>
    </w:lvl>
    <w:lvl w:ilvl="7" w:tplc="FFFFFFFF">
      <w:numFmt w:val="decimal"/>
      <w:suff w:val="space"/>
      <w:lvlText w:val=""/>
      <w:lvlJc w:val="left"/>
    </w:lvl>
    <w:lvl w:ilvl="8" w:tplc="FFFFFFFF">
      <w:numFmt w:val="decimal"/>
      <w:suff w:val="space"/>
      <w:lvlText w:val=""/>
      <w:lvlJc w:val="left"/>
    </w:lvl>
  </w:abstractNum>
  <w:abstractNum w:abstractNumId="3">
    <w:nsid w:val="0000008A"/>
    <w:multiLevelType w:val="hybridMultilevel"/>
    <w:tmpl w:val="FA645A96"/>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decimal"/>
      <w:suff w:val="space"/>
      <w:lvlText w:val=""/>
      <w:lvlJc w:val="left"/>
    </w:lvl>
    <w:lvl w:ilvl="7" w:tplc="FFFFFFFF">
      <w:numFmt w:val="none"/>
      <w:lvlText w:val=""/>
      <w:lvlJc w:val="left"/>
      <w:pPr>
        <w:tabs>
          <w:tab w:val="num" w:pos="360"/>
        </w:tabs>
      </w:pPr>
    </w:lvl>
    <w:lvl w:ilvl="8" w:tplc="FFFFFFFF">
      <w:start w:val="23"/>
      <w:numFmt w:val="decimal"/>
      <w:lvlText w:val=""/>
      <w:lvlJc w:val="left"/>
    </w:lvl>
  </w:abstractNum>
  <w:abstractNum w:abstractNumId="4">
    <w:nsid w:val="0000008B"/>
    <w:multiLevelType w:val="hybridMultilevel"/>
    <w:tmpl w:val="A87E8A6E"/>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numFmt w:val="none"/>
      <w:lvlText w:val=""/>
      <w:lvlJc w:val="left"/>
      <w:pPr>
        <w:tabs>
          <w:tab w:val="num" w:pos="360"/>
        </w:tabs>
      </w:pPr>
    </w:lvl>
    <w:lvl w:ilvl="7" w:tplc="FFFFFFFF">
      <w:start w:val="16777216"/>
      <w:numFmt w:val="decimal"/>
      <w:lvlText w:val=""/>
      <w:lvlJc w:val="left"/>
    </w:lvl>
    <w:lvl w:ilvl="8" w:tplc="FFFFFFFF">
      <w:start w:val="671089408"/>
      <w:numFmt w:val="decimal"/>
      <w:lvlText w:val=""/>
      <w:lvlJc w:val="left"/>
    </w:lvl>
  </w:abstractNum>
  <w:abstractNum w:abstractNumId="5">
    <w:nsid w:val="0000008C"/>
    <w:multiLevelType w:val="hybridMultilevel"/>
    <w:tmpl w:val="3E6DA1C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nothing"/>
      <w:lvlText w:val=""/>
      <w:lvlJc w:val="left"/>
    </w:lvl>
    <w:lvl w:ilvl="8" w:tplc="FFFFFFFF">
      <w:numFmt w:val="decimal"/>
      <w:suff w:val="space"/>
      <w:lvlText w:val=""/>
      <w:lvlJc w:val="left"/>
    </w:lvl>
  </w:abstractNum>
  <w:abstractNum w:abstractNumId="6">
    <w:nsid w:val="0000008D"/>
    <w:multiLevelType w:val="hybridMultilevel"/>
    <w:tmpl w:val="460A4FC0"/>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decimal"/>
      <w:suff w:val="space"/>
      <w:lvlText w:val=""/>
      <w:lvlJc w:val="left"/>
    </w:lvl>
    <w:lvl w:ilvl="7" w:tplc="FFFFFFFF">
      <w:numFmt w:val="decimal"/>
      <w:suff w:val="space"/>
      <w:lvlText w:val=""/>
      <w:lvlJc w:val="left"/>
    </w:lvl>
    <w:lvl w:ilvl="8" w:tplc="FFFFFFFF">
      <w:numFmt w:val="none"/>
      <w:lvlText w:val=""/>
      <w:lvlJc w:val="left"/>
      <w:pPr>
        <w:tabs>
          <w:tab w:val="num" w:pos="360"/>
        </w:tabs>
      </w:pPr>
    </w:lvl>
  </w:abstractNum>
  <w:abstractNum w:abstractNumId="7">
    <w:nsid w:val="00E740C5"/>
    <w:multiLevelType w:val="hybridMultilevel"/>
    <w:tmpl w:val="68D6623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5D2622"/>
    <w:multiLevelType w:val="hybridMultilevel"/>
    <w:tmpl w:val="65525F24"/>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354BDB"/>
    <w:multiLevelType w:val="hybridMultilevel"/>
    <w:tmpl w:val="D550EB36"/>
    <w:lvl w:ilvl="0" w:tplc="BCA6D29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8C1085"/>
    <w:multiLevelType w:val="hybridMultilevel"/>
    <w:tmpl w:val="C38096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C417B2"/>
    <w:multiLevelType w:val="hybridMultilevel"/>
    <w:tmpl w:val="7D2C6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321A5C"/>
    <w:multiLevelType w:val="hybridMultilevel"/>
    <w:tmpl w:val="BFCEFD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26B257B"/>
    <w:multiLevelType w:val="hybridMultilevel"/>
    <w:tmpl w:val="8A8A5556"/>
    <w:lvl w:ilvl="0" w:tplc="9D8EE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970E69"/>
    <w:multiLevelType w:val="hybridMultilevel"/>
    <w:tmpl w:val="7D2C6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FC5E61"/>
    <w:multiLevelType w:val="hybridMultilevel"/>
    <w:tmpl w:val="7D2C6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136B80"/>
    <w:multiLevelType w:val="hybridMultilevel"/>
    <w:tmpl w:val="7D2C6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2712F2"/>
    <w:multiLevelType w:val="hybridMultilevel"/>
    <w:tmpl w:val="7D2C6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3"/>
  </w:num>
  <w:num w:numId="9">
    <w:abstractNumId w:val="7"/>
  </w:num>
  <w:num w:numId="10">
    <w:abstractNumId w:val="15"/>
  </w:num>
  <w:num w:numId="11">
    <w:abstractNumId w:val="9"/>
  </w:num>
  <w:num w:numId="12">
    <w:abstractNumId w:val="17"/>
  </w:num>
  <w:num w:numId="13">
    <w:abstractNumId w:val="14"/>
  </w:num>
  <w:num w:numId="14">
    <w:abstractNumId w:val="16"/>
  </w:num>
  <w:num w:numId="15">
    <w:abstractNumId w:val="11"/>
  </w:num>
  <w:num w:numId="16">
    <w:abstractNumId w:val="10"/>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E56"/>
    <w:rsid w:val="00031E5F"/>
    <w:rsid w:val="0006125E"/>
    <w:rsid w:val="000C35C4"/>
    <w:rsid w:val="000D10C0"/>
    <w:rsid w:val="000F5BA3"/>
    <w:rsid w:val="00142F5D"/>
    <w:rsid w:val="00147E51"/>
    <w:rsid w:val="001A6358"/>
    <w:rsid w:val="002369BF"/>
    <w:rsid w:val="00245BE4"/>
    <w:rsid w:val="002870DF"/>
    <w:rsid w:val="002B65CE"/>
    <w:rsid w:val="00323D21"/>
    <w:rsid w:val="003854FB"/>
    <w:rsid w:val="003A563B"/>
    <w:rsid w:val="00402A67"/>
    <w:rsid w:val="00467141"/>
    <w:rsid w:val="0049577F"/>
    <w:rsid w:val="004A56E8"/>
    <w:rsid w:val="0050054A"/>
    <w:rsid w:val="00571235"/>
    <w:rsid w:val="0058682B"/>
    <w:rsid w:val="005C1E27"/>
    <w:rsid w:val="005E0EE4"/>
    <w:rsid w:val="00726370"/>
    <w:rsid w:val="007504C6"/>
    <w:rsid w:val="008040CF"/>
    <w:rsid w:val="00843CCD"/>
    <w:rsid w:val="008856DB"/>
    <w:rsid w:val="008A2BA2"/>
    <w:rsid w:val="00956489"/>
    <w:rsid w:val="0098131E"/>
    <w:rsid w:val="009843AB"/>
    <w:rsid w:val="00A158C2"/>
    <w:rsid w:val="00AC3148"/>
    <w:rsid w:val="00AD6A90"/>
    <w:rsid w:val="00B254E8"/>
    <w:rsid w:val="00B640AD"/>
    <w:rsid w:val="00BB4977"/>
    <w:rsid w:val="00BB7E47"/>
    <w:rsid w:val="00C53E56"/>
    <w:rsid w:val="00CA3249"/>
    <w:rsid w:val="00CD17D1"/>
    <w:rsid w:val="00D16B65"/>
    <w:rsid w:val="00DA0ED9"/>
    <w:rsid w:val="00DE67B4"/>
    <w:rsid w:val="00E33154"/>
    <w:rsid w:val="00ED68BA"/>
    <w:rsid w:val="00FB665D"/>
    <w:rsid w:val="00FD42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8C2"/>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9843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31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3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314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47E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8C2"/>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9843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31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3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314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47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Ojha, Sanjeet K. (SMIL)</dc:creator>
  <cp:lastModifiedBy>Ojha, Sanjeet K. (SMIL)</cp:lastModifiedBy>
  <cp:revision>60</cp:revision>
  <dcterms:created xsi:type="dcterms:W3CDTF">2016-09-21T05:24:00Z</dcterms:created>
  <dcterms:modified xsi:type="dcterms:W3CDTF">2016-09-21T11:18:00Z</dcterms:modified>
</cp:coreProperties>
</file>