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F45" w:rsidRPr="00375F45" w:rsidRDefault="00375F45" w:rsidP="00375F45">
      <w:pPr>
        <w:rPr>
          <w:b/>
          <w:bCs/>
          <w:sz w:val="24"/>
          <w:szCs w:val="22"/>
        </w:rPr>
      </w:pPr>
      <w:r w:rsidRPr="003D4469">
        <w:rPr>
          <w:b/>
          <w:bCs/>
          <w:sz w:val="28"/>
          <w:szCs w:val="24"/>
        </w:rPr>
        <w:t>"Highlights of First Discussion Paper on GST"</w:t>
      </w:r>
    </w:p>
    <w:p w:rsidR="00375F45" w:rsidRPr="00375F45" w:rsidRDefault="00375F45" w:rsidP="00375F45">
      <w:pPr>
        <w:rPr>
          <w:sz w:val="24"/>
          <w:szCs w:val="22"/>
        </w:rPr>
      </w:pPr>
      <w:r w:rsidRPr="00375F45">
        <w:rPr>
          <w:b/>
          <w:bCs/>
          <w:sz w:val="24"/>
          <w:szCs w:val="22"/>
        </w:rPr>
        <w:t>GST</w:t>
      </w:r>
      <w:proofErr w:type="gramStart"/>
      <w:r w:rsidRPr="00375F45">
        <w:rPr>
          <w:b/>
          <w:bCs/>
          <w:sz w:val="24"/>
          <w:szCs w:val="22"/>
        </w:rPr>
        <w:t>:-</w:t>
      </w:r>
      <w:proofErr w:type="gramEnd"/>
      <w:r w:rsidRPr="00375F45">
        <w:rPr>
          <w:sz w:val="24"/>
          <w:szCs w:val="22"/>
        </w:rPr>
        <w:t xml:space="preserve"> The Goods and service Tax( GST) is a tax on goods and services with comprehensive and continuous chain of set-off benefits from the producer’s point and service provider’s point </w:t>
      </w:r>
      <w:proofErr w:type="spellStart"/>
      <w:r w:rsidRPr="00375F45">
        <w:rPr>
          <w:sz w:val="24"/>
          <w:szCs w:val="22"/>
        </w:rPr>
        <w:t>upto</w:t>
      </w:r>
      <w:proofErr w:type="spellEnd"/>
      <w:r w:rsidRPr="00375F45">
        <w:rPr>
          <w:sz w:val="24"/>
          <w:szCs w:val="22"/>
        </w:rPr>
        <w:t xml:space="preserve"> the retailer’s level. It is essentially a tax only on value addition at each stage, and a supplier at each stage is permitted to set-off, through a tax credit mechanism, the GST paid on the purchase of goods and services as available for set-off on the GST to be paid on the supply of goods and services. The final consumer will thus bear only the GST charged by the last dealer in the supply chain, with set-off benefits at all the previous stages.</w:t>
      </w:r>
    </w:p>
    <w:p w:rsidR="00375F45" w:rsidRPr="00375F45" w:rsidRDefault="00375F45" w:rsidP="00375F45">
      <w:pPr>
        <w:rPr>
          <w:b/>
          <w:bCs/>
          <w:sz w:val="24"/>
          <w:szCs w:val="22"/>
          <w:u w:val="single"/>
        </w:rPr>
      </w:pPr>
      <w:r w:rsidRPr="00375F45">
        <w:rPr>
          <w:b/>
          <w:bCs/>
          <w:sz w:val="24"/>
          <w:szCs w:val="22"/>
          <w:u w:val="single"/>
        </w:rPr>
        <w:t>GST First Discussion Paper</w:t>
      </w:r>
    </w:p>
    <w:p w:rsidR="00375F45" w:rsidRPr="00375F45" w:rsidRDefault="00375F45" w:rsidP="00375F45">
      <w:pPr>
        <w:rPr>
          <w:b/>
          <w:bCs/>
          <w:sz w:val="24"/>
          <w:szCs w:val="22"/>
        </w:rPr>
      </w:pPr>
      <w:r w:rsidRPr="00375F45">
        <w:rPr>
          <w:b/>
          <w:bCs/>
          <w:sz w:val="24"/>
          <w:szCs w:val="22"/>
        </w:rPr>
        <w:t xml:space="preserve">At the issuance of GST First Discussion Paper, Finance Minister Mr. </w:t>
      </w:r>
      <w:proofErr w:type="spellStart"/>
      <w:r w:rsidRPr="00375F45">
        <w:rPr>
          <w:b/>
          <w:bCs/>
          <w:sz w:val="24"/>
          <w:szCs w:val="22"/>
        </w:rPr>
        <w:t>Pranab</w:t>
      </w:r>
      <w:proofErr w:type="spellEnd"/>
      <w:r w:rsidRPr="00375F45">
        <w:rPr>
          <w:b/>
          <w:bCs/>
          <w:sz w:val="24"/>
          <w:szCs w:val="22"/>
        </w:rPr>
        <w:t xml:space="preserve"> </w:t>
      </w:r>
      <w:proofErr w:type="spellStart"/>
      <w:r w:rsidRPr="00375F45">
        <w:rPr>
          <w:b/>
          <w:bCs/>
          <w:sz w:val="24"/>
          <w:szCs w:val="22"/>
        </w:rPr>
        <w:t>Mukherjee</w:t>
      </w:r>
      <w:proofErr w:type="spellEnd"/>
      <w:r w:rsidRPr="00375F45">
        <w:rPr>
          <w:b/>
          <w:bCs/>
          <w:sz w:val="24"/>
          <w:szCs w:val="22"/>
        </w:rPr>
        <w:t xml:space="preserve"> delivered his speech,</w:t>
      </w:r>
    </w:p>
    <w:p w:rsidR="00375F45" w:rsidRPr="00375F45" w:rsidRDefault="00375F45" w:rsidP="00375F45">
      <w:pPr>
        <w:rPr>
          <w:sz w:val="24"/>
          <w:szCs w:val="22"/>
        </w:rPr>
      </w:pPr>
      <w:r w:rsidRPr="00375F45">
        <w:rPr>
          <w:sz w:val="24"/>
          <w:szCs w:val="22"/>
        </w:rPr>
        <w:t>It was stated in the speech of Finance Minister that “Our current structure of indirect taxes is driven by a multiplicity of taxes- some levied by the Centre and others by the States. Each of these taxes applies to a narrow base both in terms of the economic activity it covers e.g. manufacture, sale, entry, entertainment etc. and the range of goods and services it applies to. While the base for many of these taxes overlaps, each is an island in terms of flow of input credit. The output tax is allowed to be adjusted against tax already paid on inputs only in a few cases. Then, there is a variety of exemptions meant to serve multiple socio-economic objectives. As a consequence, high rates of tax are required to be imposed to generate a given amount of revenue”.</w:t>
      </w:r>
    </w:p>
    <w:p w:rsidR="00375F45" w:rsidRPr="00375F45" w:rsidRDefault="00375F45" w:rsidP="00375F45">
      <w:pPr>
        <w:rPr>
          <w:sz w:val="24"/>
          <w:szCs w:val="22"/>
        </w:rPr>
      </w:pPr>
    </w:p>
    <w:p w:rsidR="00375F45" w:rsidRPr="00375F45" w:rsidRDefault="00375F45" w:rsidP="00375F45">
      <w:pPr>
        <w:rPr>
          <w:sz w:val="24"/>
          <w:szCs w:val="22"/>
        </w:rPr>
      </w:pPr>
      <w:r w:rsidRPr="00375F45">
        <w:rPr>
          <w:sz w:val="24"/>
          <w:szCs w:val="22"/>
        </w:rPr>
        <w:t>Further to the above it was also stated that “The merits of GST are well-known. It will re-distribute the burden of taxation equitably between manufacturing and services bringing about a qualitative change in the tax system. With the minimisation of exemptions, it will broaden the tax base and lower the tax rates. By switching to the destination principle, the distortions will be reduced fostering a common market across the country. The compliance cost will come down and our trade and industry will become more competitive leading to an increase in exports and lower prices for domestic consumers.”</w:t>
      </w:r>
    </w:p>
    <w:p w:rsidR="00375F45" w:rsidRPr="00375F45" w:rsidRDefault="00375F45" w:rsidP="00375F45">
      <w:pPr>
        <w:rPr>
          <w:b/>
          <w:bCs/>
          <w:sz w:val="24"/>
          <w:szCs w:val="22"/>
          <w:u w:val="single"/>
        </w:rPr>
      </w:pPr>
      <w:r w:rsidRPr="00375F45">
        <w:rPr>
          <w:b/>
          <w:bCs/>
          <w:sz w:val="24"/>
          <w:szCs w:val="22"/>
          <w:u w:val="single"/>
        </w:rPr>
        <w:t>Issuance of GST First Discussion Paper:-</w:t>
      </w:r>
    </w:p>
    <w:p w:rsidR="00375F45" w:rsidRPr="00375F45" w:rsidRDefault="00375F45" w:rsidP="00375F45">
      <w:pPr>
        <w:rPr>
          <w:sz w:val="24"/>
          <w:szCs w:val="22"/>
        </w:rPr>
      </w:pPr>
      <w:r w:rsidRPr="00375F45">
        <w:rPr>
          <w:sz w:val="24"/>
          <w:szCs w:val="22"/>
        </w:rPr>
        <w:t xml:space="preserve">The announcement was first made in 2006 by the UPA Government to launch a comprehensive GST in the country by the 1 </w:t>
      </w:r>
      <w:proofErr w:type="spellStart"/>
      <w:r w:rsidRPr="00375F45">
        <w:rPr>
          <w:sz w:val="24"/>
          <w:szCs w:val="22"/>
        </w:rPr>
        <w:t>st</w:t>
      </w:r>
      <w:proofErr w:type="spellEnd"/>
      <w:r w:rsidRPr="00375F45">
        <w:rPr>
          <w:sz w:val="24"/>
          <w:szCs w:val="22"/>
        </w:rPr>
        <w:t xml:space="preserve"> of April, 2010 and in continuation to its efforts for the implementation of GST from </w:t>
      </w:r>
      <w:proofErr w:type="gramStart"/>
      <w:r w:rsidRPr="00375F45">
        <w:rPr>
          <w:sz w:val="24"/>
          <w:szCs w:val="22"/>
        </w:rPr>
        <w:t>01.04.2010 ,</w:t>
      </w:r>
      <w:proofErr w:type="gramEnd"/>
      <w:r w:rsidRPr="00375F45">
        <w:rPr>
          <w:sz w:val="24"/>
          <w:szCs w:val="22"/>
        </w:rPr>
        <w:t xml:space="preserve"> The Empowered Committee of State Finance Ministers issued the Fist Discussion Paper on Goods and Service Tax in India on 10th Nov 2009 which brings clarity on many issues.</w:t>
      </w:r>
    </w:p>
    <w:p w:rsidR="00375F45" w:rsidRPr="00375F45" w:rsidRDefault="00375F45" w:rsidP="00375F45">
      <w:pPr>
        <w:rPr>
          <w:b/>
          <w:bCs/>
          <w:sz w:val="24"/>
          <w:szCs w:val="22"/>
        </w:rPr>
      </w:pPr>
      <w:r w:rsidRPr="00375F45">
        <w:rPr>
          <w:b/>
          <w:bCs/>
          <w:sz w:val="24"/>
          <w:szCs w:val="22"/>
        </w:rPr>
        <w:t xml:space="preserve">The highlights of the Discussion Paper are as below:- </w:t>
      </w:r>
    </w:p>
    <w:p w:rsidR="00375F45" w:rsidRPr="00375F45" w:rsidRDefault="00375F45" w:rsidP="00375F45">
      <w:pPr>
        <w:rPr>
          <w:b/>
          <w:bCs/>
          <w:sz w:val="24"/>
          <w:szCs w:val="22"/>
          <w:u w:val="single"/>
        </w:rPr>
      </w:pPr>
      <w:r w:rsidRPr="00375F45">
        <w:rPr>
          <w:b/>
          <w:bCs/>
          <w:sz w:val="24"/>
          <w:szCs w:val="22"/>
          <w:u w:val="single"/>
        </w:rPr>
        <w:lastRenderedPageBreak/>
        <w:t xml:space="preserve">Divisions/Sections:- </w:t>
      </w:r>
    </w:p>
    <w:p w:rsidR="00375F45" w:rsidRPr="000106DF" w:rsidRDefault="00375F45" w:rsidP="000106DF">
      <w:pPr>
        <w:pStyle w:val="ListParagraph"/>
        <w:numPr>
          <w:ilvl w:val="0"/>
          <w:numId w:val="2"/>
        </w:numPr>
        <w:rPr>
          <w:sz w:val="24"/>
          <w:szCs w:val="22"/>
        </w:rPr>
      </w:pPr>
      <w:r w:rsidRPr="000106DF">
        <w:rPr>
          <w:sz w:val="24"/>
          <w:szCs w:val="22"/>
        </w:rPr>
        <w:t>The Discussion Paper is divided into 4 sections,</w:t>
      </w:r>
    </w:p>
    <w:p w:rsidR="000106DF" w:rsidRDefault="00375F45" w:rsidP="000106DF">
      <w:pPr>
        <w:pStyle w:val="ListParagraph"/>
        <w:numPr>
          <w:ilvl w:val="0"/>
          <w:numId w:val="4"/>
        </w:numPr>
        <w:rPr>
          <w:sz w:val="24"/>
          <w:szCs w:val="22"/>
        </w:rPr>
      </w:pPr>
      <w:r w:rsidRPr="000106DF">
        <w:rPr>
          <w:sz w:val="24"/>
          <w:szCs w:val="22"/>
        </w:rPr>
        <w:t xml:space="preserve">Introduction of VAT at centre and States </w:t>
      </w:r>
    </w:p>
    <w:p w:rsidR="000106DF" w:rsidRDefault="00375F45" w:rsidP="000106DF">
      <w:pPr>
        <w:pStyle w:val="ListParagraph"/>
        <w:numPr>
          <w:ilvl w:val="0"/>
          <w:numId w:val="4"/>
        </w:numPr>
        <w:rPr>
          <w:sz w:val="24"/>
          <w:szCs w:val="22"/>
        </w:rPr>
      </w:pPr>
      <w:r w:rsidRPr="000106DF">
        <w:rPr>
          <w:sz w:val="24"/>
          <w:szCs w:val="22"/>
        </w:rPr>
        <w:t xml:space="preserve">Preparation of GST, </w:t>
      </w:r>
    </w:p>
    <w:p w:rsidR="000106DF" w:rsidRDefault="00375F45" w:rsidP="000106DF">
      <w:pPr>
        <w:pStyle w:val="ListParagraph"/>
        <w:numPr>
          <w:ilvl w:val="0"/>
          <w:numId w:val="4"/>
        </w:numPr>
        <w:rPr>
          <w:sz w:val="24"/>
          <w:szCs w:val="22"/>
        </w:rPr>
      </w:pPr>
      <w:r w:rsidRPr="000106DF">
        <w:rPr>
          <w:sz w:val="24"/>
          <w:szCs w:val="22"/>
        </w:rPr>
        <w:t xml:space="preserve">Goods and Service tax Model for India </w:t>
      </w:r>
    </w:p>
    <w:p w:rsidR="00375F45" w:rsidRPr="000106DF" w:rsidRDefault="00375F45" w:rsidP="000106DF">
      <w:pPr>
        <w:pStyle w:val="ListParagraph"/>
        <w:numPr>
          <w:ilvl w:val="0"/>
          <w:numId w:val="4"/>
        </w:numPr>
        <w:rPr>
          <w:sz w:val="24"/>
          <w:szCs w:val="22"/>
        </w:rPr>
      </w:pPr>
      <w:r w:rsidRPr="000106DF">
        <w:rPr>
          <w:sz w:val="24"/>
          <w:szCs w:val="22"/>
        </w:rPr>
        <w:t xml:space="preserve">Annexure for frequently asked questions and answers on GST. </w:t>
      </w:r>
    </w:p>
    <w:p w:rsidR="00375F45" w:rsidRPr="00375F45" w:rsidRDefault="00375F45" w:rsidP="00375F45">
      <w:pPr>
        <w:rPr>
          <w:b/>
          <w:bCs/>
          <w:sz w:val="24"/>
          <w:szCs w:val="22"/>
          <w:u w:val="single"/>
        </w:rPr>
      </w:pPr>
      <w:r w:rsidRPr="00375F45">
        <w:rPr>
          <w:b/>
          <w:bCs/>
          <w:sz w:val="24"/>
          <w:szCs w:val="22"/>
          <w:u w:val="single"/>
        </w:rPr>
        <w:t xml:space="preserve">Formation of Committee:- </w:t>
      </w:r>
    </w:p>
    <w:p w:rsidR="00375F45" w:rsidRPr="000106DF" w:rsidRDefault="00375F45" w:rsidP="000106DF">
      <w:pPr>
        <w:pStyle w:val="ListParagraph"/>
        <w:numPr>
          <w:ilvl w:val="0"/>
          <w:numId w:val="2"/>
        </w:numPr>
        <w:rPr>
          <w:sz w:val="24"/>
          <w:szCs w:val="22"/>
        </w:rPr>
      </w:pPr>
      <w:r w:rsidRPr="000106DF">
        <w:rPr>
          <w:sz w:val="24"/>
          <w:szCs w:val="22"/>
        </w:rPr>
        <w:t>For preparing the Road Map and introduction of GST, The Empowered Committee of State finance Ministers had set up a Joint Working Group which has the Advisor to Union Finance Minister, Member-Secretary of Empowered Committee as Co-convenors and the concerned Joint Secretaries of the Department of Revenue of Union Finance Ministry and all Finance Secretaries of the States as its members.</w:t>
      </w:r>
    </w:p>
    <w:p w:rsidR="00375F45" w:rsidRPr="000106DF" w:rsidRDefault="00375F45" w:rsidP="00375F45">
      <w:pPr>
        <w:rPr>
          <w:b/>
          <w:bCs/>
          <w:sz w:val="24"/>
          <w:szCs w:val="22"/>
          <w:u w:val="single"/>
        </w:rPr>
      </w:pPr>
      <w:r w:rsidRPr="000106DF">
        <w:rPr>
          <w:b/>
          <w:bCs/>
          <w:sz w:val="24"/>
          <w:szCs w:val="22"/>
          <w:u w:val="single"/>
        </w:rPr>
        <w:t>Justification for introducing GST:-</w:t>
      </w:r>
    </w:p>
    <w:p w:rsidR="00375F45" w:rsidRPr="000106DF" w:rsidRDefault="00375F45" w:rsidP="000106DF">
      <w:pPr>
        <w:pStyle w:val="ListParagraph"/>
        <w:numPr>
          <w:ilvl w:val="0"/>
          <w:numId w:val="2"/>
        </w:numPr>
        <w:rPr>
          <w:sz w:val="24"/>
          <w:szCs w:val="22"/>
        </w:rPr>
      </w:pPr>
      <w:r w:rsidRPr="000106DF">
        <w:rPr>
          <w:sz w:val="24"/>
          <w:szCs w:val="22"/>
        </w:rPr>
        <w:t xml:space="preserve">The Discussion paper states that CENVAT/VAT was introduced to reduce the cascading effect of tax .i.e. tax on tax, by way of giving setoff of input tax and tax paid on previous purchases against the payment of output tax liability. </w:t>
      </w:r>
    </w:p>
    <w:p w:rsidR="00375F45" w:rsidRPr="000106DF" w:rsidRDefault="00375F45" w:rsidP="000106DF">
      <w:pPr>
        <w:pStyle w:val="ListParagraph"/>
        <w:numPr>
          <w:ilvl w:val="0"/>
          <w:numId w:val="2"/>
        </w:numPr>
        <w:rPr>
          <w:sz w:val="24"/>
          <w:szCs w:val="22"/>
        </w:rPr>
      </w:pPr>
      <w:r w:rsidRPr="000106DF">
        <w:rPr>
          <w:sz w:val="24"/>
          <w:szCs w:val="22"/>
        </w:rPr>
        <w:t xml:space="preserve">However in order to overcome the deficiencies of CENVAT/VAT system and for giving the complete benefit of input tax to ultimate </w:t>
      </w:r>
      <w:proofErr w:type="gramStart"/>
      <w:r w:rsidRPr="000106DF">
        <w:rPr>
          <w:sz w:val="24"/>
          <w:szCs w:val="22"/>
        </w:rPr>
        <w:t>user ,</w:t>
      </w:r>
      <w:proofErr w:type="gramEnd"/>
      <w:r w:rsidRPr="000106DF">
        <w:rPr>
          <w:sz w:val="24"/>
          <w:szCs w:val="22"/>
        </w:rPr>
        <w:t xml:space="preserve"> the GST is proposed to be implemented. It was also stated that for these beneficial effects, VAT has now been introduced in more than 150 countries, including several federal countries.</w:t>
      </w:r>
    </w:p>
    <w:p w:rsidR="00375F45" w:rsidRPr="00375F45" w:rsidRDefault="00375F45" w:rsidP="000106DF">
      <w:pPr>
        <w:ind w:left="2880" w:firstLine="720"/>
        <w:rPr>
          <w:b/>
          <w:bCs/>
          <w:sz w:val="24"/>
          <w:szCs w:val="22"/>
          <w:u w:val="single"/>
        </w:rPr>
      </w:pPr>
      <w:r w:rsidRPr="00375F45">
        <w:rPr>
          <w:b/>
          <w:bCs/>
          <w:sz w:val="24"/>
          <w:szCs w:val="22"/>
          <w:u w:val="single"/>
        </w:rPr>
        <w:t>Salient Features</w:t>
      </w:r>
    </w:p>
    <w:p w:rsidR="00375F45" w:rsidRPr="00375F45" w:rsidRDefault="00375F45" w:rsidP="00375F45">
      <w:pPr>
        <w:rPr>
          <w:b/>
          <w:bCs/>
          <w:sz w:val="24"/>
          <w:szCs w:val="22"/>
          <w:u w:val="single"/>
        </w:rPr>
      </w:pPr>
      <w:r w:rsidRPr="00375F45">
        <w:rPr>
          <w:b/>
          <w:bCs/>
          <w:sz w:val="24"/>
          <w:szCs w:val="22"/>
          <w:u w:val="single"/>
        </w:rPr>
        <w:t>Tax Structure:-</w:t>
      </w:r>
    </w:p>
    <w:p w:rsidR="00375F45" w:rsidRPr="000106DF" w:rsidRDefault="00375F45" w:rsidP="000106DF">
      <w:pPr>
        <w:pStyle w:val="ListParagraph"/>
        <w:numPr>
          <w:ilvl w:val="0"/>
          <w:numId w:val="2"/>
        </w:numPr>
        <w:rPr>
          <w:sz w:val="24"/>
          <w:szCs w:val="22"/>
        </w:rPr>
      </w:pPr>
      <w:r w:rsidRPr="000106DF">
        <w:rPr>
          <w:sz w:val="24"/>
          <w:szCs w:val="22"/>
        </w:rPr>
        <w:t xml:space="preserve">The dual GST structure with defined functions and responsibilities of the Centre and the States is recommended. </w:t>
      </w:r>
    </w:p>
    <w:p w:rsidR="00375F45" w:rsidRPr="000106DF" w:rsidRDefault="00375F45" w:rsidP="000106DF">
      <w:pPr>
        <w:pStyle w:val="ListParagraph"/>
        <w:numPr>
          <w:ilvl w:val="0"/>
          <w:numId w:val="2"/>
        </w:numPr>
        <w:rPr>
          <w:sz w:val="24"/>
          <w:szCs w:val="22"/>
        </w:rPr>
      </w:pPr>
      <w:r w:rsidRPr="000106DF">
        <w:rPr>
          <w:sz w:val="24"/>
          <w:szCs w:val="22"/>
        </w:rPr>
        <w:t xml:space="preserve">Under dual GST, one levied by the Centre (referred to as Central GST), and the other </w:t>
      </w:r>
      <w:proofErr w:type="gramStart"/>
      <w:r w:rsidRPr="000106DF">
        <w:rPr>
          <w:sz w:val="24"/>
          <w:szCs w:val="22"/>
        </w:rPr>
        <w:t>levied</w:t>
      </w:r>
      <w:proofErr w:type="gramEnd"/>
      <w:r w:rsidRPr="000106DF">
        <w:rPr>
          <w:sz w:val="24"/>
          <w:szCs w:val="22"/>
        </w:rPr>
        <w:t xml:space="preserve"> by the States (referred to as State GST). However, the basic features of law such as chargeability, definition of taxable event and taxable person, measure of levy including valuation provisions, basis of classification etc. would be uniform across these statutes as far as practicable.</w:t>
      </w:r>
    </w:p>
    <w:p w:rsidR="00375F45" w:rsidRPr="00375F45" w:rsidRDefault="00375F45" w:rsidP="00375F45">
      <w:pPr>
        <w:rPr>
          <w:b/>
          <w:bCs/>
          <w:sz w:val="24"/>
          <w:szCs w:val="22"/>
          <w:u w:val="single"/>
        </w:rPr>
      </w:pPr>
      <w:r w:rsidRPr="00375F45">
        <w:rPr>
          <w:b/>
          <w:bCs/>
          <w:sz w:val="24"/>
          <w:szCs w:val="22"/>
          <w:u w:val="single"/>
        </w:rPr>
        <w:t xml:space="preserve">Applicability of GST:- </w:t>
      </w:r>
    </w:p>
    <w:p w:rsidR="00375F45" w:rsidRPr="000106DF" w:rsidRDefault="00375F45" w:rsidP="000106DF">
      <w:pPr>
        <w:pStyle w:val="ListParagraph"/>
        <w:numPr>
          <w:ilvl w:val="0"/>
          <w:numId w:val="2"/>
        </w:numPr>
        <w:rPr>
          <w:sz w:val="24"/>
          <w:szCs w:val="22"/>
        </w:rPr>
      </w:pPr>
      <w:r w:rsidRPr="000106DF">
        <w:rPr>
          <w:sz w:val="24"/>
          <w:szCs w:val="22"/>
        </w:rPr>
        <w:t xml:space="preserve">The Central GST and the State GST would be applicable to all transactions of goods and services made for a consideration except the exempted goods and </w:t>
      </w:r>
      <w:proofErr w:type="gramStart"/>
      <w:r w:rsidRPr="000106DF">
        <w:rPr>
          <w:sz w:val="24"/>
          <w:szCs w:val="22"/>
        </w:rPr>
        <w:t>services ,</w:t>
      </w:r>
      <w:proofErr w:type="gramEnd"/>
      <w:r w:rsidRPr="000106DF">
        <w:rPr>
          <w:sz w:val="24"/>
          <w:szCs w:val="22"/>
        </w:rPr>
        <w:t xml:space="preserve"> goods which are outside the purview of GST and the transactions which are below the prescribed threshold limits.</w:t>
      </w:r>
    </w:p>
    <w:p w:rsidR="00375F45" w:rsidRPr="00375F45" w:rsidRDefault="00375F45" w:rsidP="00375F45">
      <w:pPr>
        <w:rPr>
          <w:b/>
          <w:bCs/>
          <w:sz w:val="24"/>
          <w:szCs w:val="22"/>
          <w:u w:val="single"/>
        </w:rPr>
      </w:pPr>
      <w:r w:rsidRPr="00375F45">
        <w:rPr>
          <w:b/>
          <w:bCs/>
          <w:sz w:val="24"/>
          <w:szCs w:val="22"/>
          <w:u w:val="single"/>
        </w:rPr>
        <w:t xml:space="preserve">Payment of GST:- </w:t>
      </w:r>
    </w:p>
    <w:p w:rsidR="00375F45" w:rsidRPr="000106DF" w:rsidRDefault="00375F45" w:rsidP="000106DF">
      <w:pPr>
        <w:pStyle w:val="ListParagraph"/>
        <w:numPr>
          <w:ilvl w:val="0"/>
          <w:numId w:val="2"/>
        </w:numPr>
        <w:rPr>
          <w:sz w:val="24"/>
          <w:szCs w:val="22"/>
        </w:rPr>
      </w:pPr>
      <w:r w:rsidRPr="000106DF">
        <w:rPr>
          <w:sz w:val="24"/>
          <w:szCs w:val="22"/>
        </w:rPr>
        <w:lastRenderedPageBreak/>
        <w:t>The Central GST and State GST are to be paid to the accounts of the Centre and the States separately.</w:t>
      </w:r>
    </w:p>
    <w:p w:rsidR="00375F45" w:rsidRPr="00375F45" w:rsidRDefault="00375F45" w:rsidP="00375F45">
      <w:pPr>
        <w:rPr>
          <w:b/>
          <w:bCs/>
          <w:sz w:val="24"/>
          <w:szCs w:val="22"/>
          <w:u w:val="single"/>
        </w:rPr>
      </w:pPr>
      <w:r w:rsidRPr="00375F45">
        <w:rPr>
          <w:b/>
          <w:bCs/>
          <w:sz w:val="24"/>
          <w:szCs w:val="22"/>
          <w:u w:val="single"/>
        </w:rPr>
        <w:t>Setoff of GST:-</w:t>
      </w:r>
    </w:p>
    <w:p w:rsidR="00375F45" w:rsidRPr="000106DF" w:rsidRDefault="00375F45" w:rsidP="000106DF">
      <w:pPr>
        <w:pStyle w:val="ListParagraph"/>
        <w:numPr>
          <w:ilvl w:val="0"/>
          <w:numId w:val="2"/>
        </w:numPr>
        <w:rPr>
          <w:sz w:val="24"/>
          <w:szCs w:val="22"/>
        </w:rPr>
      </w:pPr>
      <w:r w:rsidRPr="000106DF">
        <w:rPr>
          <w:sz w:val="24"/>
          <w:szCs w:val="22"/>
        </w:rPr>
        <w:t xml:space="preserve">Taxes paid against the Central GST shall be allowed to be taken as input tax credit (ITC) for the Central GST and could be utilized only against the payment of Central GST. The same principle will be applicable for the State GST. A taxpayer or exporter </w:t>
      </w:r>
      <w:proofErr w:type="gramStart"/>
      <w:r w:rsidRPr="000106DF">
        <w:rPr>
          <w:sz w:val="24"/>
          <w:szCs w:val="22"/>
        </w:rPr>
        <w:t>would</w:t>
      </w:r>
      <w:proofErr w:type="gramEnd"/>
      <w:r w:rsidRPr="000106DF">
        <w:rPr>
          <w:sz w:val="24"/>
          <w:szCs w:val="22"/>
        </w:rPr>
        <w:t xml:space="preserve"> have to maintain separate details in books of account for utilization or refund of credit. Further, the rules for taking and utilization of credit for the Central GST and the State GST would be aligned.</w:t>
      </w:r>
    </w:p>
    <w:p w:rsidR="00375F45" w:rsidRPr="00375F45" w:rsidRDefault="00375F45" w:rsidP="00375F45">
      <w:pPr>
        <w:rPr>
          <w:b/>
          <w:bCs/>
          <w:sz w:val="24"/>
          <w:szCs w:val="22"/>
          <w:u w:val="single"/>
        </w:rPr>
      </w:pPr>
      <w:r w:rsidRPr="00375F45">
        <w:rPr>
          <w:b/>
          <w:bCs/>
          <w:sz w:val="24"/>
          <w:szCs w:val="22"/>
          <w:u w:val="single"/>
        </w:rPr>
        <w:t xml:space="preserve">Cross Utilisation of GST:- </w:t>
      </w:r>
    </w:p>
    <w:p w:rsidR="00375F45" w:rsidRPr="000106DF" w:rsidRDefault="00375F45" w:rsidP="000106DF">
      <w:pPr>
        <w:pStyle w:val="ListParagraph"/>
        <w:numPr>
          <w:ilvl w:val="0"/>
          <w:numId w:val="2"/>
        </w:numPr>
        <w:rPr>
          <w:sz w:val="24"/>
          <w:szCs w:val="22"/>
        </w:rPr>
      </w:pPr>
      <w:r w:rsidRPr="000106DF">
        <w:rPr>
          <w:sz w:val="24"/>
          <w:szCs w:val="22"/>
        </w:rPr>
        <w:t>Cross utilization of ITC between the Central GST and the State GST would not be allowed except in the case of inter-State supply of goods and services under the Integrated Goods and Service Tax (IGST) model.</w:t>
      </w:r>
    </w:p>
    <w:p w:rsidR="00375F45" w:rsidRPr="00375F45" w:rsidRDefault="00375F45" w:rsidP="00375F45">
      <w:pPr>
        <w:rPr>
          <w:b/>
          <w:bCs/>
          <w:sz w:val="24"/>
          <w:szCs w:val="22"/>
          <w:u w:val="single"/>
        </w:rPr>
      </w:pPr>
      <w:r w:rsidRPr="00375F45">
        <w:rPr>
          <w:b/>
          <w:bCs/>
          <w:sz w:val="24"/>
          <w:szCs w:val="22"/>
          <w:u w:val="single"/>
        </w:rPr>
        <w:t>Threshold Limit:-</w:t>
      </w:r>
    </w:p>
    <w:p w:rsidR="00375F45" w:rsidRPr="000106DF" w:rsidRDefault="00375F45" w:rsidP="000106DF">
      <w:pPr>
        <w:pStyle w:val="ListParagraph"/>
        <w:numPr>
          <w:ilvl w:val="0"/>
          <w:numId w:val="2"/>
        </w:numPr>
        <w:rPr>
          <w:sz w:val="24"/>
          <w:szCs w:val="22"/>
        </w:rPr>
      </w:pPr>
      <w:r w:rsidRPr="000106DF">
        <w:rPr>
          <w:sz w:val="24"/>
          <w:szCs w:val="22"/>
        </w:rPr>
        <w:t xml:space="preserve">Not like to prevalent threshold limit which is different in every state, a uniform State GST threshold across States is desirable and, therefore, it is considered that a threshold of gross annual turnover of Rs.10 </w:t>
      </w:r>
      <w:proofErr w:type="spellStart"/>
      <w:r w:rsidRPr="000106DF">
        <w:rPr>
          <w:sz w:val="24"/>
          <w:szCs w:val="22"/>
        </w:rPr>
        <w:t>lakh</w:t>
      </w:r>
      <w:proofErr w:type="spellEnd"/>
      <w:r w:rsidRPr="000106DF">
        <w:rPr>
          <w:sz w:val="24"/>
          <w:szCs w:val="22"/>
        </w:rPr>
        <w:t xml:space="preserve"> both for goods and services for all the States and Union Territories may be adopted.</w:t>
      </w:r>
    </w:p>
    <w:p w:rsidR="00375F45" w:rsidRPr="00375F45" w:rsidRDefault="00375F45" w:rsidP="00375F45">
      <w:pPr>
        <w:rPr>
          <w:sz w:val="24"/>
          <w:szCs w:val="22"/>
        </w:rPr>
      </w:pPr>
    </w:p>
    <w:p w:rsidR="00375F45" w:rsidRPr="00375F45" w:rsidRDefault="00375F45" w:rsidP="000106DF">
      <w:pPr>
        <w:ind w:left="360"/>
        <w:rPr>
          <w:sz w:val="24"/>
          <w:szCs w:val="22"/>
        </w:rPr>
      </w:pPr>
      <w:r w:rsidRPr="00375F45">
        <w:rPr>
          <w:sz w:val="24"/>
          <w:szCs w:val="22"/>
        </w:rPr>
        <w:t xml:space="preserve">On the similar lines threshold for Central GST for goods may be kept at Rs.1.5 </w:t>
      </w:r>
      <w:proofErr w:type="spellStart"/>
      <w:r w:rsidRPr="00375F45">
        <w:rPr>
          <w:sz w:val="24"/>
          <w:szCs w:val="22"/>
        </w:rPr>
        <w:t>crore</w:t>
      </w:r>
      <w:proofErr w:type="spellEnd"/>
      <w:r w:rsidRPr="00375F45">
        <w:rPr>
          <w:sz w:val="24"/>
          <w:szCs w:val="22"/>
        </w:rPr>
        <w:t xml:space="preserve"> and the threshold for Central GST for services may also be appropriately high.</w:t>
      </w:r>
    </w:p>
    <w:p w:rsidR="00375F45" w:rsidRPr="00375F45" w:rsidRDefault="00375F45" w:rsidP="00375F45">
      <w:pPr>
        <w:rPr>
          <w:b/>
          <w:bCs/>
          <w:sz w:val="24"/>
          <w:szCs w:val="22"/>
          <w:u w:val="single"/>
        </w:rPr>
      </w:pPr>
      <w:r w:rsidRPr="00375F45">
        <w:rPr>
          <w:b/>
          <w:bCs/>
          <w:sz w:val="24"/>
          <w:szCs w:val="22"/>
          <w:u w:val="single"/>
        </w:rPr>
        <w:t xml:space="preserve">Composition/Compounding Scheme:- </w:t>
      </w:r>
    </w:p>
    <w:p w:rsidR="00375F45" w:rsidRPr="000106DF" w:rsidRDefault="00375F45" w:rsidP="000106DF">
      <w:pPr>
        <w:pStyle w:val="ListParagraph"/>
        <w:numPr>
          <w:ilvl w:val="0"/>
          <w:numId w:val="2"/>
        </w:numPr>
        <w:rPr>
          <w:sz w:val="24"/>
          <w:szCs w:val="22"/>
        </w:rPr>
      </w:pPr>
      <w:r w:rsidRPr="000106DF">
        <w:rPr>
          <w:sz w:val="24"/>
          <w:szCs w:val="22"/>
        </w:rPr>
        <w:t xml:space="preserve">The Composition/ Compounding Scheme for the purpose of GST should have an upper ceiling on gross annual turnover and a floor tax rate with respect to gross annual turnover. It is proposed that there would be a compounding cut-off at Rs. 50 </w:t>
      </w:r>
      <w:proofErr w:type="spellStart"/>
      <w:r w:rsidRPr="000106DF">
        <w:rPr>
          <w:sz w:val="24"/>
          <w:szCs w:val="22"/>
        </w:rPr>
        <w:t>lakh</w:t>
      </w:r>
      <w:proofErr w:type="spellEnd"/>
      <w:r w:rsidRPr="000106DF">
        <w:rPr>
          <w:sz w:val="24"/>
          <w:szCs w:val="22"/>
        </w:rPr>
        <w:t xml:space="preserve"> of gross annual </w:t>
      </w:r>
      <w:proofErr w:type="spellStart"/>
      <w:r w:rsidRPr="000106DF">
        <w:rPr>
          <w:sz w:val="24"/>
          <w:szCs w:val="22"/>
        </w:rPr>
        <w:t>turn over</w:t>
      </w:r>
      <w:proofErr w:type="spellEnd"/>
      <w:r w:rsidRPr="000106DF">
        <w:rPr>
          <w:sz w:val="24"/>
          <w:szCs w:val="22"/>
        </w:rPr>
        <w:t xml:space="preserve"> and a floor rate of 0.5% across the States. The scheme would also allow option for GST registration for dealers with turnover below the </w:t>
      </w:r>
      <w:proofErr w:type="gramStart"/>
      <w:r w:rsidRPr="000106DF">
        <w:rPr>
          <w:sz w:val="24"/>
          <w:szCs w:val="22"/>
        </w:rPr>
        <w:t>compounding</w:t>
      </w:r>
      <w:proofErr w:type="gramEnd"/>
      <w:r w:rsidRPr="000106DF">
        <w:rPr>
          <w:sz w:val="24"/>
          <w:szCs w:val="22"/>
        </w:rPr>
        <w:t xml:space="preserve"> cut-off.</w:t>
      </w:r>
    </w:p>
    <w:p w:rsidR="00375F45" w:rsidRPr="00375F45" w:rsidRDefault="00375F45" w:rsidP="00375F45">
      <w:pPr>
        <w:rPr>
          <w:b/>
          <w:bCs/>
          <w:sz w:val="24"/>
          <w:szCs w:val="22"/>
          <w:u w:val="single"/>
        </w:rPr>
      </w:pPr>
      <w:r w:rsidRPr="00375F45">
        <w:rPr>
          <w:b/>
          <w:bCs/>
          <w:sz w:val="24"/>
          <w:szCs w:val="22"/>
          <w:u w:val="single"/>
        </w:rPr>
        <w:t xml:space="preserve">Returns:- </w:t>
      </w:r>
    </w:p>
    <w:p w:rsidR="00375F45" w:rsidRPr="000106DF" w:rsidRDefault="00375F45" w:rsidP="000106DF">
      <w:pPr>
        <w:pStyle w:val="ListParagraph"/>
        <w:numPr>
          <w:ilvl w:val="0"/>
          <w:numId w:val="2"/>
        </w:numPr>
        <w:rPr>
          <w:sz w:val="24"/>
          <w:szCs w:val="22"/>
        </w:rPr>
      </w:pPr>
      <w:r w:rsidRPr="000106DF">
        <w:rPr>
          <w:sz w:val="24"/>
          <w:szCs w:val="22"/>
        </w:rPr>
        <w:t xml:space="preserve">The taxpayer would need to submit periodical returns, in common format as far as possible, to both the Central GST authority and to the concerned State GST </w:t>
      </w:r>
      <w:proofErr w:type="gramStart"/>
      <w:r w:rsidRPr="000106DF">
        <w:rPr>
          <w:sz w:val="24"/>
          <w:szCs w:val="22"/>
        </w:rPr>
        <w:t>authorities</w:t>
      </w:r>
      <w:proofErr w:type="gramEnd"/>
      <w:r w:rsidRPr="000106DF">
        <w:rPr>
          <w:sz w:val="24"/>
          <w:szCs w:val="22"/>
        </w:rPr>
        <w:t>.</w:t>
      </w:r>
    </w:p>
    <w:p w:rsidR="00375F45" w:rsidRPr="00375F45" w:rsidRDefault="00375F45" w:rsidP="00375F45">
      <w:pPr>
        <w:rPr>
          <w:b/>
          <w:bCs/>
          <w:sz w:val="24"/>
          <w:szCs w:val="22"/>
          <w:u w:val="single"/>
        </w:rPr>
      </w:pPr>
      <w:r w:rsidRPr="00375F45">
        <w:rPr>
          <w:b/>
          <w:bCs/>
          <w:sz w:val="24"/>
          <w:szCs w:val="22"/>
          <w:u w:val="single"/>
        </w:rPr>
        <w:t xml:space="preserve">PAN based number:- </w:t>
      </w:r>
    </w:p>
    <w:p w:rsidR="00375F45" w:rsidRPr="000106DF" w:rsidRDefault="00375F45" w:rsidP="000106DF">
      <w:pPr>
        <w:pStyle w:val="ListParagraph"/>
        <w:numPr>
          <w:ilvl w:val="0"/>
          <w:numId w:val="2"/>
        </w:numPr>
        <w:rPr>
          <w:sz w:val="24"/>
          <w:szCs w:val="22"/>
        </w:rPr>
      </w:pPr>
      <w:r w:rsidRPr="000106DF">
        <w:rPr>
          <w:sz w:val="24"/>
          <w:szCs w:val="22"/>
        </w:rPr>
        <w:lastRenderedPageBreak/>
        <w:t>Each taxpayer would be allotted a PAN-linked taxpayer identification number with a total of 13/15 digits.</w:t>
      </w:r>
    </w:p>
    <w:p w:rsidR="00375F45" w:rsidRPr="00375F45" w:rsidRDefault="00375F45" w:rsidP="00375F45">
      <w:pPr>
        <w:rPr>
          <w:b/>
          <w:bCs/>
          <w:sz w:val="24"/>
          <w:szCs w:val="22"/>
          <w:u w:val="single"/>
        </w:rPr>
      </w:pPr>
      <w:r w:rsidRPr="00375F45">
        <w:rPr>
          <w:b/>
          <w:bCs/>
          <w:sz w:val="24"/>
          <w:szCs w:val="22"/>
          <w:u w:val="single"/>
        </w:rPr>
        <w:t>Taxes Subsumed:-</w:t>
      </w:r>
    </w:p>
    <w:p w:rsidR="00375F45" w:rsidRPr="000106DF" w:rsidRDefault="00375F45" w:rsidP="000106DF">
      <w:pPr>
        <w:pStyle w:val="ListParagraph"/>
        <w:numPr>
          <w:ilvl w:val="0"/>
          <w:numId w:val="2"/>
        </w:numPr>
        <w:rPr>
          <w:sz w:val="24"/>
          <w:szCs w:val="22"/>
        </w:rPr>
      </w:pPr>
      <w:r w:rsidRPr="000106DF">
        <w:rPr>
          <w:sz w:val="24"/>
          <w:szCs w:val="22"/>
        </w:rPr>
        <w:t xml:space="preserve">Taxes or levies to be subsumed should be primarily in the nature of indirect taxes, either on the supply of goods or on the supply of services. </w:t>
      </w:r>
    </w:p>
    <w:p w:rsidR="00375F45" w:rsidRPr="000106DF" w:rsidRDefault="00375F45" w:rsidP="000106DF">
      <w:pPr>
        <w:pStyle w:val="ListParagraph"/>
        <w:numPr>
          <w:ilvl w:val="0"/>
          <w:numId w:val="2"/>
        </w:numPr>
        <w:rPr>
          <w:sz w:val="24"/>
          <w:szCs w:val="22"/>
        </w:rPr>
      </w:pPr>
      <w:r w:rsidRPr="000106DF">
        <w:rPr>
          <w:sz w:val="24"/>
          <w:szCs w:val="22"/>
        </w:rPr>
        <w:t xml:space="preserve">The taxes, levies and fees that are not specifically related to supply of goods &amp; services should not be subsumed under GST. </w:t>
      </w:r>
    </w:p>
    <w:p w:rsidR="00375F45" w:rsidRPr="000106DF" w:rsidRDefault="00375F45" w:rsidP="000106DF">
      <w:pPr>
        <w:pStyle w:val="ListParagraph"/>
        <w:numPr>
          <w:ilvl w:val="0"/>
          <w:numId w:val="2"/>
        </w:numPr>
        <w:rPr>
          <w:sz w:val="24"/>
          <w:szCs w:val="22"/>
        </w:rPr>
      </w:pPr>
      <w:r w:rsidRPr="000106DF">
        <w:rPr>
          <w:sz w:val="24"/>
          <w:szCs w:val="22"/>
        </w:rPr>
        <w:t>Central Taxes that should be subsumed under the Goods and Services tax are</w:t>
      </w:r>
    </w:p>
    <w:p w:rsidR="00375F45" w:rsidRPr="000106DF" w:rsidRDefault="00375F45" w:rsidP="000106DF">
      <w:pPr>
        <w:pStyle w:val="ListParagraph"/>
        <w:numPr>
          <w:ilvl w:val="0"/>
          <w:numId w:val="11"/>
        </w:numPr>
        <w:spacing w:line="360" w:lineRule="auto"/>
        <w:rPr>
          <w:sz w:val="24"/>
          <w:szCs w:val="22"/>
        </w:rPr>
      </w:pPr>
      <w:r w:rsidRPr="000106DF">
        <w:rPr>
          <w:sz w:val="24"/>
          <w:szCs w:val="22"/>
        </w:rPr>
        <w:t xml:space="preserve">Central Excise Duty </w:t>
      </w:r>
    </w:p>
    <w:p w:rsidR="00375F45" w:rsidRPr="000106DF" w:rsidRDefault="00375F45" w:rsidP="000106DF">
      <w:pPr>
        <w:pStyle w:val="ListParagraph"/>
        <w:numPr>
          <w:ilvl w:val="0"/>
          <w:numId w:val="11"/>
        </w:numPr>
        <w:spacing w:line="360" w:lineRule="auto"/>
        <w:rPr>
          <w:sz w:val="24"/>
          <w:szCs w:val="22"/>
        </w:rPr>
      </w:pPr>
      <w:r w:rsidRPr="000106DF">
        <w:rPr>
          <w:sz w:val="24"/>
          <w:szCs w:val="22"/>
        </w:rPr>
        <w:t xml:space="preserve">Additional Excise Duties </w:t>
      </w:r>
    </w:p>
    <w:p w:rsidR="00375F45" w:rsidRPr="000106DF" w:rsidRDefault="00375F45" w:rsidP="000106DF">
      <w:pPr>
        <w:pStyle w:val="ListParagraph"/>
        <w:numPr>
          <w:ilvl w:val="0"/>
          <w:numId w:val="11"/>
        </w:numPr>
        <w:spacing w:line="360" w:lineRule="auto"/>
        <w:rPr>
          <w:sz w:val="24"/>
          <w:szCs w:val="22"/>
        </w:rPr>
      </w:pPr>
      <w:r w:rsidRPr="000106DF">
        <w:rPr>
          <w:sz w:val="24"/>
          <w:szCs w:val="22"/>
        </w:rPr>
        <w:t xml:space="preserve">The Excise Duty levied under the Medicinal and Toiletries Preparation Act </w:t>
      </w:r>
    </w:p>
    <w:p w:rsidR="00375F45" w:rsidRPr="000106DF" w:rsidRDefault="00375F45" w:rsidP="000106DF">
      <w:pPr>
        <w:pStyle w:val="ListParagraph"/>
        <w:numPr>
          <w:ilvl w:val="0"/>
          <w:numId w:val="11"/>
        </w:numPr>
        <w:spacing w:line="360" w:lineRule="auto"/>
        <w:rPr>
          <w:sz w:val="24"/>
          <w:szCs w:val="22"/>
        </w:rPr>
      </w:pPr>
      <w:r w:rsidRPr="000106DF">
        <w:rPr>
          <w:sz w:val="24"/>
          <w:szCs w:val="22"/>
        </w:rPr>
        <w:t xml:space="preserve">Service Tax </w:t>
      </w:r>
    </w:p>
    <w:p w:rsidR="00375F45" w:rsidRPr="000106DF" w:rsidRDefault="00375F45" w:rsidP="000106DF">
      <w:pPr>
        <w:pStyle w:val="ListParagraph"/>
        <w:numPr>
          <w:ilvl w:val="0"/>
          <w:numId w:val="11"/>
        </w:numPr>
        <w:spacing w:line="360" w:lineRule="auto"/>
        <w:rPr>
          <w:sz w:val="24"/>
          <w:szCs w:val="22"/>
        </w:rPr>
      </w:pPr>
      <w:r w:rsidRPr="000106DF">
        <w:rPr>
          <w:sz w:val="24"/>
          <w:szCs w:val="22"/>
        </w:rPr>
        <w:t xml:space="preserve">Additional Customs Duty, commonly known as Countervailing Duty (CVD) </w:t>
      </w:r>
    </w:p>
    <w:p w:rsidR="00375F45" w:rsidRPr="000106DF" w:rsidRDefault="00375F45" w:rsidP="000106DF">
      <w:pPr>
        <w:pStyle w:val="ListParagraph"/>
        <w:numPr>
          <w:ilvl w:val="0"/>
          <w:numId w:val="11"/>
        </w:numPr>
        <w:spacing w:line="360" w:lineRule="auto"/>
        <w:rPr>
          <w:sz w:val="24"/>
          <w:szCs w:val="22"/>
        </w:rPr>
      </w:pPr>
      <w:r w:rsidRPr="000106DF">
        <w:rPr>
          <w:sz w:val="24"/>
          <w:szCs w:val="22"/>
        </w:rPr>
        <w:t xml:space="preserve">Special Additional Duty of Customs - 4% (SAD) </w:t>
      </w:r>
    </w:p>
    <w:p w:rsidR="00375F45" w:rsidRPr="000106DF" w:rsidRDefault="00375F45" w:rsidP="000106DF">
      <w:pPr>
        <w:pStyle w:val="ListParagraph"/>
        <w:numPr>
          <w:ilvl w:val="0"/>
          <w:numId w:val="11"/>
        </w:numPr>
        <w:spacing w:line="360" w:lineRule="auto"/>
        <w:rPr>
          <w:sz w:val="24"/>
          <w:szCs w:val="22"/>
        </w:rPr>
      </w:pPr>
      <w:proofErr w:type="spellStart"/>
      <w:r w:rsidRPr="000106DF">
        <w:rPr>
          <w:sz w:val="24"/>
          <w:szCs w:val="22"/>
        </w:rPr>
        <w:t>Sucharges</w:t>
      </w:r>
      <w:proofErr w:type="spellEnd"/>
      <w:r w:rsidRPr="000106DF">
        <w:rPr>
          <w:sz w:val="24"/>
          <w:szCs w:val="22"/>
        </w:rPr>
        <w:t xml:space="preserve">, and </w:t>
      </w:r>
    </w:p>
    <w:p w:rsidR="00375F45" w:rsidRPr="000106DF" w:rsidRDefault="00375F45" w:rsidP="000106DF">
      <w:pPr>
        <w:pStyle w:val="ListParagraph"/>
        <w:numPr>
          <w:ilvl w:val="0"/>
          <w:numId w:val="11"/>
        </w:numPr>
        <w:spacing w:line="360" w:lineRule="auto"/>
        <w:rPr>
          <w:sz w:val="24"/>
          <w:szCs w:val="22"/>
        </w:rPr>
      </w:pPr>
      <w:r w:rsidRPr="000106DF">
        <w:rPr>
          <w:sz w:val="24"/>
          <w:szCs w:val="22"/>
        </w:rPr>
        <w:t xml:space="preserve">Cesses. </w:t>
      </w:r>
    </w:p>
    <w:p w:rsidR="000106DF" w:rsidRDefault="000106DF" w:rsidP="000106DF">
      <w:pPr>
        <w:pStyle w:val="ListParagraph"/>
        <w:rPr>
          <w:sz w:val="24"/>
          <w:szCs w:val="22"/>
        </w:rPr>
      </w:pPr>
    </w:p>
    <w:p w:rsidR="00375F45" w:rsidRPr="000106DF" w:rsidRDefault="00375F45" w:rsidP="000106DF">
      <w:pPr>
        <w:pStyle w:val="ListParagraph"/>
        <w:numPr>
          <w:ilvl w:val="0"/>
          <w:numId w:val="2"/>
        </w:numPr>
        <w:rPr>
          <w:sz w:val="24"/>
          <w:szCs w:val="22"/>
        </w:rPr>
      </w:pPr>
      <w:r w:rsidRPr="000106DF">
        <w:rPr>
          <w:sz w:val="24"/>
          <w:szCs w:val="22"/>
        </w:rPr>
        <w:t xml:space="preserve">State taxes that should be subsumed under GST are </w:t>
      </w:r>
    </w:p>
    <w:p w:rsidR="00375F45" w:rsidRPr="000106DF" w:rsidRDefault="00375F45" w:rsidP="000106DF">
      <w:pPr>
        <w:pStyle w:val="ListParagraph"/>
        <w:numPr>
          <w:ilvl w:val="0"/>
          <w:numId w:val="13"/>
        </w:numPr>
        <w:spacing w:line="360" w:lineRule="auto"/>
        <w:rPr>
          <w:sz w:val="24"/>
          <w:szCs w:val="22"/>
        </w:rPr>
      </w:pPr>
      <w:r w:rsidRPr="000106DF">
        <w:rPr>
          <w:sz w:val="24"/>
          <w:szCs w:val="22"/>
        </w:rPr>
        <w:t xml:space="preserve">VAT / Sales tax </w:t>
      </w:r>
    </w:p>
    <w:p w:rsidR="00375F45" w:rsidRPr="000106DF" w:rsidRDefault="00375F45" w:rsidP="000106DF">
      <w:pPr>
        <w:pStyle w:val="ListParagraph"/>
        <w:numPr>
          <w:ilvl w:val="0"/>
          <w:numId w:val="13"/>
        </w:numPr>
        <w:spacing w:line="360" w:lineRule="auto"/>
        <w:rPr>
          <w:sz w:val="24"/>
          <w:szCs w:val="22"/>
        </w:rPr>
      </w:pPr>
      <w:r w:rsidRPr="000106DF">
        <w:rPr>
          <w:sz w:val="24"/>
          <w:szCs w:val="22"/>
        </w:rPr>
        <w:t xml:space="preserve">Entertainment tax (unless it is levied by the local bodies). </w:t>
      </w:r>
    </w:p>
    <w:p w:rsidR="00375F45" w:rsidRPr="000106DF" w:rsidRDefault="00375F45" w:rsidP="000106DF">
      <w:pPr>
        <w:pStyle w:val="ListParagraph"/>
        <w:numPr>
          <w:ilvl w:val="0"/>
          <w:numId w:val="13"/>
        </w:numPr>
        <w:spacing w:line="360" w:lineRule="auto"/>
        <w:rPr>
          <w:sz w:val="24"/>
          <w:szCs w:val="22"/>
        </w:rPr>
      </w:pPr>
      <w:r w:rsidRPr="000106DF">
        <w:rPr>
          <w:sz w:val="24"/>
          <w:szCs w:val="22"/>
        </w:rPr>
        <w:t xml:space="preserve">Luxury tax </w:t>
      </w:r>
    </w:p>
    <w:p w:rsidR="00375F45" w:rsidRPr="000106DF" w:rsidRDefault="00375F45" w:rsidP="000106DF">
      <w:pPr>
        <w:pStyle w:val="ListParagraph"/>
        <w:numPr>
          <w:ilvl w:val="0"/>
          <w:numId w:val="13"/>
        </w:numPr>
        <w:spacing w:line="360" w:lineRule="auto"/>
        <w:rPr>
          <w:sz w:val="24"/>
          <w:szCs w:val="22"/>
        </w:rPr>
      </w:pPr>
      <w:r w:rsidRPr="000106DF">
        <w:rPr>
          <w:sz w:val="24"/>
          <w:szCs w:val="22"/>
        </w:rPr>
        <w:t xml:space="preserve">Taxes on lottery, betting and gambling. </w:t>
      </w:r>
    </w:p>
    <w:p w:rsidR="00375F45" w:rsidRPr="000106DF" w:rsidRDefault="00375F45" w:rsidP="000106DF">
      <w:pPr>
        <w:pStyle w:val="ListParagraph"/>
        <w:numPr>
          <w:ilvl w:val="0"/>
          <w:numId w:val="13"/>
        </w:numPr>
        <w:spacing w:line="360" w:lineRule="auto"/>
        <w:rPr>
          <w:sz w:val="24"/>
          <w:szCs w:val="22"/>
        </w:rPr>
      </w:pPr>
      <w:r w:rsidRPr="000106DF">
        <w:rPr>
          <w:sz w:val="24"/>
          <w:szCs w:val="22"/>
        </w:rPr>
        <w:t xml:space="preserve">State Cesses and Surcharges in so far as they relate to supply of goods and services. </w:t>
      </w:r>
    </w:p>
    <w:p w:rsidR="00375F45" w:rsidRPr="000106DF" w:rsidRDefault="00375F45" w:rsidP="000106DF">
      <w:pPr>
        <w:pStyle w:val="ListParagraph"/>
        <w:numPr>
          <w:ilvl w:val="0"/>
          <w:numId w:val="13"/>
        </w:numPr>
        <w:spacing w:line="360" w:lineRule="auto"/>
        <w:rPr>
          <w:sz w:val="24"/>
          <w:szCs w:val="22"/>
        </w:rPr>
      </w:pPr>
      <w:r w:rsidRPr="000106DF">
        <w:rPr>
          <w:sz w:val="24"/>
          <w:szCs w:val="22"/>
        </w:rPr>
        <w:t xml:space="preserve">Entry tax not in lieu of </w:t>
      </w:r>
      <w:proofErr w:type="spellStart"/>
      <w:r w:rsidRPr="000106DF">
        <w:rPr>
          <w:sz w:val="24"/>
          <w:szCs w:val="22"/>
        </w:rPr>
        <w:t>Octroi</w:t>
      </w:r>
      <w:proofErr w:type="spellEnd"/>
      <w:r w:rsidRPr="000106DF">
        <w:rPr>
          <w:sz w:val="24"/>
          <w:szCs w:val="22"/>
        </w:rPr>
        <w:t xml:space="preserve">. </w:t>
      </w:r>
    </w:p>
    <w:p w:rsidR="00375F45" w:rsidRPr="000106DF" w:rsidRDefault="00375F45" w:rsidP="000106DF">
      <w:pPr>
        <w:pStyle w:val="ListParagraph"/>
        <w:numPr>
          <w:ilvl w:val="0"/>
          <w:numId w:val="2"/>
        </w:numPr>
        <w:rPr>
          <w:sz w:val="24"/>
          <w:szCs w:val="22"/>
        </w:rPr>
      </w:pPr>
      <w:r w:rsidRPr="000106DF">
        <w:rPr>
          <w:sz w:val="24"/>
          <w:szCs w:val="22"/>
        </w:rPr>
        <w:t xml:space="preserve">The purchase Tax will be subsumed if the adequate and continuing compensation has to be provided to States. This issue is being discussed in consultation with the Government of India. </w:t>
      </w:r>
    </w:p>
    <w:p w:rsidR="00375F45" w:rsidRPr="000106DF" w:rsidRDefault="00375F45" w:rsidP="000106DF">
      <w:pPr>
        <w:pStyle w:val="ListParagraph"/>
        <w:numPr>
          <w:ilvl w:val="0"/>
          <w:numId w:val="2"/>
        </w:numPr>
        <w:rPr>
          <w:sz w:val="24"/>
          <w:szCs w:val="22"/>
        </w:rPr>
      </w:pPr>
      <w:r w:rsidRPr="000106DF">
        <w:rPr>
          <w:sz w:val="24"/>
          <w:szCs w:val="22"/>
        </w:rPr>
        <w:t xml:space="preserve">Alcoholic beverages would be kept out of the purview of GST. Sales Tax/VAT can be continued to be levied on alcoholic beverages as per the existing practice. </w:t>
      </w:r>
    </w:p>
    <w:p w:rsidR="00375F45" w:rsidRPr="000106DF" w:rsidRDefault="00375F45" w:rsidP="000106DF">
      <w:pPr>
        <w:pStyle w:val="ListParagraph"/>
        <w:numPr>
          <w:ilvl w:val="0"/>
          <w:numId w:val="2"/>
        </w:numPr>
        <w:rPr>
          <w:sz w:val="24"/>
          <w:szCs w:val="22"/>
        </w:rPr>
      </w:pPr>
      <w:r w:rsidRPr="000106DF">
        <w:rPr>
          <w:sz w:val="24"/>
          <w:szCs w:val="22"/>
        </w:rPr>
        <w:t>Tobacco products would be subjected to GST with ITC</w:t>
      </w:r>
      <w:r w:rsidR="000106DF">
        <w:rPr>
          <w:sz w:val="24"/>
          <w:szCs w:val="22"/>
        </w:rPr>
        <w:t xml:space="preserve"> </w:t>
      </w:r>
      <w:r w:rsidRPr="000106DF">
        <w:rPr>
          <w:sz w:val="24"/>
          <w:szCs w:val="22"/>
        </w:rPr>
        <w:t>(Input Tax Credit). Centre may be allowed to levy excise duty on tobacco products over and above GST without ITC.</w:t>
      </w:r>
    </w:p>
    <w:p w:rsidR="00375F45" w:rsidRPr="00375F45" w:rsidRDefault="00375F45" w:rsidP="00375F45">
      <w:pPr>
        <w:rPr>
          <w:b/>
          <w:bCs/>
          <w:sz w:val="24"/>
          <w:szCs w:val="22"/>
          <w:u w:val="single"/>
        </w:rPr>
      </w:pPr>
      <w:r w:rsidRPr="00375F45">
        <w:rPr>
          <w:b/>
          <w:bCs/>
          <w:sz w:val="24"/>
          <w:szCs w:val="22"/>
          <w:u w:val="single"/>
        </w:rPr>
        <w:t>GST on Interstate Transactions:-</w:t>
      </w:r>
    </w:p>
    <w:p w:rsidR="00375F45" w:rsidRPr="000106DF" w:rsidRDefault="00375F45" w:rsidP="000106DF">
      <w:pPr>
        <w:pStyle w:val="ListParagraph"/>
        <w:numPr>
          <w:ilvl w:val="0"/>
          <w:numId w:val="2"/>
        </w:numPr>
        <w:rPr>
          <w:sz w:val="24"/>
          <w:szCs w:val="22"/>
        </w:rPr>
      </w:pPr>
      <w:r w:rsidRPr="000106DF">
        <w:rPr>
          <w:sz w:val="24"/>
          <w:szCs w:val="22"/>
        </w:rPr>
        <w:lastRenderedPageBreak/>
        <w:t xml:space="preserve">For </w:t>
      </w:r>
      <w:proofErr w:type="spellStart"/>
      <w:r w:rsidRPr="000106DF">
        <w:rPr>
          <w:sz w:val="24"/>
          <w:szCs w:val="22"/>
        </w:rPr>
        <w:t>Inter state</w:t>
      </w:r>
      <w:proofErr w:type="spellEnd"/>
      <w:r w:rsidRPr="000106DF">
        <w:rPr>
          <w:sz w:val="24"/>
          <w:szCs w:val="22"/>
        </w:rPr>
        <w:t xml:space="preserve"> transaction of Goods and Services IGST Model will be </w:t>
      </w:r>
      <w:proofErr w:type="gramStart"/>
      <w:r w:rsidRPr="000106DF">
        <w:rPr>
          <w:sz w:val="24"/>
          <w:szCs w:val="22"/>
        </w:rPr>
        <w:t>applicable .</w:t>
      </w:r>
      <w:proofErr w:type="gramEnd"/>
      <w:r w:rsidRPr="000106DF">
        <w:rPr>
          <w:sz w:val="24"/>
          <w:szCs w:val="22"/>
        </w:rPr>
        <w:t xml:space="preserve"> IGST Model is that Centre would levy IGST which would be CGST plus SGST on all inter-State transactions of taxable goods and services with appropriate provision for </w:t>
      </w:r>
      <w:proofErr w:type="gramStart"/>
      <w:r w:rsidRPr="000106DF">
        <w:rPr>
          <w:sz w:val="24"/>
          <w:szCs w:val="22"/>
        </w:rPr>
        <w:t>consignment</w:t>
      </w:r>
      <w:proofErr w:type="gramEnd"/>
      <w:r w:rsidRPr="000106DF">
        <w:rPr>
          <w:sz w:val="24"/>
          <w:szCs w:val="22"/>
        </w:rPr>
        <w:t xml:space="preserve"> or stock transfer of goods and services. The inter-State seller will pay IGST on value addition after adjusting available credit of IGST, CGST, and SGST on his purchases. The Exporting State will transfer to the Centre the credit of SGST used in payment of IGST. The Importing dealer will claim credit of IGST while discharging his output tax liability in his own State. The Centre will transfer to the importing State the credit of IGST used in payment of SGST.</w:t>
      </w:r>
    </w:p>
    <w:p w:rsidR="00375F45" w:rsidRPr="00375F45" w:rsidRDefault="00375F45" w:rsidP="00375F45">
      <w:pPr>
        <w:rPr>
          <w:b/>
          <w:bCs/>
          <w:sz w:val="24"/>
          <w:szCs w:val="22"/>
          <w:u w:val="single"/>
        </w:rPr>
      </w:pPr>
      <w:r w:rsidRPr="00375F45">
        <w:rPr>
          <w:b/>
          <w:bCs/>
          <w:sz w:val="24"/>
          <w:szCs w:val="22"/>
          <w:u w:val="single"/>
        </w:rPr>
        <w:t>Rate and levy of GST:</w:t>
      </w:r>
    </w:p>
    <w:p w:rsidR="00375F45" w:rsidRPr="000106DF" w:rsidRDefault="00375F45" w:rsidP="000106DF">
      <w:pPr>
        <w:pStyle w:val="ListParagraph"/>
        <w:numPr>
          <w:ilvl w:val="0"/>
          <w:numId w:val="2"/>
        </w:numPr>
        <w:rPr>
          <w:sz w:val="24"/>
          <w:szCs w:val="22"/>
        </w:rPr>
      </w:pPr>
      <w:r w:rsidRPr="000106DF">
        <w:rPr>
          <w:sz w:val="24"/>
          <w:szCs w:val="22"/>
        </w:rPr>
        <w:t xml:space="preserve">The Empowered Committee has decided to adopt a two-rate structure –a lower rate for necessary items and goods of basic importance and a standard rate for goods in </w:t>
      </w:r>
      <w:proofErr w:type="gramStart"/>
      <w:r w:rsidRPr="000106DF">
        <w:rPr>
          <w:sz w:val="24"/>
          <w:szCs w:val="22"/>
        </w:rPr>
        <w:t>general</w:t>
      </w:r>
      <w:proofErr w:type="gramEnd"/>
      <w:r w:rsidRPr="000106DF">
        <w:rPr>
          <w:sz w:val="24"/>
          <w:szCs w:val="22"/>
        </w:rPr>
        <w:t>. There will also be a special rate for precious metals and a list of exempted items.</w:t>
      </w:r>
      <w:r w:rsidRPr="000106DF">
        <w:rPr>
          <w:sz w:val="24"/>
          <w:szCs w:val="22"/>
        </w:rPr>
        <w:cr/>
      </w:r>
    </w:p>
    <w:p w:rsidR="00375F45" w:rsidRPr="00375F45" w:rsidRDefault="00375F45" w:rsidP="000106DF">
      <w:pPr>
        <w:ind w:firstLine="720"/>
        <w:rPr>
          <w:sz w:val="24"/>
          <w:szCs w:val="22"/>
        </w:rPr>
      </w:pPr>
      <w:r w:rsidRPr="00375F45">
        <w:rPr>
          <w:sz w:val="24"/>
          <w:szCs w:val="22"/>
        </w:rPr>
        <w:t xml:space="preserve">Thus the rate would be as under:- </w:t>
      </w:r>
    </w:p>
    <w:p w:rsidR="000106DF" w:rsidRDefault="00375F45" w:rsidP="000106DF">
      <w:pPr>
        <w:pStyle w:val="ListParagraph"/>
        <w:numPr>
          <w:ilvl w:val="0"/>
          <w:numId w:val="15"/>
        </w:numPr>
        <w:spacing w:line="240" w:lineRule="auto"/>
        <w:rPr>
          <w:sz w:val="24"/>
          <w:szCs w:val="22"/>
        </w:rPr>
      </w:pPr>
      <w:r w:rsidRPr="000106DF">
        <w:rPr>
          <w:sz w:val="24"/>
          <w:szCs w:val="22"/>
        </w:rPr>
        <w:t xml:space="preserve">Necessities: Lower Rate </w:t>
      </w:r>
    </w:p>
    <w:p w:rsidR="000106DF" w:rsidRDefault="00375F45" w:rsidP="000106DF">
      <w:pPr>
        <w:pStyle w:val="ListParagraph"/>
        <w:numPr>
          <w:ilvl w:val="0"/>
          <w:numId w:val="15"/>
        </w:numPr>
        <w:spacing w:line="240" w:lineRule="auto"/>
        <w:rPr>
          <w:sz w:val="24"/>
          <w:szCs w:val="22"/>
        </w:rPr>
      </w:pPr>
      <w:r w:rsidRPr="000106DF">
        <w:rPr>
          <w:sz w:val="24"/>
          <w:szCs w:val="22"/>
        </w:rPr>
        <w:t xml:space="preserve"> Goods of basic importance: Standard rate </w:t>
      </w:r>
    </w:p>
    <w:p w:rsidR="000106DF" w:rsidRDefault="00375F45" w:rsidP="000106DF">
      <w:pPr>
        <w:pStyle w:val="ListParagraph"/>
        <w:numPr>
          <w:ilvl w:val="0"/>
          <w:numId w:val="15"/>
        </w:numPr>
        <w:spacing w:line="240" w:lineRule="auto"/>
        <w:rPr>
          <w:sz w:val="24"/>
          <w:szCs w:val="22"/>
        </w:rPr>
      </w:pPr>
      <w:r w:rsidRPr="000106DF">
        <w:rPr>
          <w:sz w:val="24"/>
          <w:szCs w:val="22"/>
        </w:rPr>
        <w:t xml:space="preserve">Precious metal: Special rate </w:t>
      </w:r>
    </w:p>
    <w:p w:rsidR="00375F45" w:rsidRDefault="00375F45" w:rsidP="000106DF">
      <w:pPr>
        <w:pStyle w:val="ListParagraph"/>
        <w:numPr>
          <w:ilvl w:val="0"/>
          <w:numId w:val="15"/>
        </w:numPr>
        <w:spacing w:line="240" w:lineRule="auto"/>
        <w:rPr>
          <w:sz w:val="24"/>
          <w:szCs w:val="22"/>
        </w:rPr>
      </w:pPr>
      <w:r w:rsidRPr="000106DF">
        <w:rPr>
          <w:sz w:val="24"/>
          <w:szCs w:val="22"/>
        </w:rPr>
        <w:t xml:space="preserve">Exempted items: Nile Rate </w:t>
      </w:r>
    </w:p>
    <w:p w:rsidR="000106DF" w:rsidRPr="000106DF" w:rsidRDefault="000106DF" w:rsidP="000106DF">
      <w:pPr>
        <w:pStyle w:val="ListParagraph"/>
        <w:spacing w:line="240" w:lineRule="auto"/>
        <w:ind w:left="1440"/>
        <w:rPr>
          <w:sz w:val="24"/>
          <w:szCs w:val="22"/>
        </w:rPr>
      </w:pPr>
    </w:p>
    <w:p w:rsidR="00375F45" w:rsidRPr="000106DF" w:rsidRDefault="00375F45" w:rsidP="000106DF">
      <w:pPr>
        <w:pStyle w:val="ListParagraph"/>
        <w:numPr>
          <w:ilvl w:val="0"/>
          <w:numId w:val="2"/>
        </w:numPr>
        <w:rPr>
          <w:sz w:val="24"/>
          <w:szCs w:val="22"/>
        </w:rPr>
      </w:pPr>
      <w:r w:rsidRPr="000106DF">
        <w:rPr>
          <w:sz w:val="24"/>
          <w:szCs w:val="22"/>
        </w:rPr>
        <w:t>For taxation of services, there may be a single rate for both CGST and SGST.</w:t>
      </w:r>
    </w:p>
    <w:p w:rsidR="00375F45" w:rsidRPr="00375F45" w:rsidRDefault="00375F45" w:rsidP="00375F45">
      <w:pPr>
        <w:rPr>
          <w:b/>
          <w:bCs/>
          <w:sz w:val="24"/>
          <w:szCs w:val="22"/>
          <w:u w:val="single"/>
        </w:rPr>
      </w:pPr>
      <w:r w:rsidRPr="00375F45">
        <w:rPr>
          <w:b/>
          <w:bCs/>
          <w:sz w:val="24"/>
          <w:szCs w:val="22"/>
          <w:u w:val="single"/>
        </w:rPr>
        <w:t xml:space="preserve">Tax on the export and import of goods and </w:t>
      </w:r>
      <w:proofErr w:type="gramStart"/>
      <w:r w:rsidRPr="00375F45">
        <w:rPr>
          <w:b/>
          <w:bCs/>
          <w:sz w:val="24"/>
          <w:szCs w:val="22"/>
          <w:u w:val="single"/>
        </w:rPr>
        <w:t>services :</w:t>
      </w:r>
      <w:proofErr w:type="gramEnd"/>
      <w:r w:rsidRPr="00375F45">
        <w:rPr>
          <w:b/>
          <w:bCs/>
          <w:sz w:val="24"/>
          <w:szCs w:val="22"/>
          <w:u w:val="single"/>
        </w:rPr>
        <w:t>-</w:t>
      </w:r>
    </w:p>
    <w:p w:rsidR="000106DF" w:rsidRDefault="00375F45" w:rsidP="000106DF">
      <w:pPr>
        <w:pStyle w:val="ListParagraph"/>
        <w:numPr>
          <w:ilvl w:val="0"/>
          <w:numId w:val="2"/>
        </w:numPr>
        <w:rPr>
          <w:sz w:val="24"/>
          <w:szCs w:val="22"/>
        </w:rPr>
      </w:pPr>
      <w:r w:rsidRPr="000106DF">
        <w:rPr>
          <w:sz w:val="24"/>
          <w:szCs w:val="22"/>
        </w:rPr>
        <w:t>Exports would be zero-rated. Similar benefits may be given to Special Economic Zones (SEZs). No benefit to the sales from an SEZ to Domestic Tariff Area (DTA) will be allowed.</w:t>
      </w:r>
    </w:p>
    <w:p w:rsidR="00375F45" w:rsidRPr="000106DF" w:rsidRDefault="00375F45" w:rsidP="000106DF">
      <w:pPr>
        <w:pStyle w:val="ListParagraph"/>
        <w:rPr>
          <w:sz w:val="24"/>
          <w:szCs w:val="22"/>
        </w:rPr>
      </w:pPr>
      <w:r w:rsidRPr="000106DF">
        <w:rPr>
          <w:sz w:val="24"/>
          <w:szCs w:val="22"/>
        </w:rPr>
        <w:t xml:space="preserve"> </w:t>
      </w:r>
    </w:p>
    <w:p w:rsidR="000106DF" w:rsidRPr="000106DF" w:rsidRDefault="00375F45" w:rsidP="000106DF">
      <w:pPr>
        <w:pStyle w:val="ListParagraph"/>
        <w:numPr>
          <w:ilvl w:val="0"/>
          <w:numId w:val="2"/>
        </w:numPr>
        <w:rPr>
          <w:sz w:val="24"/>
          <w:szCs w:val="22"/>
        </w:rPr>
      </w:pPr>
      <w:r w:rsidRPr="000106DF">
        <w:rPr>
          <w:sz w:val="24"/>
          <w:szCs w:val="22"/>
        </w:rPr>
        <w:t xml:space="preserve">Both CGST and SGST will be levied on import of goods and services into the country. The incidence of tax will follow the destination principle and the tax revenue in case </w:t>
      </w:r>
      <w:proofErr w:type="spellStart"/>
      <w:r w:rsidRPr="000106DF">
        <w:rPr>
          <w:sz w:val="24"/>
          <w:szCs w:val="22"/>
        </w:rPr>
        <w:t>ofSGST</w:t>
      </w:r>
      <w:proofErr w:type="spellEnd"/>
      <w:r w:rsidRPr="000106DF">
        <w:rPr>
          <w:sz w:val="24"/>
          <w:szCs w:val="22"/>
        </w:rPr>
        <w:t xml:space="preserve"> will accrue to the State where the imported goods and services are consumed. Full and complete set-off will be available on the GST paid on import on goods and services. </w:t>
      </w:r>
    </w:p>
    <w:p w:rsidR="00375F45" w:rsidRPr="000106DF" w:rsidRDefault="00375F45" w:rsidP="000106DF">
      <w:pPr>
        <w:pStyle w:val="ListParagraph"/>
        <w:numPr>
          <w:ilvl w:val="0"/>
          <w:numId w:val="2"/>
        </w:numPr>
        <w:rPr>
          <w:sz w:val="24"/>
          <w:szCs w:val="22"/>
        </w:rPr>
      </w:pPr>
      <w:r w:rsidRPr="000106DF">
        <w:rPr>
          <w:sz w:val="24"/>
          <w:szCs w:val="22"/>
        </w:rPr>
        <w:t>Industrial incentives should be converted, if at all needed, into cash refund schemes after collection of tax, so that the GST scheme on the basis of a continuous chain of set-offs is not disturbed.</w:t>
      </w:r>
    </w:p>
    <w:p w:rsidR="00375F45" w:rsidRPr="00375F45" w:rsidRDefault="00375F45" w:rsidP="00375F45">
      <w:pPr>
        <w:rPr>
          <w:b/>
          <w:bCs/>
          <w:sz w:val="24"/>
          <w:szCs w:val="22"/>
          <w:u w:val="single"/>
        </w:rPr>
      </w:pPr>
      <w:r w:rsidRPr="00375F45">
        <w:rPr>
          <w:b/>
          <w:bCs/>
          <w:sz w:val="24"/>
          <w:szCs w:val="22"/>
          <w:u w:val="single"/>
        </w:rPr>
        <w:t xml:space="preserve">Constitutional Changes:- </w:t>
      </w:r>
    </w:p>
    <w:p w:rsidR="00375F45" w:rsidRPr="000106DF" w:rsidRDefault="00375F45" w:rsidP="000106DF">
      <w:pPr>
        <w:pStyle w:val="ListParagraph"/>
        <w:numPr>
          <w:ilvl w:val="0"/>
          <w:numId w:val="2"/>
        </w:numPr>
        <w:rPr>
          <w:sz w:val="24"/>
          <w:szCs w:val="22"/>
        </w:rPr>
      </w:pPr>
      <w:r w:rsidRPr="000106DF">
        <w:rPr>
          <w:sz w:val="24"/>
          <w:szCs w:val="22"/>
        </w:rPr>
        <w:lastRenderedPageBreak/>
        <w:t xml:space="preserve">It is essential to have Constitutional Amendments for empowering the States for levy of service tax, GST on imports and consequential issues as well as corresponding Central and State legislations with associated rules and procedures. With these specific tasks in view, a Joint Working Group has recently been constituted to prepare </w:t>
      </w:r>
      <w:proofErr w:type="gramStart"/>
      <w:r w:rsidRPr="000106DF">
        <w:rPr>
          <w:sz w:val="24"/>
          <w:szCs w:val="22"/>
        </w:rPr>
        <w:t>a draft</w:t>
      </w:r>
      <w:proofErr w:type="gramEnd"/>
      <w:r w:rsidRPr="000106DF">
        <w:rPr>
          <w:sz w:val="24"/>
          <w:szCs w:val="22"/>
        </w:rPr>
        <w:t xml:space="preserve"> legislation for Constitutional Amendment.</w:t>
      </w:r>
    </w:p>
    <w:p w:rsidR="00375F45" w:rsidRPr="00375F45" w:rsidRDefault="00375F45" w:rsidP="00375F45">
      <w:pPr>
        <w:rPr>
          <w:b/>
          <w:bCs/>
          <w:sz w:val="24"/>
          <w:szCs w:val="22"/>
          <w:u w:val="single"/>
        </w:rPr>
      </w:pPr>
      <w:r w:rsidRPr="00375F45">
        <w:rPr>
          <w:b/>
          <w:bCs/>
          <w:sz w:val="24"/>
          <w:szCs w:val="22"/>
          <w:u w:val="single"/>
        </w:rPr>
        <w:t xml:space="preserve">Dispute Resolution and Advance ruling:- </w:t>
      </w:r>
    </w:p>
    <w:p w:rsidR="00E96244" w:rsidRPr="000106DF" w:rsidRDefault="00375F45" w:rsidP="000106DF">
      <w:pPr>
        <w:pStyle w:val="ListParagraph"/>
        <w:numPr>
          <w:ilvl w:val="0"/>
          <w:numId w:val="2"/>
        </w:numPr>
        <w:rPr>
          <w:sz w:val="24"/>
          <w:szCs w:val="22"/>
        </w:rPr>
      </w:pPr>
      <w:r w:rsidRPr="000106DF">
        <w:rPr>
          <w:sz w:val="24"/>
          <w:szCs w:val="22"/>
        </w:rPr>
        <w:t>Specific provisions would also be made to the issues of dispute resolution and advance ruling.</w:t>
      </w:r>
    </w:p>
    <w:sectPr w:rsidR="00E96244" w:rsidRPr="000106DF" w:rsidSect="006F2AE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C91"/>
    <w:multiLevelType w:val="hybridMultilevel"/>
    <w:tmpl w:val="C24ECD8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9390764"/>
    <w:multiLevelType w:val="hybridMultilevel"/>
    <w:tmpl w:val="8B4A20C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8A09F1"/>
    <w:multiLevelType w:val="hybridMultilevel"/>
    <w:tmpl w:val="364A2A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744B23"/>
    <w:multiLevelType w:val="hybridMultilevel"/>
    <w:tmpl w:val="A61AD8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35E2754"/>
    <w:multiLevelType w:val="hybridMultilevel"/>
    <w:tmpl w:val="1040CD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A060F5B"/>
    <w:multiLevelType w:val="hybridMultilevel"/>
    <w:tmpl w:val="91C80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46209E"/>
    <w:multiLevelType w:val="hybridMultilevel"/>
    <w:tmpl w:val="235273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D4F24E7"/>
    <w:multiLevelType w:val="hybridMultilevel"/>
    <w:tmpl w:val="D0C6DE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94B5FD7"/>
    <w:multiLevelType w:val="hybridMultilevel"/>
    <w:tmpl w:val="18A27DC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A3D641D"/>
    <w:multiLevelType w:val="hybridMultilevel"/>
    <w:tmpl w:val="09485A5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42BE3614"/>
    <w:multiLevelType w:val="hybridMultilevel"/>
    <w:tmpl w:val="A31873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9096A0C"/>
    <w:multiLevelType w:val="hybridMultilevel"/>
    <w:tmpl w:val="1B04B96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62C01AA1"/>
    <w:multiLevelType w:val="hybridMultilevel"/>
    <w:tmpl w:val="7A0A54F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6A9F2C4F"/>
    <w:multiLevelType w:val="hybridMultilevel"/>
    <w:tmpl w:val="267A6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D6E6D76"/>
    <w:multiLevelType w:val="hybridMultilevel"/>
    <w:tmpl w:val="05C224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BD901FA"/>
    <w:multiLevelType w:val="hybridMultilevel"/>
    <w:tmpl w:val="0A9C65A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14"/>
  </w:num>
  <w:num w:numId="3">
    <w:abstractNumId w:val="15"/>
  </w:num>
  <w:num w:numId="4">
    <w:abstractNumId w:val="12"/>
  </w:num>
  <w:num w:numId="5">
    <w:abstractNumId w:val="8"/>
  </w:num>
  <w:num w:numId="6">
    <w:abstractNumId w:val="1"/>
  </w:num>
  <w:num w:numId="7">
    <w:abstractNumId w:val="7"/>
  </w:num>
  <w:num w:numId="8">
    <w:abstractNumId w:val="13"/>
  </w:num>
  <w:num w:numId="9">
    <w:abstractNumId w:val="10"/>
  </w:num>
  <w:num w:numId="10">
    <w:abstractNumId w:val="3"/>
  </w:num>
  <w:num w:numId="11">
    <w:abstractNumId w:val="0"/>
  </w:num>
  <w:num w:numId="12">
    <w:abstractNumId w:val="2"/>
  </w:num>
  <w:num w:numId="13">
    <w:abstractNumId w:val="11"/>
  </w:num>
  <w:num w:numId="14">
    <w:abstractNumId w:val="6"/>
  </w:num>
  <w:num w:numId="15">
    <w:abstractNumId w:val="9"/>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5F45"/>
    <w:rsid w:val="000106DF"/>
    <w:rsid w:val="00375F45"/>
    <w:rsid w:val="003D4469"/>
    <w:rsid w:val="006F2AEA"/>
    <w:rsid w:val="00E9624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A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6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31931220</dc:creator>
  <cp:keywords/>
  <dc:description/>
  <cp:lastModifiedBy>31931220</cp:lastModifiedBy>
  <cp:revision>4</cp:revision>
  <dcterms:created xsi:type="dcterms:W3CDTF">2009-11-13T04:12:00Z</dcterms:created>
  <dcterms:modified xsi:type="dcterms:W3CDTF">2009-11-13T04:32:00Z</dcterms:modified>
</cp:coreProperties>
</file>