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64493E1" w14:textId="77777777" w:rsidR="00134265" w:rsidRDefault="00134265" w:rsidP="00134265">
      <w:pPr>
        <w:jc w:val="center"/>
        <w:rPr>
          <w:rFonts w:ascii="Garamond" w:hAnsi="Garamond"/>
          <w:sz w:val="36"/>
        </w:rPr>
      </w:pPr>
    </w:p>
    <w:p w14:paraId="149AAAC0" w14:textId="77777777" w:rsidR="00134265" w:rsidRDefault="00134265" w:rsidP="00134265">
      <w:pPr>
        <w:jc w:val="center"/>
        <w:rPr>
          <w:rFonts w:ascii="Garamond" w:hAnsi="Garamond"/>
          <w:sz w:val="36"/>
        </w:rPr>
      </w:pPr>
    </w:p>
    <w:p w14:paraId="3AA57B49" w14:textId="3FEA2503" w:rsidR="00EB66B6" w:rsidRPr="00134265" w:rsidRDefault="00134265" w:rsidP="00134265">
      <w:pPr>
        <w:jc w:val="center"/>
        <w:rPr>
          <w:rFonts w:ascii="Garamond" w:hAnsi="Garamond"/>
          <w:sz w:val="36"/>
        </w:rPr>
      </w:pPr>
      <w:r w:rsidRPr="00134265">
        <w:rPr>
          <w:rFonts w:ascii="Garamond" w:hAnsi="Garamond"/>
          <w:sz w:val="36"/>
        </w:rPr>
        <w:t>INDIA</w:t>
      </w:r>
    </w:p>
    <w:p w14:paraId="0A464D66" w14:textId="4613F322" w:rsidR="00134265" w:rsidRPr="00134265" w:rsidRDefault="00134265" w:rsidP="00134265">
      <w:pPr>
        <w:jc w:val="center"/>
        <w:rPr>
          <w:rFonts w:ascii="Garamond" w:hAnsi="Garamond"/>
          <w:sz w:val="36"/>
        </w:rPr>
      </w:pPr>
    </w:p>
    <w:p w14:paraId="06633838" w14:textId="5049CEA3" w:rsidR="00134265" w:rsidRPr="00134265" w:rsidRDefault="00B73369" w:rsidP="00134265">
      <w:pPr>
        <w:jc w:val="center"/>
        <w:rPr>
          <w:rFonts w:ascii="Garamond" w:hAnsi="Garamond"/>
          <w:sz w:val="36"/>
        </w:rPr>
      </w:pPr>
      <w:r>
        <w:rPr>
          <w:rFonts w:ascii="Garamond" w:hAnsi="Garamond"/>
          <w:sz w:val="36"/>
        </w:rPr>
        <w:t xml:space="preserve">UNION </w:t>
      </w:r>
      <w:r w:rsidR="00134265" w:rsidRPr="00134265">
        <w:rPr>
          <w:rFonts w:ascii="Garamond" w:hAnsi="Garamond"/>
          <w:sz w:val="36"/>
        </w:rPr>
        <w:t>BUDGET 20</w:t>
      </w:r>
      <w:r w:rsidR="003C0EDD">
        <w:rPr>
          <w:rFonts w:ascii="Garamond" w:hAnsi="Garamond"/>
          <w:sz w:val="36"/>
        </w:rPr>
        <w:t>20</w:t>
      </w:r>
    </w:p>
    <w:p w14:paraId="71E12DEC" w14:textId="77777777" w:rsidR="00134265" w:rsidRPr="00134265" w:rsidRDefault="00134265" w:rsidP="00134265">
      <w:pPr>
        <w:jc w:val="center"/>
        <w:rPr>
          <w:rFonts w:ascii="Garamond" w:hAnsi="Garamond"/>
          <w:sz w:val="36"/>
        </w:rPr>
      </w:pPr>
    </w:p>
    <w:p w14:paraId="79E782C0" w14:textId="41C9A8CA" w:rsidR="001E0A4E" w:rsidRPr="00FC4580" w:rsidRDefault="00EE3ECA" w:rsidP="00FC4580">
      <w:pPr>
        <w:jc w:val="center"/>
        <w:rPr>
          <w:rFonts w:ascii="Garamond" w:hAnsi="Garamond"/>
        </w:rPr>
      </w:pPr>
      <w:r w:rsidRPr="00FC4580">
        <w:rPr>
          <w:rFonts w:ascii="Garamond" w:hAnsi="Garamond"/>
        </w:rPr>
        <w:t>February, 20</w:t>
      </w:r>
      <w:r w:rsidR="003C0EDD">
        <w:rPr>
          <w:rFonts w:ascii="Garamond" w:hAnsi="Garamond"/>
        </w:rPr>
        <w:t>20</w:t>
      </w:r>
    </w:p>
    <w:p w14:paraId="418FFBC2" w14:textId="578CA407" w:rsidR="00D36E11" w:rsidRPr="00FC4580" w:rsidRDefault="002D672D">
      <w:pPr>
        <w:rPr>
          <w:rFonts w:ascii="Garamond" w:hAnsi="Garamond"/>
        </w:rPr>
      </w:pPr>
      <w:r w:rsidRPr="00FC4580">
        <w:rPr>
          <w:rFonts w:ascii="Garamond" w:hAnsi="Garamond"/>
          <w:noProof/>
          <w:lang w:eastAsia="en-IN"/>
        </w:rPr>
        <mc:AlternateContent>
          <mc:Choice Requires="wps">
            <w:drawing>
              <wp:anchor distT="0" distB="0" distL="114300" distR="114300" simplePos="0" relativeHeight="251659264" behindDoc="0" locked="0" layoutInCell="1" allowOverlap="1" wp14:anchorId="3ADCF487" wp14:editId="336F50BE">
                <wp:simplePos x="0" y="0"/>
                <wp:positionH relativeFrom="margin">
                  <wp:posOffset>-335915</wp:posOffset>
                </wp:positionH>
                <wp:positionV relativeFrom="paragraph">
                  <wp:posOffset>609600</wp:posOffset>
                </wp:positionV>
                <wp:extent cx="9105900" cy="222885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5900" cy="2228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25FC5" w14:textId="16023FC8" w:rsidR="000C07FC" w:rsidRDefault="000C07FC" w:rsidP="00134265">
                            <w:pPr>
                              <w:ind w:left="-284"/>
                              <w:jc w:val="center"/>
                              <w:rPr>
                                <w:b/>
                              </w:rPr>
                            </w:pPr>
                            <w:r>
                              <w:rPr>
                                <w:b/>
                              </w:rPr>
                              <w:t>A Smart CA Initiative</w:t>
                            </w:r>
                          </w:p>
                          <w:p w14:paraId="2B99C39F" w14:textId="6F55AB9A" w:rsidR="000C07FC" w:rsidRDefault="000C07FC" w:rsidP="00134265">
                            <w:pPr>
                              <w:ind w:left="-284"/>
                              <w:jc w:val="center"/>
                              <w:rPr>
                                <w:b/>
                              </w:rPr>
                            </w:pPr>
                            <w:r>
                              <w:rPr>
                                <w:b/>
                              </w:rPr>
                              <w:t>By CA Sripriya Kumar</w:t>
                            </w:r>
                          </w:p>
                          <w:p w14:paraId="263C3C16" w14:textId="77777777" w:rsidR="000C07FC" w:rsidRPr="002D672D" w:rsidRDefault="000C07FC" w:rsidP="00134265">
                            <w:pPr>
                              <w:ind w:left="-284"/>
                              <w:jc w:val="center"/>
                              <w:rPr>
                                <w:b/>
                              </w:rPr>
                            </w:pPr>
                          </w:p>
                          <w:p w14:paraId="5950FB35" w14:textId="44A52BE1" w:rsidR="000C07FC" w:rsidRPr="002D672D" w:rsidRDefault="000C07FC" w:rsidP="00134265">
                            <w:pPr>
                              <w:ind w:left="-284"/>
                              <w:jc w:val="center"/>
                              <w:rPr>
                                <w:b/>
                              </w:rPr>
                            </w:pPr>
                            <w:r w:rsidRPr="002D672D">
                              <w:rPr>
                                <w:b/>
                              </w:rPr>
                              <w:t>For any information / assistance</w:t>
                            </w:r>
                          </w:p>
                          <w:p w14:paraId="12C1F6A6" w14:textId="77777777" w:rsidR="000C07FC" w:rsidRPr="002D672D" w:rsidRDefault="000C07FC" w:rsidP="00134265">
                            <w:pPr>
                              <w:ind w:left="-284"/>
                              <w:jc w:val="center"/>
                              <w:rPr>
                                <w:lang w:eastAsia="en-IN"/>
                              </w:rPr>
                            </w:pPr>
                            <w:r w:rsidRPr="002D672D">
                              <w:rPr>
                                <w:b/>
                              </w:rPr>
                              <w:t>XYZ &amp; Co</w:t>
                            </w:r>
                          </w:p>
                          <w:p w14:paraId="36200257" w14:textId="0F91372D" w:rsidR="000C07FC" w:rsidRPr="002D672D" w:rsidRDefault="000C07FC" w:rsidP="00134265">
                            <w:pPr>
                              <w:ind w:left="-284"/>
                              <w:jc w:val="center"/>
                              <w:rPr>
                                <w:lang w:eastAsia="en-IN"/>
                              </w:rPr>
                            </w:pPr>
                            <w:r w:rsidRPr="002D672D">
                              <w:rPr>
                                <w:lang w:eastAsia="en-IN"/>
                              </w:rPr>
                              <w:t>Contact Name:</w:t>
                            </w:r>
                          </w:p>
                          <w:p w14:paraId="05069AC0" w14:textId="50FE640E" w:rsidR="000C07FC" w:rsidRPr="002D672D" w:rsidRDefault="000C07FC" w:rsidP="00134265">
                            <w:pPr>
                              <w:ind w:left="-284"/>
                              <w:jc w:val="center"/>
                              <w:rPr>
                                <w:lang w:eastAsia="en-IN"/>
                              </w:rPr>
                            </w:pPr>
                            <w:r w:rsidRPr="002D672D">
                              <w:rPr>
                                <w:lang w:eastAsia="en-IN"/>
                              </w:rPr>
                              <w:t>Address | Phone | Mail id</w:t>
                            </w:r>
                          </w:p>
                          <w:p w14:paraId="696B74BD" w14:textId="77777777" w:rsidR="000C07FC" w:rsidRPr="002D672D" w:rsidRDefault="000C07FC" w:rsidP="00134265">
                            <w:pPr>
                              <w:ind w:left="-284"/>
                              <w:jc w:val="center"/>
                              <w:rPr>
                                <w:lang w:eastAsia="en-IN"/>
                              </w:rPr>
                            </w:pPr>
                          </w:p>
                          <w:p w14:paraId="5A6A7151" w14:textId="604680C6" w:rsidR="000C07FC" w:rsidRPr="002D672D" w:rsidRDefault="000C07FC" w:rsidP="00134265">
                            <w:pPr>
                              <w:jc w:val="center"/>
                              <w:rPr>
                                <w:u w:val="single"/>
                                <w:lang w:eastAsia="en-IN"/>
                              </w:rPr>
                            </w:pPr>
                            <w:r w:rsidRPr="002D672D">
                              <w:rPr>
                                <w:lang w:eastAsia="en-IN"/>
                              </w:rPr>
                              <w:t xml:space="preserve">Disclaimer: These are a few of the Highlights of the </w:t>
                            </w:r>
                            <w:r>
                              <w:rPr>
                                <w:lang w:eastAsia="en-IN"/>
                              </w:rPr>
                              <w:t>Interim</w:t>
                            </w:r>
                            <w:r w:rsidRPr="002D672D">
                              <w:rPr>
                                <w:lang w:eastAsia="en-IN"/>
                              </w:rPr>
                              <w:t xml:space="preserve"> Budget – 20</w:t>
                            </w:r>
                            <w:r>
                              <w:rPr>
                                <w:lang w:eastAsia="en-IN"/>
                              </w:rPr>
                              <w:t>20</w:t>
                            </w:r>
                            <w:r w:rsidRPr="002D672D">
                              <w:rPr>
                                <w:lang w:eastAsia="en-IN"/>
                              </w:rPr>
                              <w:t>. Whilst due care has been taken in compiling this note, expert advice and user discretion is recommended prior to application of the contents of this document to specific situations and for client use</w:t>
                            </w:r>
                          </w:p>
                          <w:p w14:paraId="408A1787" w14:textId="77777777" w:rsidR="000C07FC" w:rsidRPr="002D672D" w:rsidRDefault="000C07FC" w:rsidP="00134265">
                            <w:pPr>
                              <w:jc w:val="center"/>
                              <w:rPr>
                                <w:b/>
                              </w:rPr>
                            </w:pPr>
                          </w:p>
                          <w:p w14:paraId="0CB56D7D" w14:textId="77777777" w:rsidR="000C07FC" w:rsidRPr="002D672D" w:rsidRDefault="000C07FC" w:rsidP="00134265">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DCF487" id="_x0000_t202" coordsize="21600,21600" o:spt="202" path="m,l,21600r21600,l21600,xe">
                <v:stroke joinstyle="miter"/>
                <v:path gradientshapeok="t" o:connecttype="rect"/>
              </v:shapetype>
              <v:shape id="Text Box 6" o:spid="_x0000_s1026" type="#_x0000_t202" style="position:absolute;margin-left:-26.45pt;margin-top:48pt;width:717pt;height:1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" stroked="f">
                <v:fill opacity="0"/>
                <v:textbox>
                  <w:txbxContent>
                    <w:p w14:paraId="5CF25FC5" w14:textId="16023FC8" w:rsidR="000C07FC" w:rsidRDefault="000C07FC" w:rsidP="00134265">
                      <w:pPr>
                        <w:ind w:left="-284"/>
                        <w:jc w:val="center"/>
                        <w:rPr>
                          <w:b/>
                        </w:rPr>
                      </w:pPr>
                      <w:r>
                        <w:rPr>
                          <w:b/>
                        </w:rPr>
                        <w:t>A Smart CA Initiative</w:t>
                      </w:r>
                    </w:p>
                    <w:p w14:paraId="2B99C39F" w14:textId="6F55AB9A" w:rsidR="000C07FC" w:rsidRDefault="000C07FC" w:rsidP="00134265">
                      <w:pPr>
                        <w:ind w:left="-284"/>
                        <w:jc w:val="center"/>
                        <w:rPr>
                          <w:b/>
                        </w:rPr>
                      </w:pPr>
                      <w:r>
                        <w:rPr>
                          <w:b/>
                        </w:rPr>
                        <w:t>By CA Sripriya Kumar</w:t>
                      </w:r>
                    </w:p>
                    <w:p w14:paraId="263C3C16" w14:textId="77777777" w:rsidR="000C07FC" w:rsidRPr="002D672D" w:rsidRDefault="000C07FC" w:rsidP="00134265">
                      <w:pPr>
                        <w:ind w:left="-284"/>
                        <w:jc w:val="center"/>
                        <w:rPr>
                          <w:b/>
                        </w:rPr>
                      </w:pPr>
                    </w:p>
                    <w:p w14:paraId="5950FB35" w14:textId="44A52BE1" w:rsidR="000C07FC" w:rsidRPr="002D672D" w:rsidRDefault="000C07FC" w:rsidP="00134265">
                      <w:pPr>
                        <w:ind w:left="-284"/>
                        <w:jc w:val="center"/>
                        <w:rPr>
                          <w:b/>
                        </w:rPr>
                      </w:pPr>
                      <w:r w:rsidRPr="002D672D">
                        <w:rPr>
                          <w:b/>
                        </w:rPr>
                        <w:t>For any information / assistance</w:t>
                      </w:r>
                    </w:p>
                    <w:p w14:paraId="12C1F6A6" w14:textId="77777777" w:rsidR="000C07FC" w:rsidRPr="002D672D" w:rsidRDefault="000C07FC" w:rsidP="00134265">
                      <w:pPr>
                        <w:ind w:left="-284"/>
                        <w:jc w:val="center"/>
                        <w:rPr>
                          <w:lang w:eastAsia="en-IN"/>
                        </w:rPr>
                      </w:pPr>
                      <w:r w:rsidRPr="002D672D">
                        <w:rPr>
                          <w:b/>
                        </w:rPr>
                        <w:t>XYZ &amp; Co</w:t>
                      </w:r>
                    </w:p>
                    <w:p w14:paraId="36200257" w14:textId="0F91372D" w:rsidR="000C07FC" w:rsidRPr="002D672D" w:rsidRDefault="000C07FC" w:rsidP="00134265">
                      <w:pPr>
                        <w:ind w:left="-284"/>
                        <w:jc w:val="center"/>
                        <w:rPr>
                          <w:lang w:eastAsia="en-IN"/>
                        </w:rPr>
                      </w:pPr>
                      <w:r w:rsidRPr="002D672D">
                        <w:rPr>
                          <w:lang w:eastAsia="en-IN"/>
                        </w:rPr>
                        <w:t>Contact Name:</w:t>
                      </w:r>
                    </w:p>
                    <w:p w14:paraId="05069AC0" w14:textId="50FE640E" w:rsidR="000C07FC" w:rsidRPr="002D672D" w:rsidRDefault="000C07FC" w:rsidP="00134265">
                      <w:pPr>
                        <w:ind w:left="-284"/>
                        <w:jc w:val="center"/>
                        <w:rPr>
                          <w:lang w:eastAsia="en-IN"/>
                        </w:rPr>
                      </w:pPr>
                      <w:r w:rsidRPr="002D672D">
                        <w:rPr>
                          <w:lang w:eastAsia="en-IN"/>
                        </w:rPr>
                        <w:t>Address | Phone | Mail id</w:t>
                      </w:r>
                    </w:p>
                    <w:p w14:paraId="696B74BD" w14:textId="77777777" w:rsidR="000C07FC" w:rsidRPr="002D672D" w:rsidRDefault="000C07FC" w:rsidP="00134265">
                      <w:pPr>
                        <w:ind w:left="-284"/>
                        <w:jc w:val="center"/>
                        <w:rPr>
                          <w:lang w:eastAsia="en-IN"/>
                        </w:rPr>
                      </w:pPr>
                    </w:p>
                    <w:p w14:paraId="5A6A7151" w14:textId="604680C6" w:rsidR="000C07FC" w:rsidRPr="002D672D" w:rsidRDefault="000C07FC" w:rsidP="00134265">
                      <w:pPr>
                        <w:jc w:val="center"/>
                        <w:rPr>
                          <w:u w:val="single"/>
                          <w:lang w:eastAsia="en-IN"/>
                        </w:rPr>
                      </w:pPr>
                      <w:r w:rsidRPr="002D672D">
                        <w:rPr>
                          <w:lang w:eastAsia="en-IN"/>
                        </w:rPr>
                        <w:t xml:space="preserve">Disclaimer: These are a few of the Highlights of the </w:t>
                      </w:r>
                      <w:r>
                        <w:rPr>
                          <w:lang w:eastAsia="en-IN"/>
                        </w:rPr>
                        <w:t>Interim</w:t>
                      </w:r>
                      <w:r w:rsidRPr="002D672D">
                        <w:rPr>
                          <w:lang w:eastAsia="en-IN"/>
                        </w:rPr>
                        <w:t xml:space="preserve"> Budget – 20</w:t>
                      </w:r>
                      <w:r>
                        <w:rPr>
                          <w:lang w:eastAsia="en-IN"/>
                        </w:rPr>
                        <w:t>20</w:t>
                      </w:r>
                      <w:r w:rsidRPr="002D672D">
                        <w:rPr>
                          <w:lang w:eastAsia="en-IN"/>
                        </w:rPr>
                        <w:t>. Whilst due care has been taken in compiling this note, expert advice and user discretion is recommended prior to application of the contents of this document to specific situations and for client use</w:t>
                      </w:r>
                    </w:p>
                    <w:p w14:paraId="408A1787" w14:textId="77777777" w:rsidR="000C07FC" w:rsidRPr="002D672D" w:rsidRDefault="000C07FC" w:rsidP="00134265">
                      <w:pPr>
                        <w:jc w:val="center"/>
                        <w:rPr>
                          <w:b/>
                        </w:rPr>
                      </w:pPr>
                    </w:p>
                    <w:p w14:paraId="0CB56D7D" w14:textId="77777777" w:rsidR="000C07FC" w:rsidRPr="002D672D" w:rsidRDefault="000C07FC" w:rsidP="00134265">
                      <w:pPr>
                        <w:jc w:val="center"/>
                        <w:rPr>
                          <w:b/>
                        </w:rPr>
                      </w:pPr>
                    </w:p>
                  </w:txbxContent>
                </v:textbox>
                <w10:wrap anchorx="margin"/>
              </v:shape>
            </w:pict>
          </mc:Fallback>
        </mc:AlternateContent>
      </w:r>
    </w:p>
    <w:p w14:paraId="4BBA0CA1" w14:textId="070EA2EA" w:rsidR="00D36E11" w:rsidRPr="00FC4580" w:rsidRDefault="00D36E11">
      <w:pPr>
        <w:rPr>
          <w:rFonts w:ascii="Garamond" w:hAnsi="Garamond"/>
        </w:rPr>
        <w:sectPr w:rsidR="00D36E11" w:rsidRPr="00FC4580" w:rsidSect="00FA6F31">
          <w:headerReference w:type="even" r:id="rId9"/>
          <w:headerReference w:type="default" r:id="rId10"/>
          <w:footerReference w:type="even" r:id="rId11"/>
          <w:footerReference w:type="default" r:id="rId12"/>
          <w:pgSz w:w="16839" w:h="11907" w:orient="landscape" w:code="9"/>
          <w:pgMar w:top="2880" w:right="2313" w:bottom="2070" w:left="1474" w:header="567" w:footer="567" w:gutter="0"/>
          <w:pgBorders w:offsetFrom="page">
            <w:top w:val="dotted" w:sz="4" w:space="24" w:color="auto"/>
            <w:left w:val="dotted" w:sz="4" w:space="24" w:color="auto"/>
            <w:bottom w:val="dotted" w:sz="4" w:space="24" w:color="auto"/>
            <w:right w:val="dotted" w:sz="4" w:space="24" w:color="auto"/>
          </w:pgBorders>
          <w:cols w:space="708"/>
          <w:titlePg/>
          <w:docGrid w:linePitch="360"/>
        </w:sectPr>
      </w:pPr>
    </w:p>
    <w:sdt>
      <w:sdtPr>
        <w:rPr>
          <w:rFonts w:ascii="Garamond" w:eastAsia="Arial" w:hAnsi="Garamond"/>
          <w:b w:val="0"/>
          <w:bCs w:val="0"/>
          <w:i w:val="0"/>
          <w:sz w:val="24"/>
          <w:szCs w:val="24"/>
          <w:lang w:val="en-GB"/>
        </w:rPr>
        <w:id w:val="1986584126"/>
        <w:docPartObj>
          <w:docPartGallery w:val="Table of Contents"/>
          <w:docPartUnique/>
        </w:docPartObj>
      </w:sdtPr>
      <w:sdtEndPr>
        <w:rPr>
          <w:rFonts w:eastAsia="Times New Roman"/>
          <w:noProof/>
          <w:lang w:val="en-IN"/>
        </w:rPr>
      </w:sdtEndPr>
      <w:sdtContent>
        <w:p w14:paraId="3B835D72" w14:textId="77777777" w:rsidR="007721F5" w:rsidRPr="00FC4580" w:rsidRDefault="007721F5">
          <w:pPr>
            <w:pStyle w:val="TOCHeading"/>
            <w:rPr>
              <w:rFonts w:ascii="Garamond" w:hAnsi="Garamond"/>
              <w:sz w:val="24"/>
              <w:szCs w:val="24"/>
            </w:rPr>
          </w:pPr>
          <w:r w:rsidRPr="00FC4580">
            <w:rPr>
              <w:rFonts w:ascii="Garamond" w:hAnsi="Garamond"/>
              <w:sz w:val="24"/>
              <w:szCs w:val="24"/>
            </w:rPr>
            <w:t>Table of Contents</w:t>
          </w:r>
        </w:p>
        <w:bookmarkStart w:id="0" w:name="_GoBack"/>
        <w:bookmarkEnd w:id="0"/>
        <w:p w14:paraId="6C400EC6" w14:textId="0BD2AC6A" w:rsidR="00FA6F31" w:rsidRDefault="009A4FCE">
          <w:pPr>
            <w:pStyle w:val="TOC1"/>
            <w:tabs>
              <w:tab w:val="right" w:leader="dot" w:pos="13949"/>
            </w:tabs>
            <w:rPr>
              <w:rFonts w:eastAsiaTheme="minorEastAsia" w:cstheme="minorBidi"/>
              <w:b w:val="0"/>
              <w:bCs w:val="0"/>
              <w:noProof/>
              <w:sz w:val="22"/>
              <w:szCs w:val="22"/>
              <w:lang w:val="en-IN" w:eastAsia="en-IN"/>
            </w:rPr>
          </w:pPr>
          <w:r w:rsidRPr="00FC4580">
            <w:rPr>
              <w:rFonts w:ascii="Garamond" w:hAnsi="Garamond"/>
              <w:b w:val="0"/>
              <w:bCs w:val="0"/>
            </w:rPr>
            <w:fldChar w:fldCharType="begin"/>
          </w:r>
          <w:r w:rsidR="007721F5" w:rsidRPr="00FC4580">
            <w:rPr>
              <w:rFonts w:ascii="Garamond" w:hAnsi="Garamond"/>
            </w:rPr>
            <w:instrText xml:space="preserve"> TOC \o "1-3" \h \z \u </w:instrText>
          </w:r>
          <w:r w:rsidRPr="00FC4580">
            <w:rPr>
              <w:rFonts w:ascii="Garamond" w:hAnsi="Garamond"/>
              <w:b w:val="0"/>
              <w:bCs w:val="0"/>
            </w:rPr>
            <w:fldChar w:fldCharType="separate"/>
          </w:r>
          <w:hyperlink w:anchor="_Toc32423685" w:history="1">
            <w:r w:rsidR="00FA6F31" w:rsidRPr="00A26227">
              <w:rPr>
                <w:rStyle w:val="Hyperlink"/>
                <w:rFonts w:ascii="Garamond" w:hAnsi="Garamond"/>
                <w:noProof/>
              </w:rPr>
              <w:t>1. Personal Taxation</w:t>
            </w:r>
            <w:r w:rsidR="00FA6F31">
              <w:rPr>
                <w:noProof/>
                <w:webHidden/>
              </w:rPr>
              <w:tab/>
            </w:r>
            <w:r w:rsidR="00FA6F31">
              <w:rPr>
                <w:noProof/>
                <w:webHidden/>
              </w:rPr>
              <w:fldChar w:fldCharType="begin"/>
            </w:r>
            <w:r w:rsidR="00FA6F31">
              <w:rPr>
                <w:noProof/>
                <w:webHidden/>
              </w:rPr>
              <w:instrText xml:space="preserve"> PAGEREF _Toc32423685 \h </w:instrText>
            </w:r>
            <w:r w:rsidR="00FA6F31">
              <w:rPr>
                <w:noProof/>
                <w:webHidden/>
              </w:rPr>
            </w:r>
            <w:r w:rsidR="00FA6F31">
              <w:rPr>
                <w:noProof/>
                <w:webHidden/>
              </w:rPr>
              <w:fldChar w:fldCharType="separate"/>
            </w:r>
            <w:r w:rsidR="00FA6F31">
              <w:rPr>
                <w:noProof/>
                <w:webHidden/>
              </w:rPr>
              <w:t>3</w:t>
            </w:r>
            <w:r w:rsidR="00FA6F31">
              <w:rPr>
                <w:noProof/>
                <w:webHidden/>
              </w:rPr>
              <w:fldChar w:fldCharType="end"/>
            </w:r>
          </w:hyperlink>
        </w:p>
        <w:p w14:paraId="7083B6BE" w14:textId="3730626C" w:rsidR="00FA6F31" w:rsidRDefault="00FA6F31">
          <w:pPr>
            <w:pStyle w:val="TOC1"/>
            <w:tabs>
              <w:tab w:val="right" w:leader="dot" w:pos="13949"/>
            </w:tabs>
            <w:rPr>
              <w:rFonts w:eastAsiaTheme="minorEastAsia" w:cstheme="minorBidi"/>
              <w:b w:val="0"/>
              <w:bCs w:val="0"/>
              <w:noProof/>
              <w:sz w:val="22"/>
              <w:szCs w:val="22"/>
              <w:lang w:val="en-IN" w:eastAsia="en-IN"/>
            </w:rPr>
          </w:pPr>
          <w:hyperlink w:anchor="_Toc32423686" w:history="1">
            <w:r w:rsidRPr="00A26227">
              <w:rPr>
                <w:rStyle w:val="Hyperlink"/>
                <w:rFonts w:ascii="Garamond" w:hAnsi="Garamond"/>
                <w:noProof/>
              </w:rPr>
              <w:t>2. Corporate Taxation</w:t>
            </w:r>
            <w:r>
              <w:rPr>
                <w:noProof/>
                <w:webHidden/>
              </w:rPr>
              <w:tab/>
            </w:r>
            <w:r>
              <w:rPr>
                <w:noProof/>
                <w:webHidden/>
              </w:rPr>
              <w:fldChar w:fldCharType="begin"/>
            </w:r>
            <w:r>
              <w:rPr>
                <w:noProof/>
                <w:webHidden/>
              </w:rPr>
              <w:instrText xml:space="preserve"> PAGEREF _Toc32423686 \h </w:instrText>
            </w:r>
            <w:r>
              <w:rPr>
                <w:noProof/>
                <w:webHidden/>
              </w:rPr>
            </w:r>
            <w:r>
              <w:rPr>
                <w:noProof/>
                <w:webHidden/>
              </w:rPr>
              <w:fldChar w:fldCharType="separate"/>
            </w:r>
            <w:r>
              <w:rPr>
                <w:noProof/>
                <w:webHidden/>
              </w:rPr>
              <w:t>7</w:t>
            </w:r>
            <w:r>
              <w:rPr>
                <w:noProof/>
                <w:webHidden/>
              </w:rPr>
              <w:fldChar w:fldCharType="end"/>
            </w:r>
          </w:hyperlink>
        </w:p>
        <w:p w14:paraId="080677C2" w14:textId="2DFF0487" w:rsidR="00FA6F31" w:rsidRDefault="00FA6F31">
          <w:pPr>
            <w:pStyle w:val="TOC1"/>
            <w:tabs>
              <w:tab w:val="right" w:leader="dot" w:pos="13949"/>
            </w:tabs>
            <w:rPr>
              <w:rFonts w:eastAsiaTheme="minorEastAsia" w:cstheme="minorBidi"/>
              <w:b w:val="0"/>
              <w:bCs w:val="0"/>
              <w:noProof/>
              <w:sz w:val="22"/>
              <w:szCs w:val="22"/>
              <w:lang w:val="en-IN" w:eastAsia="en-IN"/>
            </w:rPr>
          </w:pPr>
          <w:hyperlink w:anchor="_Toc32423687" w:history="1">
            <w:r w:rsidRPr="00A26227">
              <w:rPr>
                <w:rStyle w:val="Hyperlink"/>
                <w:rFonts w:ascii="Garamond" w:hAnsi="Garamond"/>
                <w:noProof/>
              </w:rPr>
              <w:t>3. Tax Witholding</w:t>
            </w:r>
            <w:r>
              <w:rPr>
                <w:noProof/>
                <w:webHidden/>
              </w:rPr>
              <w:tab/>
            </w:r>
            <w:r>
              <w:rPr>
                <w:noProof/>
                <w:webHidden/>
              </w:rPr>
              <w:fldChar w:fldCharType="begin"/>
            </w:r>
            <w:r>
              <w:rPr>
                <w:noProof/>
                <w:webHidden/>
              </w:rPr>
              <w:instrText xml:space="preserve"> PAGEREF _Toc32423687 \h </w:instrText>
            </w:r>
            <w:r>
              <w:rPr>
                <w:noProof/>
                <w:webHidden/>
              </w:rPr>
            </w:r>
            <w:r>
              <w:rPr>
                <w:noProof/>
                <w:webHidden/>
              </w:rPr>
              <w:fldChar w:fldCharType="separate"/>
            </w:r>
            <w:r>
              <w:rPr>
                <w:noProof/>
                <w:webHidden/>
              </w:rPr>
              <w:t>9</w:t>
            </w:r>
            <w:r>
              <w:rPr>
                <w:noProof/>
                <w:webHidden/>
              </w:rPr>
              <w:fldChar w:fldCharType="end"/>
            </w:r>
          </w:hyperlink>
        </w:p>
        <w:p w14:paraId="7B2D1421" w14:textId="427D622B" w:rsidR="00FA6F31" w:rsidRDefault="00FA6F31">
          <w:pPr>
            <w:pStyle w:val="TOC1"/>
            <w:tabs>
              <w:tab w:val="right" w:leader="dot" w:pos="13949"/>
            </w:tabs>
            <w:rPr>
              <w:rFonts w:eastAsiaTheme="minorEastAsia" w:cstheme="minorBidi"/>
              <w:b w:val="0"/>
              <w:bCs w:val="0"/>
              <w:noProof/>
              <w:sz w:val="22"/>
              <w:szCs w:val="22"/>
              <w:lang w:val="en-IN" w:eastAsia="en-IN"/>
            </w:rPr>
          </w:pPr>
          <w:hyperlink w:anchor="_Toc32423688" w:history="1">
            <w:r w:rsidRPr="00A26227">
              <w:rPr>
                <w:rStyle w:val="Hyperlink"/>
                <w:rFonts w:ascii="Garamond" w:hAnsi="Garamond"/>
                <w:noProof/>
              </w:rPr>
              <w:t>4. Capital Gains</w:t>
            </w:r>
            <w:r>
              <w:rPr>
                <w:noProof/>
                <w:webHidden/>
              </w:rPr>
              <w:tab/>
            </w:r>
            <w:r>
              <w:rPr>
                <w:noProof/>
                <w:webHidden/>
              </w:rPr>
              <w:fldChar w:fldCharType="begin"/>
            </w:r>
            <w:r>
              <w:rPr>
                <w:noProof/>
                <w:webHidden/>
              </w:rPr>
              <w:instrText xml:space="preserve"> PAGEREF _Toc32423688 \h </w:instrText>
            </w:r>
            <w:r>
              <w:rPr>
                <w:noProof/>
                <w:webHidden/>
              </w:rPr>
            </w:r>
            <w:r>
              <w:rPr>
                <w:noProof/>
                <w:webHidden/>
              </w:rPr>
              <w:fldChar w:fldCharType="separate"/>
            </w:r>
            <w:r>
              <w:rPr>
                <w:noProof/>
                <w:webHidden/>
              </w:rPr>
              <w:t>12</w:t>
            </w:r>
            <w:r>
              <w:rPr>
                <w:noProof/>
                <w:webHidden/>
              </w:rPr>
              <w:fldChar w:fldCharType="end"/>
            </w:r>
          </w:hyperlink>
        </w:p>
        <w:p w14:paraId="0B6A4135" w14:textId="57E68F09" w:rsidR="00FA6F31" w:rsidRDefault="00FA6F31">
          <w:pPr>
            <w:pStyle w:val="TOC1"/>
            <w:tabs>
              <w:tab w:val="right" w:leader="dot" w:pos="13949"/>
            </w:tabs>
            <w:rPr>
              <w:rFonts w:eastAsiaTheme="minorEastAsia" w:cstheme="minorBidi"/>
              <w:b w:val="0"/>
              <w:bCs w:val="0"/>
              <w:noProof/>
              <w:sz w:val="22"/>
              <w:szCs w:val="22"/>
              <w:lang w:val="en-IN" w:eastAsia="en-IN"/>
            </w:rPr>
          </w:pPr>
          <w:hyperlink w:anchor="_Toc32423689" w:history="1">
            <w:r w:rsidRPr="00A26227">
              <w:rPr>
                <w:rStyle w:val="Hyperlink"/>
                <w:rFonts w:ascii="Garamond" w:hAnsi="Garamond"/>
                <w:noProof/>
              </w:rPr>
              <w:t>5. Business Income</w:t>
            </w:r>
            <w:r>
              <w:rPr>
                <w:noProof/>
                <w:webHidden/>
              </w:rPr>
              <w:tab/>
            </w:r>
            <w:r>
              <w:rPr>
                <w:noProof/>
                <w:webHidden/>
              </w:rPr>
              <w:fldChar w:fldCharType="begin"/>
            </w:r>
            <w:r>
              <w:rPr>
                <w:noProof/>
                <w:webHidden/>
              </w:rPr>
              <w:instrText xml:space="preserve"> PAGEREF _Toc32423689 \h </w:instrText>
            </w:r>
            <w:r>
              <w:rPr>
                <w:noProof/>
                <w:webHidden/>
              </w:rPr>
            </w:r>
            <w:r>
              <w:rPr>
                <w:noProof/>
                <w:webHidden/>
              </w:rPr>
              <w:fldChar w:fldCharType="separate"/>
            </w:r>
            <w:r>
              <w:rPr>
                <w:noProof/>
                <w:webHidden/>
              </w:rPr>
              <w:t>13</w:t>
            </w:r>
            <w:r>
              <w:rPr>
                <w:noProof/>
                <w:webHidden/>
              </w:rPr>
              <w:fldChar w:fldCharType="end"/>
            </w:r>
          </w:hyperlink>
        </w:p>
        <w:p w14:paraId="0654549E" w14:textId="54735F09" w:rsidR="00FA6F31" w:rsidRDefault="00FA6F31">
          <w:pPr>
            <w:pStyle w:val="TOC1"/>
            <w:tabs>
              <w:tab w:val="right" w:leader="dot" w:pos="13949"/>
            </w:tabs>
            <w:rPr>
              <w:rFonts w:eastAsiaTheme="minorEastAsia" w:cstheme="minorBidi"/>
              <w:b w:val="0"/>
              <w:bCs w:val="0"/>
              <w:noProof/>
              <w:sz w:val="22"/>
              <w:szCs w:val="22"/>
              <w:lang w:val="en-IN" w:eastAsia="en-IN"/>
            </w:rPr>
          </w:pPr>
          <w:hyperlink w:anchor="_Toc32423690" w:history="1">
            <w:r w:rsidRPr="00A26227">
              <w:rPr>
                <w:rStyle w:val="Hyperlink"/>
                <w:rFonts w:ascii="Garamond" w:hAnsi="Garamond"/>
                <w:noProof/>
              </w:rPr>
              <w:t>6. Deductions and Exemptions</w:t>
            </w:r>
            <w:r>
              <w:rPr>
                <w:noProof/>
                <w:webHidden/>
              </w:rPr>
              <w:tab/>
            </w:r>
            <w:r>
              <w:rPr>
                <w:noProof/>
                <w:webHidden/>
              </w:rPr>
              <w:fldChar w:fldCharType="begin"/>
            </w:r>
            <w:r>
              <w:rPr>
                <w:noProof/>
                <w:webHidden/>
              </w:rPr>
              <w:instrText xml:space="preserve"> PAGEREF _Toc32423690 \h </w:instrText>
            </w:r>
            <w:r>
              <w:rPr>
                <w:noProof/>
                <w:webHidden/>
              </w:rPr>
            </w:r>
            <w:r>
              <w:rPr>
                <w:noProof/>
                <w:webHidden/>
              </w:rPr>
              <w:fldChar w:fldCharType="separate"/>
            </w:r>
            <w:r>
              <w:rPr>
                <w:noProof/>
                <w:webHidden/>
              </w:rPr>
              <w:t>15</w:t>
            </w:r>
            <w:r>
              <w:rPr>
                <w:noProof/>
                <w:webHidden/>
              </w:rPr>
              <w:fldChar w:fldCharType="end"/>
            </w:r>
          </w:hyperlink>
        </w:p>
        <w:p w14:paraId="6C3ED403" w14:textId="25E51F27" w:rsidR="00FA6F31" w:rsidRDefault="00FA6F31">
          <w:pPr>
            <w:pStyle w:val="TOC1"/>
            <w:tabs>
              <w:tab w:val="right" w:leader="dot" w:pos="13949"/>
            </w:tabs>
            <w:rPr>
              <w:rFonts w:eastAsiaTheme="minorEastAsia" w:cstheme="minorBidi"/>
              <w:b w:val="0"/>
              <w:bCs w:val="0"/>
              <w:noProof/>
              <w:sz w:val="22"/>
              <w:szCs w:val="22"/>
              <w:lang w:val="en-IN" w:eastAsia="en-IN"/>
            </w:rPr>
          </w:pPr>
          <w:hyperlink w:anchor="_Toc32423691" w:history="1">
            <w:r w:rsidRPr="00A26227">
              <w:rPr>
                <w:rStyle w:val="Hyperlink"/>
                <w:rFonts w:ascii="Garamond" w:hAnsi="Garamond"/>
                <w:noProof/>
              </w:rPr>
              <w:t>7. Assessment and Appeals</w:t>
            </w:r>
            <w:r>
              <w:rPr>
                <w:noProof/>
                <w:webHidden/>
              </w:rPr>
              <w:tab/>
            </w:r>
            <w:r>
              <w:rPr>
                <w:noProof/>
                <w:webHidden/>
              </w:rPr>
              <w:fldChar w:fldCharType="begin"/>
            </w:r>
            <w:r>
              <w:rPr>
                <w:noProof/>
                <w:webHidden/>
              </w:rPr>
              <w:instrText xml:space="preserve"> PAGEREF _Toc32423691 \h </w:instrText>
            </w:r>
            <w:r>
              <w:rPr>
                <w:noProof/>
                <w:webHidden/>
              </w:rPr>
            </w:r>
            <w:r>
              <w:rPr>
                <w:noProof/>
                <w:webHidden/>
              </w:rPr>
              <w:fldChar w:fldCharType="separate"/>
            </w:r>
            <w:r>
              <w:rPr>
                <w:noProof/>
                <w:webHidden/>
              </w:rPr>
              <w:t>17</w:t>
            </w:r>
            <w:r>
              <w:rPr>
                <w:noProof/>
                <w:webHidden/>
              </w:rPr>
              <w:fldChar w:fldCharType="end"/>
            </w:r>
          </w:hyperlink>
        </w:p>
        <w:p w14:paraId="41587425" w14:textId="4F0C7C14" w:rsidR="00FA6F31" w:rsidRDefault="00FA6F31">
          <w:pPr>
            <w:pStyle w:val="TOC1"/>
            <w:tabs>
              <w:tab w:val="right" w:leader="dot" w:pos="13949"/>
            </w:tabs>
            <w:rPr>
              <w:rFonts w:eastAsiaTheme="minorEastAsia" w:cstheme="minorBidi"/>
              <w:b w:val="0"/>
              <w:bCs w:val="0"/>
              <w:noProof/>
              <w:sz w:val="22"/>
              <w:szCs w:val="22"/>
              <w:lang w:val="en-IN" w:eastAsia="en-IN"/>
            </w:rPr>
          </w:pPr>
          <w:hyperlink w:anchor="_Toc32423692" w:history="1">
            <w:r w:rsidRPr="00A26227">
              <w:rPr>
                <w:rStyle w:val="Hyperlink"/>
                <w:rFonts w:ascii="Garamond" w:hAnsi="Garamond"/>
                <w:noProof/>
              </w:rPr>
              <w:t>8. Others</w:t>
            </w:r>
            <w:r>
              <w:rPr>
                <w:noProof/>
                <w:webHidden/>
              </w:rPr>
              <w:tab/>
            </w:r>
            <w:r>
              <w:rPr>
                <w:noProof/>
                <w:webHidden/>
              </w:rPr>
              <w:fldChar w:fldCharType="begin"/>
            </w:r>
            <w:r>
              <w:rPr>
                <w:noProof/>
                <w:webHidden/>
              </w:rPr>
              <w:instrText xml:space="preserve"> PAGEREF _Toc32423692 \h </w:instrText>
            </w:r>
            <w:r>
              <w:rPr>
                <w:noProof/>
                <w:webHidden/>
              </w:rPr>
            </w:r>
            <w:r>
              <w:rPr>
                <w:noProof/>
                <w:webHidden/>
              </w:rPr>
              <w:fldChar w:fldCharType="separate"/>
            </w:r>
            <w:r>
              <w:rPr>
                <w:noProof/>
                <w:webHidden/>
              </w:rPr>
              <w:t>20</w:t>
            </w:r>
            <w:r>
              <w:rPr>
                <w:noProof/>
                <w:webHidden/>
              </w:rPr>
              <w:fldChar w:fldCharType="end"/>
            </w:r>
          </w:hyperlink>
        </w:p>
        <w:p w14:paraId="796C8F6C" w14:textId="48668FCF" w:rsidR="00FA6F31" w:rsidRDefault="00FA6F31">
          <w:pPr>
            <w:pStyle w:val="TOC1"/>
            <w:tabs>
              <w:tab w:val="right" w:leader="dot" w:pos="13949"/>
            </w:tabs>
            <w:rPr>
              <w:rFonts w:eastAsiaTheme="minorEastAsia" w:cstheme="minorBidi"/>
              <w:b w:val="0"/>
              <w:bCs w:val="0"/>
              <w:noProof/>
              <w:sz w:val="22"/>
              <w:szCs w:val="22"/>
              <w:lang w:val="en-IN" w:eastAsia="en-IN"/>
            </w:rPr>
          </w:pPr>
          <w:hyperlink w:anchor="_Toc32423693" w:history="1">
            <w:r w:rsidRPr="00A26227">
              <w:rPr>
                <w:rStyle w:val="Hyperlink"/>
                <w:rFonts w:ascii="Garamond" w:hAnsi="Garamond"/>
                <w:noProof/>
              </w:rPr>
              <w:t>9. Transfer Pricing</w:t>
            </w:r>
            <w:r>
              <w:rPr>
                <w:noProof/>
                <w:webHidden/>
              </w:rPr>
              <w:tab/>
            </w:r>
            <w:r>
              <w:rPr>
                <w:noProof/>
                <w:webHidden/>
              </w:rPr>
              <w:fldChar w:fldCharType="begin"/>
            </w:r>
            <w:r>
              <w:rPr>
                <w:noProof/>
                <w:webHidden/>
              </w:rPr>
              <w:instrText xml:space="preserve"> PAGEREF _Toc32423693 \h </w:instrText>
            </w:r>
            <w:r>
              <w:rPr>
                <w:noProof/>
                <w:webHidden/>
              </w:rPr>
            </w:r>
            <w:r>
              <w:rPr>
                <w:noProof/>
                <w:webHidden/>
              </w:rPr>
              <w:fldChar w:fldCharType="separate"/>
            </w:r>
            <w:r>
              <w:rPr>
                <w:noProof/>
                <w:webHidden/>
              </w:rPr>
              <w:t>22</w:t>
            </w:r>
            <w:r>
              <w:rPr>
                <w:noProof/>
                <w:webHidden/>
              </w:rPr>
              <w:fldChar w:fldCharType="end"/>
            </w:r>
          </w:hyperlink>
        </w:p>
        <w:p w14:paraId="54C71639" w14:textId="39F638CD" w:rsidR="00FA6F31" w:rsidRDefault="00FA6F31">
          <w:pPr>
            <w:pStyle w:val="TOC1"/>
            <w:tabs>
              <w:tab w:val="right" w:leader="dot" w:pos="13949"/>
            </w:tabs>
            <w:rPr>
              <w:rFonts w:eastAsiaTheme="minorEastAsia" w:cstheme="minorBidi"/>
              <w:b w:val="0"/>
              <w:bCs w:val="0"/>
              <w:noProof/>
              <w:sz w:val="22"/>
              <w:szCs w:val="22"/>
              <w:lang w:val="en-IN" w:eastAsia="en-IN"/>
            </w:rPr>
          </w:pPr>
          <w:hyperlink w:anchor="_Toc32423694" w:history="1">
            <w:r w:rsidRPr="00A26227">
              <w:rPr>
                <w:rStyle w:val="Hyperlink"/>
                <w:rFonts w:ascii="Garamond" w:hAnsi="Garamond"/>
                <w:noProof/>
              </w:rPr>
              <w:t>10. Indirect Taxes</w:t>
            </w:r>
            <w:r>
              <w:rPr>
                <w:noProof/>
                <w:webHidden/>
              </w:rPr>
              <w:tab/>
            </w:r>
            <w:r>
              <w:rPr>
                <w:noProof/>
                <w:webHidden/>
              </w:rPr>
              <w:fldChar w:fldCharType="begin"/>
            </w:r>
            <w:r>
              <w:rPr>
                <w:noProof/>
                <w:webHidden/>
              </w:rPr>
              <w:instrText xml:space="preserve"> PAGEREF _Toc32423694 \h </w:instrText>
            </w:r>
            <w:r>
              <w:rPr>
                <w:noProof/>
                <w:webHidden/>
              </w:rPr>
            </w:r>
            <w:r>
              <w:rPr>
                <w:noProof/>
                <w:webHidden/>
              </w:rPr>
              <w:fldChar w:fldCharType="separate"/>
            </w:r>
            <w:r>
              <w:rPr>
                <w:noProof/>
                <w:webHidden/>
              </w:rPr>
              <w:t>23</w:t>
            </w:r>
            <w:r>
              <w:rPr>
                <w:noProof/>
                <w:webHidden/>
              </w:rPr>
              <w:fldChar w:fldCharType="end"/>
            </w:r>
          </w:hyperlink>
        </w:p>
        <w:p w14:paraId="4277B833" w14:textId="74AC6970" w:rsidR="007721F5" w:rsidRPr="00FC4580" w:rsidRDefault="009A4FCE">
          <w:pPr>
            <w:rPr>
              <w:rFonts w:ascii="Garamond" w:hAnsi="Garamond"/>
            </w:rPr>
          </w:pPr>
          <w:r w:rsidRPr="00FC4580">
            <w:rPr>
              <w:rFonts w:ascii="Garamond" w:hAnsi="Garamond"/>
              <w:b/>
              <w:bCs/>
              <w:noProof/>
            </w:rPr>
            <w:fldChar w:fldCharType="end"/>
          </w:r>
        </w:p>
      </w:sdtContent>
    </w:sdt>
    <w:p w14:paraId="18455F31" w14:textId="77777777" w:rsidR="00246574" w:rsidRPr="00FC4580" w:rsidRDefault="00246574" w:rsidP="006E2892">
      <w:pPr>
        <w:tabs>
          <w:tab w:val="right" w:pos="13680"/>
        </w:tabs>
        <w:rPr>
          <w:rFonts w:ascii="Garamond" w:hAnsi="Garamond"/>
        </w:rPr>
      </w:pPr>
    </w:p>
    <w:p w14:paraId="38619120" w14:textId="77777777" w:rsidR="00246574" w:rsidRPr="00FC4580" w:rsidRDefault="00246574" w:rsidP="006E2892">
      <w:pPr>
        <w:tabs>
          <w:tab w:val="right" w:pos="13680"/>
        </w:tabs>
        <w:rPr>
          <w:rFonts w:ascii="Garamond" w:hAnsi="Garamond"/>
        </w:rPr>
      </w:pPr>
    </w:p>
    <w:p w14:paraId="7877FFAE" w14:textId="64A5D26E" w:rsidR="00DF3F34" w:rsidRPr="00134265" w:rsidRDefault="00EE3ECA" w:rsidP="00134265">
      <w:pPr>
        <w:pStyle w:val="Heading1"/>
        <w:shd w:val="clear" w:color="auto" w:fill="D9D9D9" w:themeFill="background1" w:themeFillShade="D9"/>
        <w:rPr>
          <w:rFonts w:ascii="Garamond" w:hAnsi="Garamond"/>
          <w:i w:val="0"/>
          <w:sz w:val="28"/>
          <w:szCs w:val="24"/>
        </w:rPr>
      </w:pPr>
      <w:bookmarkStart w:id="1" w:name="_Toc32423685"/>
      <w:r w:rsidRPr="00134265">
        <w:rPr>
          <w:rFonts w:ascii="Garamond" w:hAnsi="Garamond"/>
          <w:i w:val="0"/>
          <w:sz w:val="28"/>
          <w:szCs w:val="24"/>
        </w:rPr>
        <w:lastRenderedPageBreak/>
        <w:t>Personal Taxation</w:t>
      </w:r>
      <w:bookmarkEnd w:id="1"/>
    </w:p>
    <w:tbl>
      <w:tblPr>
        <w:tblStyle w:val="GridTable5Dark"/>
        <w:tblW w:w="0" w:type="auto"/>
        <w:tblLook w:val="04A0" w:firstRow="1" w:lastRow="0" w:firstColumn="1" w:lastColumn="0" w:noHBand="0" w:noVBand="1"/>
      </w:tblPr>
      <w:tblGrid>
        <w:gridCol w:w="3792"/>
        <w:gridCol w:w="4775"/>
      </w:tblGrid>
      <w:tr w:rsidR="001059A8" w:rsidRPr="00FC4580" w14:paraId="3AF0CFA0" w14:textId="77777777" w:rsidTr="00741FEF">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3792" w:type="dxa"/>
            <w:tcBorders>
              <w:left w:val="single" w:sz="4" w:space="0" w:color="000000"/>
              <w:right w:val="single" w:sz="4" w:space="0" w:color="000000"/>
            </w:tcBorders>
            <w:shd w:val="clear" w:color="auto" w:fill="A6A6A6" w:themeFill="background1" w:themeFillShade="A6"/>
          </w:tcPr>
          <w:p w14:paraId="461C71AE" w14:textId="27E95740" w:rsidR="001059A8" w:rsidRPr="000C07FC" w:rsidRDefault="000C07FC" w:rsidP="00EB66B6">
            <w:pPr>
              <w:pStyle w:val="BodyText"/>
              <w:rPr>
                <w:rFonts w:ascii="Garamond" w:hAnsi="Garamond" w:cs="Times New Roman"/>
                <w:sz w:val="22"/>
                <w:szCs w:val="22"/>
                <w:lang w:val="en-GB"/>
              </w:rPr>
            </w:pPr>
            <w:r w:rsidRPr="000C07FC">
              <w:rPr>
                <w:rFonts w:ascii="Garamond" w:hAnsi="Garamond" w:cs="Times New Roman"/>
                <w:sz w:val="22"/>
                <w:szCs w:val="22"/>
                <w:lang w:val="en-GB"/>
              </w:rPr>
              <w:t xml:space="preserve">Existing Income Slab (In </w:t>
            </w:r>
            <w:proofErr w:type="spellStart"/>
            <w:r w:rsidRPr="000C07FC">
              <w:rPr>
                <w:rFonts w:ascii="Garamond" w:hAnsi="Garamond" w:cs="Times New Roman"/>
                <w:sz w:val="22"/>
                <w:szCs w:val="22"/>
                <w:lang w:val="en-GB"/>
              </w:rPr>
              <w:t>Inr</w:t>
            </w:r>
            <w:proofErr w:type="spellEnd"/>
            <w:r w:rsidRPr="000C07FC">
              <w:rPr>
                <w:rFonts w:ascii="Garamond" w:hAnsi="Garamond" w:cs="Times New Roman"/>
                <w:sz w:val="22"/>
                <w:szCs w:val="22"/>
                <w:lang w:val="en-GB"/>
              </w:rPr>
              <w:t>)</w:t>
            </w:r>
          </w:p>
        </w:tc>
        <w:tc>
          <w:tcPr>
            <w:tcW w:w="4775" w:type="dxa"/>
            <w:tcBorders>
              <w:left w:val="single" w:sz="4" w:space="0" w:color="000000"/>
              <w:right w:val="single" w:sz="4" w:space="0" w:color="000000"/>
            </w:tcBorders>
            <w:shd w:val="clear" w:color="auto" w:fill="A6A6A6" w:themeFill="background1" w:themeFillShade="A6"/>
          </w:tcPr>
          <w:p w14:paraId="1C9C5518" w14:textId="1F0C80CC" w:rsidR="001059A8" w:rsidRPr="000C07FC" w:rsidRDefault="000C07FC" w:rsidP="00EB66B6">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2"/>
                <w:szCs w:val="22"/>
                <w:lang w:val="en-GB"/>
              </w:rPr>
            </w:pPr>
            <w:r w:rsidRPr="000C07FC">
              <w:rPr>
                <w:rFonts w:ascii="Garamond" w:hAnsi="Garamond" w:cs="Times New Roman"/>
                <w:sz w:val="22"/>
                <w:szCs w:val="22"/>
                <w:lang w:val="en-GB"/>
              </w:rPr>
              <w:t xml:space="preserve">Status </w:t>
            </w:r>
            <w:r w:rsidR="00741FEF">
              <w:rPr>
                <w:rFonts w:ascii="Garamond" w:hAnsi="Garamond" w:cs="Times New Roman"/>
                <w:sz w:val="22"/>
                <w:szCs w:val="22"/>
                <w:lang w:val="en-GB"/>
              </w:rPr>
              <w:t>o</w:t>
            </w:r>
            <w:r w:rsidRPr="000C07FC">
              <w:rPr>
                <w:rFonts w:ascii="Garamond" w:hAnsi="Garamond" w:cs="Times New Roman"/>
                <w:sz w:val="22"/>
                <w:szCs w:val="22"/>
                <w:lang w:val="en-GB"/>
              </w:rPr>
              <w:t>f Individuals - General Category</w:t>
            </w:r>
          </w:p>
        </w:tc>
      </w:tr>
      <w:tr w:rsidR="001059A8" w:rsidRPr="00FC4580" w14:paraId="623077CF" w14:textId="77777777" w:rsidTr="00741FE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92" w:type="dxa"/>
            <w:tcBorders>
              <w:left w:val="single" w:sz="4" w:space="0" w:color="000000"/>
              <w:bottom w:val="single" w:sz="4" w:space="0" w:color="000000"/>
              <w:right w:val="single" w:sz="4" w:space="0" w:color="000000"/>
            </w:tcBorders>
            <w:shd w:val="clear" w:color="auto" w:fill="auto"/>
          </w:tcPr>
          <w:p w14:paraId="1E0D9EAA" w14:textId="29C01A02" w:rsidR="001059A8" w:rsidRPr="00741FEF" w:rsidRDefault="001059A8" w:rsidP="00EB66B6">
            <w:pPr>
              <w:pStyle w:val="BodyText"/>
              <w:rPr>
                <w:rFonts w:ascii="Garamond" w:hAnsi="Garamond" w:cs="Times New Roman"/>
                <w:color w:val="000000" w:themeColor="text1"/>
                <w:sz w:val="24"/>
                <w:szCs w:val="24"/>
                <w:lang w:val="en-GB"/>
              </w:rPr>
            </w:pPr>
            <w:r w:rsidRPr="00741FEF">
              <w:rPr>
                <w:rFonts w:ascii="Garamond" w:hAnsi="Garamond" w:cs="Times New Roman"/>
                <w:color w:val="000000" w:themeColor="text1"/>
                <w:sz w:val="24"/>
                <w:szCs w:val="24"/>
                <w:lang w:val="en-GB"/>
              </w:rPr>
              <w:t>250,000</w:t>
            </w:r>
          </w:p>
        </w:tc>
        <w:tc>
          <w:tcPr>
            <w:tcW w:w="4775" w:type="dxa"/>
            <w:tcBorders>
              <w:left w:val="single" w:sz="4" w:space="0" w:color="000000"/>
              <w:bottom w:val="single" w:sz="4" w:space="0" w:color="000000"/>
              <w:right w:val="single" w:sz="4" w:space="0" w:color="000000"/>
            </w:tcBorders>
            <w:shd w:val="clear" w:color="auto" w:fill="auto"/>
          </w:tcPr>
          <w:p w14:paraId="0B8CAF56" w14:textId="3BC42E4E" w:rsidR="001059A8" w:rsidRPr="00741FEF" w:rsidRDefault="001059A8" w:rsidP="001059A8">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color w:val="000000" w:themeColor="text1"/>
                <w:sz w:val="24"/>
                <w:szCs w:val="24"/>
                <w:lang w:val="en-GB"/>
              </w:rPr>
            </w:pPr>
            <w:r w:rsidRPr="00741FEF">
              <w:rPr>
                <w:rFonts w:ascii="Garamond" w:hAnsi="Garamond" w:cs="Times New Roman"/>
                <w:color w:val="000000" w:themeColor="text1"/>
                <w:sz w:val="24"/>
                <w:szCs w:val="24"/>
                <w:lang w:val="en-GB"/>
              </w:rPr>
              <w:t>Nil</w:t>
            </w:r>
          </w:p>
        </w:tc>
      </w:tr>
      <w:tr w:rsidR="001059A8" w:rsidRPr="00FC4580" w14:paraId="5FE5053C" w14:textId="77777777" w:rsidTr="00741FEF">
        <w:trPr>
          <w:trHeight w:val="298"/>
        </w:trPr>
        <w:tc>
          <w:tcPr>
            <w:cnfStyle w:val="001000000000" w:firstRow="0" w:lastRow="0" w:firstColumn="1" w:lastColumn="0" w:oddVBand="0" w:evenVBand="0" w:oddHBand="0" w:evenHBand="0" w:firstRowFirstColumn="0" w:firstRowLastColumn="0" w:lastRowFirstColumn="0" w:lastRowLastColumn="0"/>
            <w:tcW w:w="3792" w:type="dxa"/>
            <w:tcBorders>
              <w:top w:val="single" w:sz="4" w:space="0" w:color="000000"/>
              <w:left w:val="single" w:sz="4" w:space="0" w:color="000000"/>
              <w:bottom w:val="single" w:sz="4" w:space="0" w:color="000000"/>
              <w:right w:val="single" w:sz="4" w:space="0" w:color="000000"/>
            </w:tcBorders>
            <w:shd w:val="clear" w:color="auto" w:fill="auto"/>
          </w:tcPr>
          <w:p w14:paraId="7871220D" w14:textId="481C1A03" w:rsidR="001059A8" w:rsidRPr="00741FEF" w:rsidRDefault="001059A8" w:rsidP="00EB66B6">
            <w:pPr>
              <w:pStyle w:val="BodyText"/>
              <w:rPr>
                <w:rFonts w:ascii="Garamond" w:hAnsi="Garamond" w:cs="Times New Roman"/>
                <w:color w:val="000000" w:themeColor="text1"/>
                <w:sz w:val="24"/>
                <w:szCs w:val="24"/>
                <w:lang w:val="en-GB"/>
              </w:rPr>
            </w:pPr>
            <w:r w:rsidRPr="00741FEF">
              <w:rPr>
                <w:rFonts w:ascii="Garamond" w:hAnsi="Garamond" w:cs="Times New Roman"/>
                <w:color w:val="000000" w:themeColor="text1"/>
                <w:sz w:val="24"/>
                <w:szCs w:val="24"/>
                <w:lang w:val="en-GB"/>
              </w:rPr>
              <w:t>250,001-500,000</w:t>
            </w:r>
          </w:p>
        </w:tc>
        <w:tc>
          <w:tcPr>
            <w:tcW w:w="4775" w:type="dxa"/>
            <w:tcBorders>
              <w:top w:val="single" w:sz="4" w:space="0" w:color="000000"/>
              <w:left w:val="single" w:sz="4" w:space="0" w:color="000000"/>
              <w:bottom w:val="single" w:sz="4" w:space="0" w:color="000000"/>
              <w:right w:val="single" w:sz="4" w:space="0" w:color="000000"/>
            </w:tcBorders>
            <w:shd w:val="clear" w:color="auto" w:fill="auto"/>
          </w:tcPr>
          <w:p w14:paraId="27345578" w14:textId="67093D08" w:rsidR="001059A8" w:rsidRPr="00741FEF" w:rsidRDefault="001059A8" w:rsidP="001059A8">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24"/>
                <w:szCs w:val="24"/>
                <w:lang w:val="en-GB"/>
              </w:rPr>
            </w:pPr>
            <w:r w:rsidRPr="00741FEF">
              <w:rPr>
                <w:rFonts w:ascii="Garamond" w:hAnsi="Garamond" w:cs="Times New Roman"/>
                <w:color w:val="000000" w:themeColor="text1"/>
                <w:sz w:val="24"/>
                <w:szCs w:val="24"/>
                <w:lang w:val="en-GB"/>
              </w:rPr>
              <w:t>5%</w:t>
            </w:r>
          </w:p>
        </w:tc>
      </w:tr>
      <w:tr w:rsidR="001059A8" w:rsidRPr="00FC4580" w14:paraId="3DBC2B33" w14:textId="77777777" w:rsidTr="00741FEF">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792" w:type="dxa"/>
            <w:tcBorders>
              <w:top w:val="single" w:sz="4" w:space="0" w:color="000000"/>
              <w:left w:val="single" w:sz="4" w:space="0" w:color="000000"/>
              <w:bottom w:val="single" w:sz="4" w:space="0" w:color="000000"/>
              <w:right w:val="single" w:sz="4" w:space="0" w:color="000000"/>
            </w:tcBorders>
            <w:shd w:val="clear" w:color="auto" w:fill="auto"/>
          </w:tcPr>
          <w:p w14:paraId="52B15AA5" w14:textId="121B4467" w:rsidR="001059A8" w:rsidRPr="00741FEF" w:rsidRDefault="001059A8" w:rsidP="00EB66B6">
            <w:pPr>
              <w:pStyle w:val="BodyText"/>
              <w:rPr>
                <w:rFonts w:ascii="Garamond" w:hAnsi="Garamond" w:cs="Times New Roman"/>
                <w:color w:val="000000" w:themeColor="text1"/>
                <w:sz w:val="24"/>
                <w:szCs w:val="24"/>
                <w:lang w:val="en-GB"/>
              </w:rPr>
            </w:pPr>
            <w:r w:rsidRPr="00741FEF">
              <w:rPr>
                <w:rFonts w:ascii="Garamond" w:hAnsi="Garamond" w:cs="Times New Roman"/>
                <w:color w:val="000000" w:themeColor="text1"/>
                <w:sz w:val="24"/>
                <w:szCs w:val="24"/>
                <w:lang w:val="en-GB"/>
              </w:rPr>
              <w:t>500,001-10,00,000</w:t>
            </w:r>
          </w:p>
        </w:tc>
        <w:tc>
          <w:tcPr>
            <w:tcW w:w="4775" w:type="dxa"/>
            <w:tcBorders>
              <w:top w:val="single" w:sz="4" w:space="0" w:color="000000"/>
              <w:left w:val="single" w:sz="4" w:space="0" w:color="000000"/>
              <w:bottom w:val="single" w:sz="4" w:space="0" w:color="000000"/>
              <w:right w:val="single" w:sz="4" w:space="0" w:color="000000"/>
            </w:tcBorders>
            <w:shd w:val="clear" w:color="auto" w:fill="auto"/>
          </w:tcPr>
          <w:p w14:paraId="78EF5882" w14:textId="5D18134F" w:rsidR="001059A8" w:rsidRPr="00741FEF" w:rsidRDefault="001059A8" w:rsidP="001059A8">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color w:val="000000" w:themeColor="text1"/>
                <w:sz w:val="24"/>
                <w:szCs w:val="24"/>
                <w:lang w:val="en-GB"/>
              </w:rPr>
            </w:pPr>
            <w:r w:rsidRPr="00741FEF">
              <w:rPr>
                <w:rFonts w:ascii="Garamond" w:hAnsi="Garamond" w:cs="Times New Roman"/>
                <w:color w:val="000000" w:themeColor="text1"/>
                <w:sz w:val="24"/>
                <w:szCs w:val="24"/>
                <w:lang w:val="en-GB"/>
              </w:rPr>
              <w:t>INR 12500+20% on excess of INR 5 lakhs</w:t>
            </w:r>
          </w:p>
        </w:tc>
      </w:tr>
      <w:tr w:rsidR="001059A8" w:rsidRPr="00FC4580" w14:paraId="06F96956" w14:textId="77777777" w:rsidTr="00741FEF">
        <w:trPr>
          <w:trHeight w:val="290"/>
        </w:trPr>
        <w:tc>
          <w:tcPr>
            <w:cnfStyle w:val="001000000000" w:firstRow="0" w:lastRow="0" w:firstColumn="1" w:lastColumn="0" w:oddVBand="0" w:evenVBand="0" w:oddHBand="0" w:evenHBand="0" w:firstRowFirstColumn="0" w:firstRowLastColumn="0" w:lastRowFirstColumn="0" w:lastRowLastColumn="0"/>
            <w:tcW w:w="3792" w:type="dxa"/>
            <w:tcBorders>
              <w:top w:val="single" w:sz="4" w:space="0" w:color="000000"/>
              <w:left w:val="single" w:sz="4" w:space="0" w:color="000000"/>
              <w:bottom w:val="single" w:sz="4" w:space="0" w:color="000000"/>
              <w:right w:val="single" w:sz="4" w:space="0" w:color="000000"/>
            </w:tcBorders>
            <w:shd w:val="clear" w:color="auto" w:fill="auto"/>
          </w:tcPr>
          <w:p w14:paraId="096B8DA7" w14:textId="48A8D99D" w:rsidR="001059A8" w:rsidRPr="00741FEF" w:rsidRDefault="001059A8" w:rsidP="00EB66B6">
            <w:pPr>
              <w:pStyle w:val="BodyText"/>
              <w:rPr>
                <w:rFonts w:ascii="Garamond" w:hAnsi="Garamond" w:cs="Times New Roman"/>
                <w:color w:val="000000" w:themeColor="text1"/>
                <w:sz w:val="24"/>
                <w:szCs w:val="24"/>
                <w:lang w:val="en-GB"/>
              </w:rPr>
            </w:pPr>
            <w:r w:rsidRPr="00741FEF">
              <w:rPr>
                <w:rFonts w:ascii="Garamond" w:hAnsi="Garamond" w:cs="Times New Roman"/>
                <w:color w:val="000000" w:themeColor="text1"/>
                <w:sz w:val="24"/>
                <w:szCs w:val="24"/>
                <w:lang w:val="en-GB"/>
              </w:rPr>
              <w:t>10,00,001 &amp; Above</w:t>
            </w:r>
          </w:p>
        </w:tc>
        <w:tc>
          <w:tcPr>
            <w:tcW w:w="4775" w:type="dxa"/>
            <w:tcBorders>
              <w:top w:val="single" w:sz="4" w:space="0" w:color="000000"/>
              <w:left w:val="single" w:sz="4" w:space="0" w:color="000000"/>
              <w:bottom w:val="single" w:sz="4" w:space="0" w:color="000000"/>
              <w:right w:val="single" w:sz="4" w:space="0" w:color="000000"/>
            </w:tcBorders>
            <w:shd w:val="clear" w:color="auto" w:fill="auto"/>
          </w:tcPr>
          <w:p w14:paraId="7E260725" w14:textId="371500E8" w:rsidR="001059A8" w:rsidRPr="00741FEF" w:rsidRDefault="001059A8" w:rsidP="0007019F">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color w:val="000000" w:themeColor="text1"/>
                <w:sz w:val="24"/>
                <w:szCs w:val="24"/>
                <w:lang w:val="en-GB"/>
              </w:rPr>
            </w:pPr>
            <w:r w:rsidRPr="00741FEF">
              <w:rPr>
                <w:rFonts w:ascii="Garamond" w:hAnsi="Garamond" w:cs="Times New Roman"/>
                <w:color w:val="000000" w:themeColor="text1"/>
                <w:sz w:val="24"/>
                <w:szCs w:val="24"/>
                <w:lang w:val="en-GB"/>
              </w:rPr>
              <w:t xml:space="preserve">INR </w:t>
            </w:r>
            <w:r w:rsidR="0007019F" w:rsidRPr="00741FEF">
              <w:rPr>
                <w:rFonts w:ascii="Garamond" w:hAnsi="Garamond" w:cs="Times New Roman"/>
                <w:color w:val="000000" w:themeColor="text1"/>
                <w:sz w:val="24"/>
                <w:szCs w:val="24"/>
                <w:lang w:val="en-GB"/>
              </w:rPr>
              <w:t>11</w:t>
            </w:r>
            <w:r w:rsidRPr="00741FEF">
              <w:rPr>
                <w:rFonts w:ascii="Garamond" w:hAnsi="Garamond" w:cs="Times New Roman"/>
                <w:color w:val="000000" w:themeColor="text1"/>
                <w:sz w:val="24"/>
                <w:szCs w:val="24"/>
                <w:lang w:val="en-GB"/>
              </w:rPr>
              <w:t>2,500+30% on excess of INR 10 lakhs</w:t>
            </w:r>
          </w:p>
        </w:tc>
      </w:tr>
    </w:tbl>
    <w:p w14:paraId="352326D4" w14:textId="3B323570" w:rsidR="001D62AE" w:rsidRDefault="001D62AE" w:rsidP="00EB66B6">
      <w:pPr>
        <w:pStyle w:val="BodyText"/>
        <w:rPr>
          <w:rFonts w:ascii="Garamond" w:hAnsi="Garamond"/>
          <w:sz w:val="24"/>
          <w:szCs w:val="24"/>
        </w:rPr>
      </w:pPr>
    </w:p>
    <w:tbl>
      <w:tblPr>
        <w:tblStyle w:val="GridTable3"/>
        <w:tblW w:w="0" w:type="auto"/>
        <w:tblLook w:val="04A0" w:firstRow="1" w:lastRow="0" w:firstColumn="1" w:lastColumn="0" w:noHBand="0" w:noVBand="1"/>
      </w:tblPr>
      <w:tblGrid>
        <w:gridCol w:w="3855"/>
        <w:gridCol w:w="4815"/>
      </w:tblGrid>
      <w:tr w:rsidR="00FE2AA4" w:rsidRPr="00FC4580" w14:paraId="22716223" w14:textId="77777777" w:rsidTr="00741FEF">
        <w:trPr>
          <w:cnfStyle w:val="100000000000" w:firstRow="1" w:lastRow="0" w:firstColumn="0" w:lastColumn="0" w:oddVBand="0" w:evenVBand="0" w:oddHBand="0" w:evenHBand="0" w:firstRowFirstColumn="0" w:firstRowLastColumn="0" w:lastRowFirstColumn="0" w:lastRowLastColumn="0"/>
          <w:trHeight w:val="600"/>
        </w:trPr>
        <w:tc>
          <w:tcPr>
            <w:cnfStyle w:val="001000000100" w:firstRow="0" w:lastRow="0" w:firstColumn="1" w:lastColumn="0" w:oddVBand="0" w:evenVBand="0" w:oddHBand="0" w:evenHBand="0" w:firstRowFirstColumn="1" w:firstRowLastColumn="0" w:lastRowFirstColumn="0" w:lastRowLastColumn="0"/>
            <w:tcW w:w="3855" w:type="dxa"/>
            <w:tcBorders>
              <w:left w:val="single" w:sz="4" w:space="0" w:color="000000"/>
            </w:tcBorders>
            <w:shd w:val="clear" w:color="auto" w:fill="A6A6A6" w:themeFill="background1" w:themeFillShade="A6"/>
          </w:tcPr>
          <w:p w14:paraId="45C15A5F" w14:textId="23B02AB3" w:rsidR="00FE2AA4" w:rsidRPr="00741FEF" w:rsidRDefault="00741FEF" w:rsidP="00FF5002">
            <w:pPr>
              <w:pStyle w:val="BodyText"/>
              <w:rPr>
                <w:rFonts w:ascii="Garamond" w:hAnsi="Garamond" w:cs="Times New Roman"/>
                <w:i w:val="0"/>
                <w:iCs w:val="0"/>
                <w:color w:val="FFFFFF" w:themeColor="background1"/>
                <w:sz w:val="24"/>
                <w:szCs w:val="24"/>
                <w:lang w:val="en-GB"/>
              </w:rPr>
            </w:pPr>
            <w:r w:rsidRPr="00741FEF">
              <w:rPr>
                <w:rFonts w:ascii="Garamond" w:hAnsi="Garamond" w:cs="Times New Roman"/>
                <w:i w:val="0"/>
                <w:iCs w:val="0"/>
                <w:color w:val="FFFFFF" w:themeColor="background1"/>
                <w:sz w:val="24"/>
                <w:szCs w:val="24"/>
                <w:lang w:val="en-GB"/>
              </w:rPr>
              <w:t>New Income Slab (In INR)</w:t>
            </w:r>
          </w:p>
        </w:tc>
        <w:tc>
          <w:tcPr>
            <w:tcW w:w="4815" w:type="dxa"/>
            <w:shd w:val="clear" w:color="auto" w:fill="A6A6A6" w:themeFill="background1" w:themeFillShade="A6"/>
          </w:tcPr>
          <w:p w14:paraId="25B4C189" w14:textId="77E4AFB1" w:rsidR="00FE2AA4" w:rsidRPr="00741FEF" w:rsidRDefault="00741FEF" w:rsidP="00FF5002">
            <w:pPr>
              <w:pStyle w:val="BodyText"/>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color w:val="FFFFFF" w:themeColor="background1"/>
                <w:sz w:val="24"/>
                <w:szCs w:val="24"/>
                <w:lang w:val="en-GB"/>
              </w:rPr>
            </w:pPr>
            <w:r w:rsidRPr="00741FEF">
              <w:rPr>
                <w:rFonts w:ascii="Garamond" w:hAnsi="Garamond" w:cs="Times New Roman"/>
                <w:color w:val="FFFFFF" w:themeColor="background1"/>
                <w:sz w:val="24"/>
                <w:szCs w:val="24"/>
                <w:lang w:val="en-GB"/>
              </w:rPr>
              <w:t>Status of Individuals – General Category</w:t>
            </w:r>
          </w:p>
        </w:tc>
      </w:tr>
      <w:tr w:rsidR="00FE2AA4" w:rsidRPr="00FC4580" w14:paraId="729B87AB" w14:textId="77777777" w:rsidTr="00407EAE">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3855" w:type="dxa"/>
            <w:tcBorders>
              <w:left w:val="single" w:sz="4" w:space="0" w:color="000000"/>
            </w:tcBorders>
            <w:shd w:val="clear" w:color="auto" w:fill="auto"/>
          </w:tcPr>
          <w:p w14:paraId="72CEA97C" w14:textId="77777777" w:rsidR="00FE2AA4" w:rsidRPr="00407EAE" w:rsidRDefault="00FE2AA4" w:rsidP="00407EAE">
            <w:pPr>
              <w:pStyle w:val="BodyText"/>
              <w:jc w:val="left"/>
              <w:rPr>
                <w:rFonts w:ascii="Garamond" w:hAnsi="Garamond" w:cs="Times New Roman"/>
                <w:b/>
                <w:bCs/>
                <w:i w:val="0"/>
                <w:iCs w:val="0"/>
                <w:sz w:val="24"/>
                <w:szCs w:val="24"/>
                <w:lang w:val="en-GB"/>
              </w:rPr>
            </w:pPr>
            <w:r w:rsidRPr="00407EAE">
              <w:rPr>
                <w:rFonts w:ascii="Garamond" w:hAnsi="Garamond" w:cs="Times New Roman"/>
                <w:b/>
                <w:bCs/>
                <w:i w:val="0"/>
                <w:iCs w:val="0"/>
                <w:sz w:val="24"/>
                <w:szCs w:val="24"/>
                <w:lang w:val="en-GB"/>
              </w:rPr>
              <w:t>250,000</w:t>
            </w:r>
          </w:p>
        </w:tc>
        <w:tc>
          <w:tcPr>
            <w:tcW w:w="4815" w:type="dxa"/>
            <w:shd w:val="clear" w:color="auto" w:fill="auto"/>
          </w:tcPr>
          <w:p w14:paraId="7D48F2E7" w14:textId="77777777" w:rsidR="00FE2AA4" w:rsidRPr="00741FEF" w:rsidRDefault="00FE2AA4" w:rsidP="00FF5002">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741FEF">
              <w:rPr>
                <w:rFonts w:ascii="Garamond" w:hAnsi="Garamond" w:cs="Times New Roman"/>
                <w:sz w:val="24"/>
                <w:szCs w:val="24"/>
                <w:lang w:val="en-GB"/>
              </w:rPr>
              <w:t>Nil</w:t>
            </w:r>
          </w:p>
        </w:tc>
      </w:tr>
      <w:tr w:rsidR="00FE2AA4" w:rsidRPr="00FC4580" w14:paraId="159B84C1" w14:textId="77777777" w:rsidTr="00407EAE">
        <w:trPr>
          <w:trHeight w:val="392"/>
        </w:trPr>
        <w:tc>
          <w:tcPr>
            <w:cnfStyle w:val="001000000000" w:firstRow="0" w:lastRow="0" w:firstColumn="1" w:lastColumn="0" w:oddVBand="0" w:evenVBand="0" w:oddHBand="0" w:evenHBand="0" w:firstRowFirstColumn="0" w:firstRowLastColumn="0" w:lastRowFirstColumn="0" w:lastRowLastColumn="0"/>
            <w:tcW w:w="3855" w:type="dxa"/>
            <w:tcBorders>
              <w:left w:val="single" w:sz="4" w:space="0" w:color="000000"/>
            </w:tcBorders>
            <w:shd w:val="clear" w:color="auto" w:fill="auto"/>
          </w:tcPr>
          <w:p w14:paraId="53B09FC9" w14:textId="77777777" w:rsidR="00FE2AA4" w:rsidRPr="00407EAE" w:rsidRDefault="00FE2AA4" w:rsidP="00407EAE">
            <w:pPr>
              <w:pStyle w:val="BodyText"/>
              <w:jc w:val="left"/>
              <w:rPr>
                <w:rFonts w:ascii="Garamond" w:hAnsi="Garamond" w:cs="Times New Roman"/>
                <w:b/>
                <w:bCs/>
                <w:i w:val="0"/>
                <w:iCs w:val="0"/>
                <w:sz w:val="24"/>
                <w:szCs w:val="24"/>
                <w:lang w:val="en-GB"/>
              </w:rPr>
            </w:pPr>
            <w:r w:rsidRPr="00407EAE">
              <w:rPr>
                <w:rFonts w:ascii="Garamond" w:hAnsi="Garamond" w:cs="Times New Roman"/>
                <w:b/>
                <w:bCs/>
                <w:i w:val="0"/>
                <w:iCs w:val="0"/>
                <w:sz w:val="24"/>
                <w:szCs w:val="24"/>
                <w:lang w:val="en-GB"/>
              </w:rPr>
              <w:t>250,001-500,000</w:t>
            </w:r>
          </w:p>
        </w:tc>
        <w:tc>
          <w:tcPr>
            <w:tcW w:w="4815" w:type="dxa"/>
            <w:shd w:val="clear" w:color="auto" w:fill="auto"/>
          </w:tcPr>
          <w:p w14:paraId="39EEB4D1" w14:textId="77777777" w:rsidR="00FE2AA4" w:rsidRPr="00741FEF" w:rsidRDefault="00FE2AA4" w:rsidP="00FF5002">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741FEF">
              <w:rPr>
                <w:rFonts w:ascii="Garamond" w:hAnsi="Garamond" w:cs="Times New Roman"/>
                <w:sz w:val="24"/>
                <w:szCs w:val="24"/>
                <w:lang w:val="en-GB"/>
              </w:rPr>
              <w:t>5%</w:t>
            </w:r>
          </w:p>
        </w:tc>
      </w:tr>
      <w:tr w:rsidR="00FE2AA4" w:rsidRPr="00FC4580" w14:paraId="14421CA0" w14:textId="77777777" w:rsidTr="00407EAE">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855" w:type="dxa"/>
            <w:tcBorders>
              <w:left w:val="single" w:sz="4" w:space="0" w:color="000000"/>
            </w:tcBorders>
            <w:shd w:val="clear" w:color="auto" w:fill="auto"/>
          </w:tcPr>
          <w:p w14:paraId="0A4096E4" w14:textId="5DB11655" w:rsidR="00FE2AA4" w:rsidRPr="00407EAE" w:rsidRDefault="00FE2AA4" w:rsidP="00407EAE">
            <w:pPr>
              <w:pStyle w:val="BodyText"/>
              <w:jc w:val="left"/>
              <w:rPr>
                <w:rFonts w:ascii="Garamond" w:hAnsi="Garamond" w:cs="Times New Roman"/>
                <w:b/>
                <w:bCs/>
                <w:i w:val="0"/>
                <w:iCs w:val="0"/>
                <w:sz w:val="24"/>
                <w:szCs w:val="24"/>
                <w:lang w:val="en-GB"/>
              </w:rPr>
            </w:pPr>
            <w:r w:rsidRPr="00407EAE">
              <w:rPr>
                <w:rFonts w:ascii="Garamond" w:hAnsi="Garamond" w:cs="Times New Roman"/>
                <w:b/>
                <w:bCs/>
                <w:i w:val="0"/>
                <w:iCs w:val="0"/>
                <w:sz w:val="24"/>
                <w:szCs w:val="24"/>
                <w:lang w:val="en-GB"/>
              </w:rPr>
              <w:t>500,001-750,000</w:t>
            </w:r>
          </w:p>
        </w:tc>
        <w:tc>
          <w:tcPr>
            <w:tcW w:w="4815" w:type="dxa"/>
            <w:shd w:val="clear" w:color="auto" w:fill="auto"/>
          </w:tcPr>
          <w:p w14:paraId="6AE953D6" w14:textId="65722375" w:rsidR="00FE2AA4" w:rsidRPr="00741FEF" w:rsidRDefault="00FE2AA4" w:rsidP="00FF5002">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741FEF">
              <w:rPr>
                <w:rFonts w:ascii="Garamond" w:hAnsi="Garamond" w:cs="Times New Roman"/>
                <w:sz w:val="24"/>
                <w:szCs w:val="24"/>
                <w:lang w:val="en-GB"/>
              </w:rPr>
              <w:t>INR 12,500 + 10% on excess of INR 5 lakhs</w:t>
            </w:r>
          </w:p>
        </w:tc>
      </w:tr>
      <w:tr w:rsidR="00FE2AA4" w:rsidRPr="00FC4580" w14:paraId="4F036592" w14:textId="77777777" w:rsidTr="00407EAE">
        <w:trPr>
          <w:trHeight w:val="381"/>
        </w:trPr>
        <w:tc>
          <w:tcPr>
            <w:cnfStyle w:val="001000000000" w:firstRow="0" w:lastRow="0" w:firstColumn="1" w:lastColumn="0" w:oddVBand="0" w:evenVBand="0" w:oddHBand="0" w:evenHBand="0" w:firstRowFirstColumn="0" w:firstRowLastColumn="0" w:lastRowFirstColumn="0" w:lastRowLastColumn="0"/>
            <w:tcW w:w="3855" w:type="dxa"/>
            <w:tcBorders>
              <w:left w:val="single" w:sz="4" w:space="0" w:color="000000"/>
            </w:tcBorders>
            <w:shd w:val="clear" w:color="auto" w:fill="auto"/>
          </w:tcPr>
          <w:p w14:paraId="4750DE8C" w14:textId="151CB796" w:rsidR="00FE2AA4" w:rsidRPr="00407EAE" w:rsidRDefault="00FE2AA4" w:rsidP="00407EAE">
            <w:pPr>
              <w:pStyle w:val="BodyText"/>
              <w:jc w:val="left"/>
              <w:rPr>
                <w:rFonts w:ascii="Garamond" w:hAnsi="Garamond" w:cs="Times New Roman"/>
                <w:b/>
                <w:bCs/>
                <w:i w:val="0"/>
                <w:iCs w:val="0"/>
                <w:sz w:val="24"/>
                <w:szCs w:val="24"/>
                <w:lang w:val="en-GB"/>
              </w:rPr>
            </w:pPr>
            <w:r w:rsidRPr="00407EAE">
              <w:rPr>
                <w:rFonts w:ascii="Garamond" w:hAnsi="Garamond" w:cs="Times New Roman"/>
                <w:b/>
                <w:bCs/>
                <w:i w:val="0"/>
                <w:iCs w:val="0"/>
                <w:sz w:val="24"/>
                <w:szCs w:val="24"/>
                <w:lang w:val="en-GB"/>
              </w:rPr>
              <w:t>750,001-10,00,000</w:t>
            </w:r>
          </w:p>
        </w:tc>
        <w:tc>
          <w:tcPr>
            <w:tcW w:w="4815" w:type="dxa"/>
            <w:shd w:val="clear" w:color="auto" w:fill="auto"/>
          </w:tcPr>
          <w:p w14:paraId="04767216" w14:textId="41A2584A" w:rsidR="00FE2AA4" w:rsidRPr="00741FEF" w:rsidRDefault="00FE2AA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741FEF">
              <w:rPr>
                <w:rFonts w:ascii="Garamond" w:hAnsi="Garamond" w:cs="Times New Roman"/>
                <w:sz w:val="24"/>
                <w:szCs w:val="24"/>
                <w:lang w:val="en-GB"/>
              </w:rPr>
              <w:t>INR 37,500 + 15% on excess of INR 7.5 lakhs</w:t>
            </w:r>
          </w:p>
        </w:tc>
      </w:tr>
      <w:tr w:rsidR="00FE2AA4" w:rsidRPr="00FC4580" w14:paraId="7C8C691C" w14:textId="77777777" w:rsidTr="00407EAE">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3855" w:type="dxa"/>
            <w:tcBorders>
              <w:left w:val="single" w:sz="4" w:space="0" w:color="000000"/>
            </w:tcBorders>
            <w:shd w:val="clear" w:color="auto" w:fill="auto"/>
          </w:tcPr>
          <w:p w14:paraId="510548F1" w14:textId="0B15E5CE" w:rsidR="00FE2AA4" w:rsidRPr="00407EAE" w:rsidRDefault="00FE2AA4" w:rsidP="00407EAE">
            <w:pPr>
              <w:pStyle w:val="BodyText"/>
              <w:jc w:val="left"/>
              <w:rPr>
                <w:rFonts w:ascii="Garamond" w:hAnsi="Garamond" w:cs="Times New Roman"/>
                <w:b/>
                <w:bCs/>
                <w:i w:val="0"/>
                <w:iCs w:val="0"/>
                <w:sz w:val="24"/>
                <w:szCs w:val="24"/>
                <w:lang w:val="en-GB"/>
              </w:rPr>
            </w:pPr>
            <w:r w:rsidRPr="00407EAE">
              <w:rPr>
                <w:rFonts w:ascii="Garamond" w:hAnsi="Garamond" w:cs="Times New Roman"/>
                <w:b/>
                <w:bCs/>
                <w:i w:val="0"/>
                <w:iCs w:val="0"/>
                <w:sz w:val="24"/>
                <w:szCs w:val="24"/>
                <w:lang w:val="en-GB"/>
              </w:rPr>
              <w:t>10,00,001-12,50,000</w:t>
            </w:r>
          </w:p>
        </w:tc>
        <w:tc>
          <w:tcPr>
            <w:tcW w:w="4815" w:type="dxa"/>
            <w:shd w:val="clear" w:color="auto" w:fill="auto"/>
          </w:tcPr>
          <w:p w14:paraId="52CC23F6" w14:textId="56417CEA" w:rsidR="00FE2AA4" w:rsidRPr="00741FEF" w:rsidRDefault="00FE2AA4" w:rsidP="00FE2AA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741FEF">
              <w:rPr>
                <w:rFonts w:ascii="Garamond" w:hAnsi="Garamond" w:cs="Times New Roman"/>
                <w:sz w:val="24"/>
                <w:szCs w:val="24"/>
                <w:lang w:val="en-GB"/>
              </w:rPr>
              <w:t>INR 75,000 + 20% on excess of INR 10 lakhs</w:t>
            </w:r>
          </w:p>
        </w:tc>
      </w:tr>
      <w:tr w:rsidR="00FE2AA4" w:rsidRPr="00FC4580" w14:paraId="74C1C2E9" w14:textId="77777777" w:rsidTr="00407EAE">
        <w:trPr>
          <w:trHeight w:val="381"/>
        </w:trPr>
        <w:tc>
          <w:tcPr>
            <w:cnfStyle w:val="001000000000" w:firstRow="0" w:lastRow="0" w:firstColumn="1" w:lastColumn="0" w:oddVBand="0" w:evenVBand="0" w:oddHBand="0" w:evenHBand="0" w:firstRowFirstColumn="0" w:firstRowLastColumn="0" w:lastRowFirstColumn="0" w:lastRowLastColumn="0"/>
            <w:tcW w:w="3855" w:type="dxa"/>
            <w:tcBorders>
              <w:left w:val="single" w:sz="4" w:space="0" w:color="000000"/>
            </w:tcBorders>
            <w:shd w:val="clear" w:color="auto" w:fill="auto"/>
          </w:tcPr>
          <w:p w14:paraId="6C743C96" w14:textId="35D4C53F" w:rsidR="00FE2AA4" w:rsidRPr="00407EAE" w:rsidRDefault="00FE2AA4" w:rsidP="00407EAE">
            <w:pPr>
              <w:pStyle w:val="BodyText"/>
              <w:jc w:val="left"/>
              <w:rPr>
                <w:rFonts w:ascii="Garamond" w:hAnsi="Garamond" w:cs="Times New Roman"/>
                <w:b/>
                <w:bCs/>
                <w:i w:val="0"/>
                <w:iCs w:val="0"/>
                <w:sz w:val="24"/>
                <w:szCs w:val="24"/>
                <w:lang w:val="en-GB"/>
              </w:rPr>
            </w:pPr>
            <w:r w:rsidRPr="00407EAE">
              <w:rPr>
                <w:rFonts w:ascii="Garamond" w:hAnsi="Garamond" w:cs="Times New Roman"/>
                <w:b/>
                <w:bCs/>
                <w:i w:val="0"/>
                <w:iCs w:val="0"/>
                <w:sz w:val="24"/>
                <w:szCs w:val="24"/>
                <w:lang w:val="en-GB"/>
              </w:rPr>
              <w:t>12,50,001-15,00,000</w:t>
            </w:r>
          </w:p>
        </w:tc>
        <w:tc>
          <w:tcPr>
            <w:tcW w:w="4815" w:type="dxa"/>
            <w:shd w:val="clear" w:color="auto" w:fill="auto"/>
          </w:tcPr>
          <w:p w14:paraId="424539A8" w14:textId="67654372" w:rsidR="00FE2AA4" w:rsidRPr="00741FEF" w:rsidRDefault="00FE2AA4" w:rsidP="00FE2AA4">
            <w:pPr>
              <w:pStyle w:val="BodyText"/>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GB"/>
              </w:rPr>
            </w:pPr>
            <w:r w:rsidRPr="00741FEF">
              <w:rPr>
                <w:rFonts w:ascii="Garamond" w:hAnsi="Garamond" w:cs="Times New Roman"/>
                <w:sz w:val="24"/>
                <w:szCs w:val="24"/>
                <w:lang w:val="en-GB"/>
              </w:rPr>
              <w:t>INR 1,25,000 + 25% on excess of INR 12.5 lakhs</w:t>
            </w:r>
          </w:p>
        </w:tc>
      </w:tr>
      <w:tr w:rsidR="00FE2AA4" w:rsidRPr="00FC4580" w14:paraId="34923735" w14:textId="77777777" w:rsidTr="00407EAE">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3855" w:type="dxa"/>
            <w:tcBorders>
              <w:left w:val="single" w:sz="4" w:space="0" w:color="000000"/>
              <w:bottom w:val="single" w:sz="4" w:space="0" w:color="000000"/>
            </w:tcBorders>
            <w:shd w:val="clear" w:color="auto" w:fill="auto"/>
          </w:tcPr>
          <w:p w14:paraId="42BFDF13" w14:textId="319B808C" w:rsidR="00FE2AA4" w:rsidRPr="00407EAE" w:rsidRDefault="00FE2AA4" w:rsidP="00407EAE">
            <w:pPr>
              <w:pStyle w:val="BodyText"/>
              <w:jc w:val="left"/>
              <w:rPr>
                <w:rFonts w:ascii="Garamond" w:hAnsi="Garamond" w:cs="Times New Roman"/>
                <w:b/>
                <w:bCs/>
                <w:i w:val="0"/>
                <w:iCs w:val="0"/>
                <w:sz w:val="24"/>
                <w:szCs w:val="24"/>
                <w:lang w:val="en-GB"/>
              </w:rPr>
            </w:pPr>
            <w:r w:rsidRPr="00407EAE">
              <w:rPr>
                <w:rFonts w:ascii="Garamond" w:hAnsi="Garamond" w:cs="Times New Roman"/>
                <w:b/>
                <w:bCs/>
                <w:i w:val="0"/>
                <w:iCs w:val="0"/>
                <w:sz w:val="24"/>
                <w:szCs w:val="24"/>
                <w:lang w:val="en-GB"/>
              </w:rPr>
              <w:t>15,00,000 and above</w:t>
            </w:r>
          </w:p>
        </w:tc>
        <w:tc>
          <w:tcPr>
            <w:tcW w:w="4815" w:type="dxa"/>
            <w:tcBorders>
              <w:bottom w:val="single" w:sz="4" w:space="0" w:color="000000"/>
            </w:tcBorders>
            <w:shd w:val="clear" w:color="auto" w:fill="auto"/>
          </w:tcPr>
          <w:p w14:paraId="55DDAF12" w14:textId="38CE5110" w:rsidR="00FE2AA4" w:rsidRPr="00741FEF" w:rsidRDefault="00FE2AA4" w:rsidP="00FE2AA4">
            <w:pPr>
              <w:pStyle w:val="BodyText"/>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GB"/>
              </w:rPr>
            </w:pPr>
            <w:r w:rsidRPr="00741FEF">
              <w:rPr>
                <w:rFonts w:ascii="Garamond" w:hAnsi="Garamond" w:cs="Times New Roman"/>
                <w:sz w:val="24"/>
                <w:szCs w:val="24"/>
                <w:lang w:val="en-GB"/>
              </w:rPr>
              <w:t>INR 1,87,500 + 30% on excess of INR 15 lakhs</w:t>
            </w:r>
          </w:p>
        </w:tc>
      </w:tr>
    </w:tbl>
    <w:p w14:paraId="6FE3854D" w14:textId="274504AC" w:rsidR="00FE2AA4" w:rsidRPr="000C07FC" w:rsidRDefault="00FE2AA4" w:rsidP="00EB66B6">
      <w:pPr>
        <w:pStyle w:val="BodyText"/>
        <w:rPr>
          <w:rFonts w:ascii="Garamond" w:hAnsi="Garamond" w:cs="Times New Roman"/>
          <w:sz w:val="24"/>
          <w:szCs w:val="24"/>
          <w:lang w:val="en-GB"/>
        </w:rPr>
      </w:pPr>
    </w:p>
    <w:p w14:paraId="49551920" w14:textId="1B146AA6" w:rsidR="00225308" w:rsidRPr="00741FEF" w:rsidRDefault="00225308" w:rsidP="00225308">
      <w:pPr>
        <w:pStyle w:val="BodyText"/>
        <w:numPr>
          <w:ilvl w:val="0"/>
          <w:numId w:val="62"/>
        </w:numPr>
        <w:rPr>
          <w:rFonts w:ascii="Garamond" w:hAnsi="Garamond" w:cs="Times New Roman"/>
          <w:sz w:val="24"/>
          <w:szCs w:val="24"/>
          <w:lang w:val="en-GB"/>
        </w:rPr>
      </w:pPr>
      <w:r w:rsidRPr="00741FEF">
        <w:rPr>
          <w:rFonts w:ascii="Garamond" w:hAnsi="Garamond" w:cs="Times New Roman"/>
          <w:sz w:val="24"/>
          <w:szCs w:val="24"/>
          <w:lang w:val="en-GB"/>
        </w:rPr>
        <w:lastRenderedPageBreak/>
        <w:t xml:space="preserve">The option </w:t>
      </w:r>
      <w:r w:rsidR="000C07FC" w:rsidRPr="00741FEF">
        <w:rPr>
          <w:rFonts w:ascii="Garamond" w:hAnsi="Garamond" w:cs="Times New Roman"/>
          <w:sz w:val="24"/>
          <w:szCs w:val="24"/>
          <w:lang w:val="en-GB"/>
        </w:rPr>
        <w:t xml:space="preserve">for new tax rates </w:t>
      </w:r>
      <w:r w:rsidRPr="00741FEF">
        <w:rPr>
          <w:rFonts w:ascii="Garamond" w:hAnsi="Garamond" w:cs="Times New Roman"/>
          <w:sz w:val="24"/>
          <w:szCs w:val="24"/>
          <w:lang w:val="en-GB"/>
        </w:rPr>
        <w:t xml:space="preserve">shall be exercised for every previous year where the individual or the HUF has no business income, and in other cases the option once exercised for a previous year shall be valid for that previous year and all subsequent years. </w:t>
      </w:r>
    </w:p>
    <w:p w14:paraId="761D49D1" w14:textId="77777777" w:rsidR="00225308" w:rsidRPr="00741FEF" w:rsidRDefault="00225308" w:rsidP="00225308">
      <w:pPr>
        <w:pStyle w:val="BodyText"/>
        <w:numPr>
          <w:ilvl w:val="0"/>
          <w:numId w:val="62"/>
        </w:numPr>
        <w:rPr>
          <w:rFonts w:ascii="Garamond" w:hAnsi="Garamond" w:cs="Times New Roman"/>
          <w:sz w:val="24"/>
          <w:szCs w:val="24"/>
          <w:lang w:val="en-GB"/>
        </w:rPr>
      </w:pPr>
      <w:r w:rsidRPr="00741FEF">
        <w:rPr>
          <w:rFonts w:ascii="Garamond" w:hAnsi="Garamond" w:cs="Times New Roman"/>
          <w:sz w:val="24"/>
          <w:szCs w:val="24"/>
          <w:lang w:val="en-GB"/>
        </w:rPr>
        <w:t xml:space="preserve">The option shall become invalid for a previous year or previous years, as the case may be, if the Individual or HUF fails to satisfy the conditions and other provisions of the Act shall apply; </w:t>
      </w:r>
    </w:p>
    <w:p w14:paraId="51551CF4" w14:textId="30F429D7" w:rsidR="00225308" w:rsidRPr="00741FEF" w:rsidRDefault="00225308" w:rsidP="000C07FC">
      <w:pPr>
        <w:pStyle w:val="BodyText"/>
        <w:numPr>
          <w:ilvl w:val="0"/>
          <w:numId w:val="62"/>
        </w:numPr>
        <w:rPr>
          <w:rFonts w:ascii="Garamond" w:hAnsi="Garamond" w:cs="Times New Roman"/>
          <w:sz w:val="24"/>
          <w:szCs w:val="24"/>
          <w:lang w:val="en-GB"/>
        </w:rPr>
      </w:pPr>
      <w:r w:rsidRPr="00741FEF">
        <w:rPr>
          <w:rFonts w:ascii="Garamond" w:hAnsi="Garamond" w:cs="Times New Roman"/>
          <w:sz w:val="24"/>
          <w:szCs w:val="24"/>
          <w:lang w:val="en-GB"/>
        </w:rPr>
        <w:t>The condition for concessional rate shall be that the total income of the individual or HUF is computed, without any exemption or deduction of the following:</w:t>
      </w:r>
    </w:p>
    <w:p w14:paraId="5ED8813B" w14:textId="3820A33A" w:rsidR="00225308" w:rsidRPr="00741FEF" w:rsidRDefault="00225308" w:rsidP="000C07FC">
      <w:pPr>
        <w:pStyle w:val="BodyText"/>
        <w:numPr>
          <w:ilvl w:val="0"/>
          <w:numId w:val="63"/>
        </w:numPr>
        <w:rPr>
          <w:rFonts w:ascii="Garamond" w:hAnsi="Garamond" w:cs="Times New Roman"/>
          <w:sz w:val="24"/>
          <w:szCs w:val="24"/>
          <w:lang w:val="en-GB"/>
        </w:rPr>
      </w:pPr>
      <w:r w:rsidRPr="00741FEF">
        <w:rPr>
          <w:rFonts w:ascii="Garamond" w:hAnsi="Garamond" w:cs="Times New Roman"/>
          <w:sz w:val="24"/>
          <w:szCs w:val="24"/>
          <w:lang w:val="en-GB"/>
        </w:rPr>
        <w:t xml:space="preserve"> Clause (5) – Leave Travel Allowance</w:t>
      </w:r>
      <w:r w:rsidR="000C07FC" w:rsidRPr="00741FEF">
        <w:rPr>
          <w:rFonts w:ascii="Garamond" w:hAnsi="Garamond" w:cs="Times New Roman"/>
          <w:sz w:val="24"/>
          <w:szCs w:val="24"/>
          <w:lang w:val="en-GB"/>
        </w:rPr>
        <w:t xml:space="preserve">, </w:t>
      </w:r>
      <w:r w:rsidRPr="00741FEF">
        <w:rPr>
          <w:rFonts w:ascii="Garamond" w:hAnsi="Garamond" w:cs="Times New Roman"/>
          <w:sz w:val="24"/>
          <w:szCs w:val="24"/>
          <w:lang w:val="en-GB"/>
        </w:rPr>
        <w:t>Clause (13A) – House Rent Allowance</w:t>
      </w:r>
      <w:r w:rsidR="000C07FC" w:rsidRPr="00741FEF">
        <w:rPr>
          <w:rFonts w:ascii="Garamond" w:hAnsi="Garamond" w:cs="Times New Roman"/>
          <w:sz w:val="24"/>
          <w:szCs w:val="24"/>
          <w:lang w:val="en-GB"/>
        </w:rPr>
        <w:t xml:space="preserve">, </w:t>
      </w:r>
      <w:r w:rsidRPr="00741FEF">
        <w:rPr>
          <w:rFonts w:ascii="Garamond" w:hAnsi="Garamond" w:cs="Times New Roman"/>
          <w:sz w:val="24"/>
          <w:szCs w:val="24"/>
          <w:lang w:val="en-GB"/>
        </w:rPr>
        <w:t xml:space="preserve">Clause (14) – Conveyance Allowance, Children Educational Allowance, </w:t>
      </w:r>
      <w:r w:rsidR="00E970FB" w:rsidRPr="00741FEF">
        <w:rPr>
          <w:rFonts w:ascii="Garamond" w:hAnsi="Garamond" w:cs="Times New Roman"/>
          <w:sz w:val="24"/>
          <w:szCs w:val="24"/>
          <w:lang w:val="en-GB"/>
        </w:rPr>
        <w:t xml:space="preserve">Lunch Allowance, </w:t>
      </w:r>
      <w:r w:rsidRPr="00741FEF">
        <w:rPr>
          <w:rFonts w:ascii="Garamond" w:hAnsi="Garamond" w:cs="Times New Roman"/>
          <w:sz w:val="24"/>
          <w:szCs w:val="24"/>
          <w:lang w:val="en-GB"/>
        </w:rPr>
        <w:t>Uniform Allowance, Transport Allowance etc</w:t>
      </w:r>
      <w:r w:rsidR="0062363B" w:rsidRPr="00741FEF">
        <w:rPr>
          <w:rFonts w:ascii="Garamond" w:hAnsi="Garamond" w:cs="Times New Roman"/>
          <w:sz w:val="24"/>
          <w:szCs w:val="24"/>
          <w:lang w:val="en-GB"/>
        </w:rPr>
        <w:t xml:space="preserve"> subject to </w:t>
      </w:r>
      <w:r w:rsidR="000C07FC" w:rsidRPr="00741FEF">
        <w:rPr>
          <w:rFonts w:ascii="Garamond" w:hAnsi="Garamond" w:cs="Times New Roman"/>
          <w:sz w:val="24"/>
          <w:szCs w:val="24"/>
          <w:lang w:val="en-GB"/>
        </w:rPr>
        <w:t xml:space="preserve">certain </w:t>
      </w:r>
      <w:r w:rsidR="0062363B" w:rsidRPr="00741FEF">
        <w:rPr>
          <w:rFonts w:ascii="Garamond" w:hAnsi="Garamond" w:cs="Times New Roman"/>
          <w:sz w:val="24"/>
          <w:szCs w:val="24"/>
          <w:lang w:val="en-GB"/>
        </w:rPr>
        <w:t>exceptions</w:t>
      </w:r>
      <w:r w:rsidR="000C07FC" w:rsidRPr="00741FEF">
        <w:rPr>
          <w:rFonts w:ascii="Garamond" w:hAnsi="Garamond" w:cs="Times New Roman"/>
          <w:sz w:val="24"/>
          <w:szCs w:val="24"/>
          <w:lang w:val="en-GB"/>
        </w:rPr>
        <w:t xml:space="preserve"> of Section 10 of the Act.</w:t>
      </w:r>
    </w:p>
    <w:p w14:paraId="28CD9EF7" w14:textId="2BE94863" w:rsidR="00FF5002" w:rsidRPr="00741FEF" w:rsidRDefault="00225308" w:rsidP="000C07FC">
      <w:pPr>
        <w:pStyle w:val="BodyText"/>
        <w:numPr>
          <w:ilvl w:val="0"/>
          <w:numId w:val="63"/>
        </w:numPr>
        <w:rPr>
          <w:rFonts w:ascii="Garamond" w:hAnsi="Garamond" w:cs="Times New Roman"/>
          <w:sz w:val="24"/>
          <w:szCs w:val="24"/>
          <w:lang w:val="en-GB"/>
        </w:rPr>
      </w:pPr>
      <w:r w:rsidRPr="00741FEF">
        <w:rPr>
          <w:rFonts w:ascii="Garamond" w:hAnsi="Garamond" w:cs="Times New Roman"/>
          <w:sz w:val="24"/>
          <w:szCs w:val="24"/>
          <w:lang w:val="en-GB"/>
        </w:rPr>
        <w:t xml:space="preserve">Clause (17) </w:t>
      </w:r>
      <w:r w:rsidR="00111CBD" w:rsidRPr="00741FEF">
        <w:rPr>
          <w:rFonts w:ascii="Garamond" w:hAnsi="Garamond" w:cs="Times New Roman"/>
          <w:sz w:val="24"/>
          <w:szCs w:val="24"/>
          <w:lang w:val="en-GB"/>
        </w:rPr>
        <w:t>–</w:t>
      </w:r>
      <w:r w:rsidRPr="00741FEF">
        <w:rPr>
          <w:rFonts w:ascii="Garamond" w:hAnsi="Garamond" w:cs="Times New Roman"/>
          <w:sz w:val="24"/>
          <w:szCs w:val="24"/>
          <w:lang w:val="en-GB"/>
        </w:rPr>
        <w:t xml:space="preserve"> </w:t>
      </w:r>
      <w:r w:rsidR="00111CBD" w:rsidRPr="00741FEF">
        <w:rPr>
          <w:rFonts w:ascii="Garamond" w:hAnsi="Garamond" w:cs="Times New Roman"/>
          <w:sz w:val="24"/>
          <w:szCs w:val="24"/>
          <w:lang w:val="en-GB"/>
        </w:rPr>
        <w:t>Allowances to MPs/MLAs</w:t>
      </w:r>
      <w:r w:rsidR="000C07FC" w:rsidRPr="00741FEF">
        <w:rPr>
          <w:rFonts w:ascii="Garamond" w:hAnsi="Garamond" w:cs="Times New Roman"/>
          <w:sz w:val="24"/>
          <w:szCs w:val="24"/>
          <w:lang w:val="en-GB"/>
        </w:rPr>
        <w:t xml:space="preserve">, </w:t>
      </w:r>
      <w:r w:rsidR="00FF5002" w:rsidRPr="00741FEF">
        <w:rPr>
          <w:rFonts w:ascii="Garamond" w:hAnsi="Garamond" w:cs="Times New Roman"/>
          <w:sz w:val="24"/>
          <w:szCs w:val="24"/>
          <w:lang w:val="en-GB"/>
        </w:rPr>
        <w:t>C</w:t>
      </w:r>
      <w:r w:rsidRPr="00741FEF">
        <w:rPr>
          <w:rFonts w:ascii="Garamond" w:hAnsi="Garamond" w:cs="Times New Roman"/>
          <w:sz w:val="24"/>
          <w:szCs w:val="24"/>
          <w:lang w:val="en-GB"/>
        </w:rPr>
        <w:t>lause (32) of section 10</w:t>
      </w:r>
      <w:r w:rsidR="00FF5002" w:rsidRPr="00741FEF">
        <w:rPr>
          <w:rFonts w:ascii="Garamond" w:hAnsi="Garamond" w:cs="Times New Roman"/>
          <w:sz w:val="24"/>
          <w:szCs w:val="24"/>
          <w:lang w:val="en-GB"/>
        </w:rPr>
        <w:t xml:space="preserve"> – Allowance for income of minor</w:t>
      </w:r>
    </w:p>
    <w:p w14:paraId="4652085D" w14:textId="77777777" w:rsidR="00FF5002" w:rsidRPr="00741FEF" w:rsidRDefault="00225308" w:rsidP="00225308">
      <w:pPr>
        <w:pStyle w:val="BodyText"/>
        <w:numPr>
          <w:ilvl w:val="0"/>
          <w:numId w:val="63"/>
        </w:numPr>
        <w:rPr>
          <w:rFonts w:ascii="Garamond" w:hAnsi="Garamond" w:cs="Times New Roman"/>
          <w:sz w:val="24"/>
          <w:szCs w:val="24"/>
          <w:lang w:val="en-GB"/>
        </w:rPr>
      </w:pPr>
      <w:r w:rsidRPr="00741FEF">
        <w:rPr>
          <w:rFonts w:ascii="Garamond" w:hAnsi="Garamond" w:cs="Times New Roman"/>
          <w:sz w:val="24"/>
          <w:szCs w:val="24"/>
          <w:lang w:val="en-GB"/>
        </w:rPr>
        <w:t xml:space="preserve"> </w:t>
      </w:r>
      <w:r w:rsidR="00FF5002" w:rsidRPr="00741FEF">
        <w:rPr>
          <w:rFonts w:ascii="Garamond" w:hAnsi="Garamond" w:cs="Times New Roman"/>
          <w:sz w:val="24"/>
          <w:szCs w:val="24"/>
          <w:lang w:val="en-GB"/>
        </w:rPr>
        <w:t>S</w:t>
      </w:r>
      <w:r w:rsidRPr="00741FEF">
        <w:rPr>
          <w:rFonts w:ascii="Garamond" w:hAnsi="Garamond" w:cs="Times New Roman"/>
          <w:sz w:val="24"/>
          <w:szCs w:val="24"/>
          <w:lang w:val="en-GB"/>
        </w:rPr>
        <w:t>ection 10AA</w:t>
      </w:r>
      <w:r w:rsidR="00FF5002" w:rsidRPr="00741FEF">
        <w:rPr>
          <w:rFonts w:ascii="Garamond" w:hAnsi="Garamond" w:cs="Times New Roman"/>
          <w:sz w:val="24"/>
          <w:szCs w:val="24"/>
          <w:lang w:val="en-GB"/>
        </w:rPr>
        <w:t xml:space="preserve"> – Exemption for SEZ unit</w:t>
      </w:r>
    </w:p>
    <w:p w14:paraId="6826D2DC" w14:textId="77777777" w:rsidR="00FF5002" w:rsidRPr="00741FEF" w:rsidRDefault="00225308" w:rsidP="00225308">
      <w:pPr>
        <w:pStyle w:val="BodyText"/>
        <w:numPr>
          <w:ilvl w:val="0"/>
          <w:numId w:val="63"/>
        </w:numPr>
        <w:rPr>
          <w:rFonts w:ascii="Garamond" w:hAnsi="Garamond" w:cs="Times New Roman"/>
          <w:sz w:val="24"/>
          <w:szCs w:val="24"/>
          <w:lang w:val="en-GB"/>
        </w:rPr>
      </w:pPr>
      <w:r w:rsidRPr="00741FEF">
        <w:rPr>
          <w:rFonts w:ascii="Garamond" w:hAnsi="Garamond" w:cs="Times New Roman"/>
          <w:sz w:val="24"/>
          <w:szCs w:val="24"/>
          <w:lang w:val="en-GB"/>
        </w:rPr>
        <w:t xml:space="preserve"> </w:t>
      </w:r>
      <w:r w:rsidR="00FF5002" w:rsidRPr="00741FEF">
        <w:rPr>
          <w:rFonts w:ascii="Garamond" w:hAnsi="Garamond" w:cs="Times New Roman"/>
          <w:sz w:val="24"/>
          <w:szCs w:val="24"/>
          <w:lang w:val="en-GB"/>
        </w:rPr>
        <w:t>S</w:t>
      </w:r>
      <w:r w:rsidRPr="00741FEF">
        <w:rPr>
          <w:rFonts w:ascii="Garamond" w:hAnsi="Garamond" w:cs="Times New Roman"/>
          <w:sz w:val="24"/>
          <w:szCs w:val="24"/>
          <w:lang w:val="en-GB"/>
        </w:rPr>
        <w:t xml:space="preserve">ection 16 </w:t>
      </w:r>
      <w:r w:rsidR="00FF5002" w:rsidRPr="00741FEF">
        <w:rPr>
          <w:rFonts w:ascii="Garamond" w:hAnsi="Garamond" w:cs="Times New Roman"/>
          <w:sz w:val="24"/>
          <w:szCs w:val="24"/>
          <w:lang w:val="en-GB"/>
        </w:rPr>
        <w:t>– Standard Deduction, Entertainment allowance, professional tax.</w:t>
      </w:r>
    </w:p>
    <w:p w14:paraId="7ECE3BB4" w14:textId="43381898" w:rsidR="00FF5002" w:rsidRPr="00741FEF" w:rsidRDefault="00FF5002">
      <w:pPr>
        <w:pStyle w:val="BodyText"/>
        <w:numPr>
          <w:ilvl w:val="0"/>
          <w:numId w:val="63"/>
        </w:numPr>
        <w:rPr>
          <w:rFonts w:ascii="Garamond" w:hAnsi="Garamond" w:cs="Times New Roman"/>
          <w:sz w:val="24"/>
          <w:szCs w:val="24"/>
          <w:lang w:val="en-GB"/>
        </w:rPr>
      </w:pPr>
      <w:r w:rsidRPr="00741FEF">
        <w:rPr>
          <w:rFonts w:ascii="Garamond" w:hAnsi="Garamond" w:cs="Times New Roman"/>
          <w:sz w:val="24"/>
          <w:szCs w:val="24"/>
          <w:lang w:val="en-GB"/>
        </w:rPr>
        <w:t xml:space="preserve"> C</w:t>
      </w:r>
      <w:r w:rsidR="00225308" w:rsidRPr="00741FEF">
        <w:rPr>
          <w:rFonts w:ascii="Garamond" w:hAnsi="Garamond" w:cs="Times New Roman"/>
          <w:sz w:val="24"/>
          <w:szCs w:val="24"/>
          <w:lang w:val="en-GB"/>
        </w:rPr>
        <w:t xml:space="preserve">lause (b) of </w:t>
      </w:r>
      <w:r w:rsidRPr="00741FEF">
        <w:rPr>
          <w:rFonts w:ascii="Garamond" w:hAnsi="Garamond" w:cs="Times New Roman"/>
          <w:sz w:val="24"/>
          <w:szCs w:val="24"/>
          <w:lang w:val="en-GB"/>
        </w:rPr>
        <w:t>S</w:t>
      </w:r>
      <w:r w:rsidR="00225308" w:rsidRPr="00741FEF">
        <w:rPr>
          <w:rFonts w:ascii="Garamond" w:hAnsi="Garamond" w:cs="Times New Roman"/>
          <w:sz w:val="24"/>
          <w:szCs w:val="24"/>
          <w:lang w:val="en-GB"/>
        </w:rPr>
        <w:t xml:space="preserve">ection 24 </w:t>
      </w:r>
      <w:r w:rsidRPr="00741FEF">
        <w:rPr>
          <w:rFonts w:ascii="Garamond" w:hAnsi="Garamond" w:cs="Times New Roman"/>
          <w:sz w:val="24"/>
          <w:szCs w:val="24"/>
          <w:lang w:val="en-GB"/>
        </w:rPr>
        <w:t xml:space="preserve">– Interest on housing loan of </w:t>
      </w:r>
      <w:proofErr w:type="spellStart"/>
      <w:r w:rsidRPr="00741FEF">
        <w:rPr>
          <w:rFonts w:ascii="Garamond" w:hAnsi="Garamond" w:cs="Times New Roman"/>
          <w:sz w:val="24"/>
          <w:szCs w:val="24"/>
          <w:lang w:val="en-GB"/>
        </w:rPr>
        <w:t>self occupied</w:t>
      </w:r>
      <w:proofErr w:type="spellEnd"/>
      <w:r w:rsidRPr="00741FEF">
        <w:rPr>
          <w:rFonts w:ascii="Garamond" w:hAnsi="Garamond" w:cs="Times New Roman"/>
          <w:sz w:val="24"/>
          <w:szCs w:val="24"/>
          <w:lang w:val="en-GB"/>
        </w:rPr>
        <w:t xml:space="preserve"> or vacant property(Loss under house property)</w:t>
      </w:r>
    </w:p>
    <w:p w14:paraId="6ED4DE1E" w14:textId="0CF414E8" w:rsidR="00FF5002" w:rsidRPr="00741FEF" w:rsidRDefault="00FF5002" w:rsidP="000C07FC">
      <w:pPr>
        <w:pStyle w:val="BodyText"/>
        <w:numPr>
          <w:ilvl w:val="0"/>
          <w:numId w:val="63"/>
        </w:numPr>
        <w:rPr>
          <w:rFonts w:ascii="Garamond" w:hAnsi="Garamond" w:cs="Times New Roman"/>
          <w:sz w:val="24"/>
          <w:szCs w:val="24"/>
          <w:lang w:val="en-GB"/>
        </w:rPr>
      </w:pPr>
      <w:r w:rsidRPr="00741FEF">
        <w:rPr>
          <w:rFonts w:ascii="Garamond" w:hAnsi="Garamond" w:cs="Times New Roman"/>
          <w:sz w:val="24"/>
          <w:szCs w:val="24"/>
          <w:lang w:val="en-GB"/>
        </w:rPr>
        <w:t>S</w:t>
      </w:r>
      <w:r w:rsidR="00225308" w:rsidRPr="00741FEF">
        <w:rPr>
          <w:rFonts w:ascii="Garamond" w:hAnsi="Garamond" w:cs="Times New Roman"/>
          <w:sz w:val="24"/>
          <w:szCs w:val="24"/>
          <w:lang w:val="en-GB"/>
        </w:rPr>
        <w:t xml:space="preserve">ection 32 </w:t>
      </w:r>
      <w:r w:rsidRPr="00741FEF">
        <w:rPr>
          <w:rFonts w:ascii="Garamond" w:hAnsi="Garamond" w:cs="Times New Roman"/>
          <w:sz w:val="24"/>
          <w:szCs w:val="24"/>
          <w:lang w:val="en-GB"/>
        </w:rPr>
        <w:t xml:space="preserve"> - Additional depreciation</w:t>
      </w:r>
      <w:r w:rsidR="000C07FC" w:rsidRPr="00741FEF">
        <w:rPr>
          <w:rFonts w:ascii="Garamond" w:hAnsi="Garamond" w:cs="Times New Roman"/>
          <w:sz w:val="24"/>
          <w:szCs w:val="24"/>
          <w:lang w:val="en-GB"/>
        </w:rPr>
        <w:t xml:space="preserve">, </w:t>
      </w:r>
      <w:r w:rsidRPr="00741FEF">
        <w:rPr>
          <w:rFonts w:ascii="Garamond" w:hAnsi="Garamond" w:cs="Times New Roman"/>
          <w:sz w:val="24"/>
          <w:szCs w:val="24"/>
          <w:lang w:val="en-GB"/>
        </w:rPr>
        <w:t>Deduction under s</w:t>
      </w:r>
      <w:r w:rsidR="00225308" w:rsidRPr="00741FEF">
        <w:rPr>
          <w:rFonts w:ascii="Garamond" w:hAnsi="Garamond" w:cs="Times New Roman"/>
          <w:sz w:val="24"/>
          <w:szCs w:val="24"/>
          <w:lang w:val="en-GB"/>
        </w:rPr>
        <w:t>ection 32AD</w:t>
      </w:r>
      <w:r w:rsidRPr="00741FEF">
        <w:rPr>
          <w:rFonts w:ascii="Garamond" w:hAnsi="Garamond" w:cs="Times New Roman"/>
          <w:sz w:val="24"/>
          <w:szCs w:val="24"/>
          <w:lang w:val="en-GB"/>
        </w:rPr>
        <w:t xml:space="preserve">, </w:t>
      </w:r>
      <w:r w:rsidR="00225308" w:rsidRPr="00741FEF">
        <w:rPr>
          <w:rFonts w:ascii="Garamond" w:hAnsi="Garamond" w:cs="Times New Roman"/>
          <w:sz w:val="24"/>
          <w:szCs w:val="24"/>
          <w:lang w:val="en-GB"/>
        </w:rPr>
        <w:t>33AB</w:t>
      </w:r>
      <w:r w:rsidRPr="00741FEF">
        <w:rPr>
          <w:rFonts w:ascii="Garamond" w:hAnsi="Garamond" w:cs="Times New Roman"/>
          <w:sz w:val="24"/>
          <w:szCs w:val="24"/>
          <w:lang w:val="en-GB"/>
        </w:rPr>
        <w:t xml:space="preserve"> &amp; </w:t>
      </w:r>
      <w:r w:rsidR="00225308" w:rsidRPr="00741FEF">
        <w:rPr>
          <w:rFonts w:ascii="Garamond" w:hAnsi="Garamond" w:cs="Times New Roman"/>
          <w:sz w:val="24"/>
          <w:szCs w:val="24"/>
          <w:lang w:val="en-GB"/>
        </w:rPr>
        <w:t>33ABA</w:t>
      </w:r>
    </w:p>
    <w:p w14:paraId="1DA2E65B" w14:textId="77777777" w:rsidR="00FF5002" w:rsidRPr="00741FEF" w:rsidRDefault="00FF5002" w:rsidP="00225308">
      <w:pPr>
        <w:pStyle w:val="BodyText"/>
        <w:numPr>
          <w:ilvl w:val="0"/>
          <w:numId w:val="63"/>
        </w:numPr>
        <w:rPr>
          <w:rFonts w:ascii="Garamond" w:hAnsi="Garamond" w:cs="Times New Roman"/>
          <w:sz w:val="24"/>
          <w:szCs w:val="24"/>
          <w:lang w:val="en-GB"/>
        </w:rPr>
      </w:pPr>
      <w:r w:rsidRPr="00741FEF">
        <w:rPr>
          <w:rFonts w:ascii="Garamond" w:hAnsi="Garamond" w:cs="Times New Roman"/>
          <w:sz w:val="24"/>
          <w:szCs w:val="24"/>
          <w:lang w:val="en-GB"/>
        </w:rPr>
        <w:t>S</w:t>
      </w:r>
      <w:r w:rsidR="00225308" w:rsidRPr="00741FEF">
        <w:rPr>
          <w:rFonts w:ascii="Garamond" w:hAnsi="Garamond" w:cs="Times New Roman"/>
          <w:sz w:val="24"/>
          <w:szCs w:val="24"/>
          <w:lang w:val="en-GB"/>
        </w:rPr>
        <w:t xml:space="preserve">ection 35 </w:t>
      </w:r>
      <w:r w:rsidRPr="00741FEF">
        <w:rPr>
          <w:rFonts w:ascii="Garamond" w:hAnsi="Garamond" w:cs="Times New Roman"/>
          <w:sz w:val="24"/>
          <w:szCs w:val="24"/>
          <w:lang w:val="en-GB"/>
        </w:rPr>
        <w:t>– Deduction for donation on scientific research</w:t>
      </w:r>
    </w:p>
    <w:p w14:paraId="54B6060B" w14:textId="77777777" w:rsidR="00FF5002" w:rsidRPr="00741FEF" w:rsidRDefault="00FF5002" w:rsidP="00225308">
      <w:pPr>
        <w:pStyle w:val="BodyText"/>
        <w:numPr>
          <w:ilvl w:val="0"/>
          <w:numId w:val="63"/>
        </w:numPr>
        <w:rPr>
          <w:rFonts w:ascii="Garamond" w:hAnsi="Garamond" w:cs="Times New Roman"/>
          <w:sz w:val="24"/>
          <w:szCs w:val="24"/>
          <w:lang w:val="en-GB"/>
        </w:rPr>
      </w:pPr>
      <w:r w:rsidRPr="00741FEF">
        <w:rPr>
          <w:rFonts w:ascii="Garamond" w:hAnsi="Garamond" w:cs="Times New Roman"/>
          <w:sz w:val="24"/>
          <w:szCs w:val="24"/>
          <w:lang w:val="en-GB"/>
        </w:rPr>
        <w:t>S</w:t>
      </w:r>
      <w:r w:rsidR="00225308" w:rsidRPr="00741FEF">
        <w:rPr>
          <w:rFonts w:ascii="Garamond" w:hAnsi="Garamond" w:cs="Times New Roman"/>
          <w:sz w:val="24"/>
          <w:szCs w:val="24"/>
          <w:lang w:val="en-GB"/>
        </w:rPr>
        <w:t>ection 35AD</w:t>
      </w:r>
      <w:r w:rsidRPr="00741FEF">
        <w:rPr>
          <w:rFonts w:ascii="Garamond" w:hAnsi="Garamond" w:cs="Times New Roman"/>
          <w:sz w:val="24"/>
          <w:szCs w:val="24"/>
          <w:lang w:val="en-GB"/>
        </w:rPr>
        <w:t xml:space="preserve"> – Investment linked incentives</w:t>
      </w:r>
    </w:p>
    <w:p w14:paraId="51573B5D" w14:textId="77777777" w:rsidR="00FF5002" w:rsidRPr="00741FEF" w:rsidRDefault="00FF5002" w:rsidP="00225308">
      <w:pPr>
        <w:pStyle w:val="BodyText"/>
        <w:numPr>
          <w:ilvl w:val="0"/>
          <w:numId w:val="63"/>
        </w:numPr>
        <w:rPr>
          <w:rFonts w:ascii="Garamond" w:hAnsi="Garamond" w:cs="Times New Roman"/>
          <w:sz w:val="24"/>
          <w:szCs w:val="24"/>
          <w:lang w:val="en-GB"/>
        </w:rPr>
      </w:pPr>
      <w:r w:rsidRPr="00741FEF">
        <w:rPr>
          <w:rFonts w:ascii="Garamond" w:hAnsi="Garamond" w:cs="Times New Roman"/>
          <w:sz w:val="24"/>
          <w:szCs w:val="24"/>
          <w:lang w:val="en-GB"/>
        </w:rPr>
        <w:t xml:space="preserve"> S</w:t>
      </w:r>
      <w:r w:rsidR="00225308" w:rsidRPr="00741FEF">
        <w:rPr>
          <w:rFonts w:ascii="Garamond" w:hAnsi="Garamond" w:cs="Times New Roman"/>
          <w:sz w:val="24"/>
          <w:szCs w:val="24"/>
          <w:lang w:val="en-GB"/>
        </w:rPr>
        <w:t xml:space="preserve">ection 35CCC </w:t>
      </w:r>
      <w:r w:rsidRPr="00741FEF">
        <w:rPr>
          <w:rFonts w:ascii="Garamond" w:hAnsi="Garamond" w:cs="Times New Roman"/>
          <w:sz w:val="24"/>
          <w:szCs w:val="24"/>
          <w:lang w:val="en-GB"/>
        </w:rPr>
        <w:t>– Expenditure on agricultural extension project</w:t>
      </w:r>
    </w:p>
    <w:p w14:paraId="0496400C" w14:textId="77777777" w:rsidR="00FE7336" w:rsidRPr="00741FEF" w:rsidRDefault="00FF5002" w:rsidP="00225308">
      <w:pPr>
        <w:pStyle w:val="BodyText"/>
        <w:numPr>
          <w:ilvl w:val="0"/>
          <w:numId w:val="63"/>
        </w:numPr>
        <w:rPr>
          <w:rFonts w:ascii="Garamond" w:hAnsi="Garamond" w:cs="Times New Roman"/>
          <w:sz w:val="24"/>
          <w:szCs w:val="24"/>
          <w:lang w:val="en-GB"/>
        </w:rPr>
      </w:pPr>
      <w:r w:rsidRPr="00741FEF">
        <w:rPr>
          <w:rFonts w:ascii="Garamond" w:hAnsi="Garamond" w:cs="Times New Roman"/>
          <w:sz w:val="24"/>
          <w:szCs w:val="24"/>
          <w:lang w:val="en-GB"/>
        </w:rPr>
        <w:t>S</w:t>
      </w:r>
      <w:r w:rsidR="00225308" w:rsidRPr="00741FEF">
        <w:rPr>
          <w:rFonts w:ascii="Garamond" w:hAnsi="Garamond" w:cs="Times New Roman"/>
          <w:sz w:val="24"/>
          <w:szCs w:val="24"/>
          <w:lang w:val="en-GB"/>
        </w:rPr>
        <w:t xml:space="preserve">ection 57 </w:t>
      </w:r>
      <w:r w:rsidR="00FE7336" w:rsidRPr="00741FEF">
        <w:rPr>
          <w:rFonts w:ascii="Garamond" w:hAnsi="Garamond" w:cs="Times New Roman"/>
          <w:sz w:val="24"/>
          <w:szCs w:val="24"/>
          <w:lang w:val="en-GB"/>
        </w:rPr>
        <w:t>–</w:t>
      </w:r>
      <w:r w:rsidRPr="00741FEF">
        <w:rPr>
          <w:rFonts w:ascii="Garamond" w:hAnsi="Garamond" w:cs="Times New Roman"/>
          <w:sz w:val="24"/>
          <w:szCs w:val="24"/>
          <w:lang w:val="en-GB"/>
        </w:rPr>
        <w:t xml:space="preserve"> </w:t>
      </w:r>
      <w:r w:rsidR="00FE7336" w:rsidRPr="00741FEF">
        <w:rPr>
          <w:rFonts w:ascii="Garamond" w:hAnsi="Garamond" w:cs="Times New Roman"/>
          <w:sz w:val="24"/>
          <w:szCs w:val="24"/>
          <w:lang w:val="en-GB"/>
        </w:rPr>
        <w:t>Deduction from Family Pension</w:t>
      </w:r>
    </w:p>
    <w:p w14:paraId="09336D87" w14:textId="5E7F3D9B" w:rsidR="002F4585" w:rsidRPr="00741FEF" w:rsidRDefault="00FE7336" w:rsidP="002F4585">
      <w:pPr>
        <w:pStyle w:val="BodyText"/>
        <w:numPr>
          <w:ilvl w:val="0"/>
          <w:numId w:val="63"/>
        </w:numPr>
        <w:rPr>
          <w:rFonts w:ascii="Garamond" w:hAnsi="Garamond" w:cs="Times New Roman"/>
          <w:sz w:val="24"/>
          <w:szCs w:val="24"/>
          <w:lang w:val="en-GB"/>
        </w:rPr>
      </w:pPr>
      <w:r w:rsidRPr="00741FEF">
        <w:rPr>
          <w:rFonts w:ascii="Garamond" w:hAnsi="Garamond" w:cs="Times New Roman"/>
          <w:sz w:val="24"/>
          <w:szCs w:val="24"/>
          <w:lang w:val="en-GB"/>
        </w:rPr>
        <w:t xml:space="preserve">Deductions in respect of Chapter VI-A except </w:t>
      </w:r>
      <w:r w:rsidR="00225308" w:rsidRPr="00741FEF">
        <w:rPr>
          <w:rFonts w:ascii="Garamond" w:hAnsi="Garamond" w:cs="Times New Roman"/>
          <w:sz w:val="24"/>
          <w:szCs w:val="24"/>
          <w:lang w:val="en-GB"/>
        </w:rPr>
        <w:t xml:space="preserve">section </w:t>
      </w:r>
      <w:r w:rsidR="00225308" w:rsidRPr="00741FEF">
        <w:rPr>
          <w:rFonts w:ascii="Garamond" w:hAnsi="Garamond" w:cs="Times New Roman"/>
          <w:b/>
          <w:bCs/>
          <w:sz w:val="24"/>
          <w:szCs w:val="24"/>
          <w:lang w:val="en-GB"/>
        </w:rPr>
        <w:t xml:space="preserve">80CCD </w:t>
      </w:r>
      <w:r w:rsidR="002F4585" w:rsidRPr="00741FEF">
        <w:rPr>
          <w:rFonts w:ascii="Garamond" w:hAnsi="Garamond" w:cs="Times New Roman"/>
          <w:b/>
          <w:bCs/>
          <w:sz w:val="24"/>
          <w:szCs w:val="24"/>
          <w:lang w:val="en-GB"/>
        </w:rPr>
        <w:t>(NPS)</w:t>
      </w:r>
      <w:r w:rsidR="002F4585" w:rsidRPr="00741FEF">
        <w:rPr>
          <w:rFonts w:ascii="Garamond" w:hAnsi="Garamond" w:cs="Times New Roman"/>
          <w:sz w:val="24"/>
          <w:szCs w:val="24"/>
          <w:lang w:val="en-GB"/>
        </w:rPr>
        <w:t xml:space="preserve"> and</w:t>
      </w:r>
      <w:r w:rsidR="00225308" w:rsidRPr="00741FEF">
        <w:rPr>
          <w:rFonts w:ascii="Garamond" w:hAnsi="Garamond" w:cs="Times New Roman"/>
          <w:sz w:val="24"/>
          <w:szCs w:val="24"/>
          <w:lang w:val="en-GB"/>
        </w:rPr>
        <w:t xml:space="preserve"> </w:t>
      </w:r>
      <w:r w:rsidR="00225308" w:rsidRPr="00741FEF">
        <w:rPr>
          <w:rFonts w:ascii="Garamond" w:hAnsi="Garamond" w:cs="Times New Roman"/>
          <w:b/>
          <w:bCs/>
          <w:sz w:val="24"/>
          <w:szCs w:val="24"/>
          <w:lang w:val="en-GB"/>
        </w:rPr>
        <w:t>section 80JJAA</w:t>
      </w:r>
      <w:r w:rsidR="00045259" w:rsidRPr="00741FEF">
        <w:rPr>
          <w:rFonts w:ascii="Garamond" w:hAnsi="Garamond" w:cs="Times New Roman"/>
          <w:b/>
          <w:bCs/>
          <w:sz w:val="24"/>
          <w:szCs w:val="24"/>
          <w:lang w:val="en-GB"/>
        </w:rPr>
        <w:t>(Incentives for employment generation)</w:t>
      </w:r>
    </w:p>
    <w:p w14:paraId="65539BE4" w14:textId="6BA91BCC" w:rsidR="00EB66B6" w:rsidRPr="00741FEF" w:rsidRDefault="00A8527A" w:rsidP="00EB66B6">
      <w:pPr>
        <w:pStyle w:val="BodyText"/>
        <w:numPr>
          <w:ilvl w:val="0"/>
          <w:numId w:val="62"/>
        </w:numPr>
        <w:rPr>
          <w:rFonts w:ascii="Garamond" w:hAnsi="Garamond" w:cs="Times New Roman"/>
          <w:sz w:val="24"/>
          <w:szCs w:val="24"/>
          <w:lang w:val="en-GB"/>
        </w:rPr>
      </w:pPr>
      <w:r w:rsidRPr="00741FEF">
        <w:rPr>
          <w:rFonts w:ascii="Garamond" w:hAnsi="Garamond" w:cs="Times New Roman"/>
          <w:sz w:val="24"/>
          <w:szCs w:val="24"/>
          <w:lang w:val="en-GB"/>
        </w:rPr>
        <w:t>This amendment will take effect from 1st April, 2021 and will, accordingly, apply in relation to the assessment year 2021-22 and subsequent assessment years.</w:t>
      </w:r>
    </w:p>
    <w:p w14:paraId="40A3DE4D" w14:textId="628C1452" w:rsidR="00EE3ECA" w:rsidRPr="00741FEF" w:rsidRDefault="00EE3ECA" w:rsidP="00EC4095">
      <w:pPr>
        <w:pStyle w:val="BodyText"/>
        <w:rPr>
          <w:sz w:val="24"/>
          <w:szCs w:val="24"/>
        </w:rPr>
      </w:pPr>
    </w:p>
    <w:p w14:paraId="67A1D3BA" w14:textId="06AB631A" w:rsidR="00EC4095" w:rsidRPr="00943CD0" w:rsidRDefault="00943CD0" w:rsidP="00EC4095">
      <w:pPr>
        <w:pStyle w:val="ListParagraph"/>
        <w:numPr>
          <w:ilvl w:val="0"/>
          <w:numId w:val="44"/>
        </w:numPr>
        <w:rPr>
          <w:rFonts w:ascii="Garamond" w:eastAsia="Times New Roman" w:hAnsi="Garamond"/>
          <w:b/>
          <w:bCs/>
          <w:sz w:val="24"/>
          <w:szCs w:val="24"/>
          <w:lang w:val="en-IN"/>
        </w:rPr>
      </w:pPr>
      <w:r>
        <w:rPr>
          <w:rFonts w:ascii="Garamond" w:eastAsia="Times New Roman" w:hAnsi="Garamond"/>
          <w:b/>
          <w:bCs/>
          <w:sz w:val="24"/>
          <w:szCs w:val="24"/>
          <w:lang w:val="en-IN"/>
        </w:rPr>
        <w:lastRenderedPageBreak/>
        <w:t>Tightening of</w:t>
      </w:r>
      <w:r w:rsidR="00EC4095" w:rsidRPr="00943CD0">
        <w:rPr>
          <w:rFonts w:ascii="Garamond" w:eastAsia="Times New Roman" w:hAnsi="Garamond"/>
          <w:b/>
          <w:bCs/>
          <w:sz w:val="24"/>
          <w:szCs w:val="24"/>
          <w:lang w:val="en-IN"/>
        </w:rPr>
        <w:t xml:space="preserve"> residency provisions</w:t>
      </w:r>
    </w:p>
    <w:p w14:paraId="46447C35" w14:textId="77777777" w:rsidR="00EC4095" w:rsidRPr="00741FEF" w:rsidRDefault="00EC4095" w:rsidP="00EC4095">
      <w:pPr>
        <w:pStyle w:val="ListParagraph"/>
        <w:rPr>
          <w:rFonts w:ascii="Garamond" w:hAnsi="Garamond"/>
          <w:sz w:val="24"/>
          <w:szCs w:val="24"/>
        </w:rPr>
      </w:pPr>
    </w:p>
    <w:p w14:paraId="4C5DDDD6" w14:textId="77777777" w:rsidR="00EC4095" w:rsidRPr="00741FEF" w:rsidRDefault="00EC4095" w:rsidP="00EC4095">
      <w:pPr>
        <w:pStyle w:val="ListParagraph"/>
        <w:numPr>
          <w:ilvl w:val="0"/>
          <w:numId w:val="102"/>
        </w:numPr>
        <w:rPr>
          <w:rFonts w:ascii="Garamond" w:eastAsia="Times New Roman" w:hAnsi="Garamond"/>
          <w:sz w:val="24"/>
          <w:szCs w:val="24"/>
          <w:lang w:val="en-IN"/>
        </w:rPr>
      </w:pPr>
      <w:r w:rsidRPr="00741FEF">
        <w:rPr>
          <w:rFonts w:ascii="Garamond" w:eastAsia="Times New Roman" w:hAnsi="Garamond"/>
          <w:sz w:val="24"/>
          <w:szCs w:val="24"/>
          <w:lang w:val="en-IN"/>
        </w:rPr>
        <w:t>It is proposed that the exception provided in clause (b) of Explanation 1 of sub-section (1) to section 6 for visiting India in that year be decreased to 120 days from existing 182 days.</w:t>
      </w:r>
    </w:p>
    <w:p w14:paraId="481439C0" w14:textId="77777777" w:rsidR="00EC4095" w:rsidRPr="00741FEF" w:rsidRDefault="00EC4095" w:rsidP="00EC4095">
      <w:pPr>
        <w:pStyle w:val="ListParagraph"/>
        <w:ind w:left="1080"/>
        <w:rPr>
          <w:rFonts w:ascii="Garamond" w:eastAsia="Times New Roman" w:hAnsi="Garamond"/>
          <w:sz w:val="24"/>
          <w:szCs w:val="24"/>
          <w:lang w:val="en-IN"/>
        </w:rPr>
      </w:pPr>
    </w:p>
    <w:p w14:paraId="4AF860E0" w14:textId="77777777" w:rsidR="00EC4095" w:rsidRPr="00741FEF" w:rsidRDefault="00EC4095" w:rsidP="00EC4095">
      <w:pPr>
        <w:pStyle w:val="ListParagraph"/>
        <w:numPr>
          <w:ilvl w:val="0"/>
          <w:numId w:val="102"/>
        </w:numPr>
        <w:rPr>
          <w:rFonts w:ascii="Garamond" w:eastAsia="Times New Roman" w:hAnsi="Garamond"/>
          <w:sz w:val="24"/>
          <w:szCs w:val="24"/>
          <w:lang w:val="en-IN"/>
        </w:rPr>
      </w:pPr>
      <w:r w:rsidRPr="00741FEF">
        <w:rPr>
          <w:rFonts w:ascii="Garamond" w:eastAsia="Times New Roman" w:hAnsi="Garamond"/>
          <w:sz w:val="24"/>
          <w:szCs w:val="24"/>
          <w:lang w:val="en-IN"/>
        </w:rPr>
        <w:t>an individual or an HUF shall be said to be “not ordinarily resident” in India in a previous year, if the individual or the manager of the HUF has been a non-resident in India in seven out of ten previous years preceding that year. This new condition to replace the existing conditions in clauses (a) and (b) of sub-section (6) of section 6.</w:t>
      </w:r>
    </w:p>
    <w:p w14:paraId="35A96152" w14:textId="77777777" w:rsidR="00EC4095" w:rsidRPr="00741FEF" w:rsidRDefault="00EC4095" w:rsidP="00EC4095">
      <w:pPr>
        <w:pStyle w:val="ListParagraph"/>
        <w:rPr>
          <w:rFonts w:ascii="Garamond" w:eastAsia="Times New Roman" w:hAnsi="Garamond"/>
          <w:sz w:val="24"/>
          <w:szCs w:val="24"/>
          <w:lang w:val="en-IN"/>
        </w:rPr>
      </w:pPr>
    </w:p>
    <w:p w14:paraId="38753BCE" w14:textId="17CDB5AD" w:rsidR="00EC4095" w:rsidRPr="00741FEF" w:rsidRDefault="00EC4095" w:rsidP="00EC4095">
      <w:pPr>
        <w:pStyle w:val="ListParagraph"/>
        <w:numPr>
          <w:ilvl w:val="0"/>
          <w:numId w:val="102"/>
        </w:numPr>
        <w:rPr>
          <w:rFonts w:ascii="Garamond" w:hAnsi="Garamond"/>
          <w:sz w:val="24"/>
          <w:szCs w:val="24"/>
        </w:rPr>
      </w:pPr>
      <w:r w:rsidRPr="00741FEF">
        <w:rPr>
          <w:rFonts w:ascii="Garamond" w:eastAsia="Times New Roman" w:hAnsi="Garamond"/>
          <w:sz w:val="24"/>
          <w:szCs w:val="24"/>
          <w:lang w:val="en-IN"/>
        </w:rPr>
        <w:t>an Indian citizen who is not liable to tax in any other country or territory shall be deemed to be resident in India</w:t>
      </w:r>
      <w:r w:rsidRPr="00741FEF">
        <w:rPr>
          <w:rFonts w:ascii="Garamond" w:hAnsi="Garamond"/>
          <w:sz w:val="24"/>
          <w:szCs w:val="24"/>
        </w:rPr>
        <w:t>.</w:t>
      </w:r>
    </w:p>
    <w:p w14:paraId="0484177F" w14:textId="3B4E8D4D" w:rsidR="00EC4095" w:rsidRDefault="00EC4095" w:rsidP="00EC4095">
      <w:pPr>
        <w:ind w:left="720"/>
        <w:rPr>
          <w:rFonts w:ascii="Garamond" w:hAnsi="Garamond"/>
        </w:rPr>
      </w:pPr>
      <w:r w:rsidRPr="00741FEF">
        <w:rPr>
          <w:rFonts w:ascii="Garamond" w:hAnsi="Garamond"/>
        </w:rPr>
        <w:t>This amendment will take effect from 1st April, 2021 and will, accordingly, apply in relation to the assessment year 2021-22 and subsequent assessment years.</w:t>
      </w:r>
    </w:p>
    <w:p w14:paraId="4F8F838F" w14:textId="4FB6F4D1" w:rsidR="008A7F7D" w:rsidRDefault="008A7F7D" w:rsidP="00EC4095">
      <w:pPr>
        <w:ind w:left="720"/>
        <w:rPr>
          <w:rFonts w:ascii="Garamond" w:hAnsi="Garamond"/>
        </w:rPr>
      </w:pPr>
    </w:p>
    <w:p w14:paraId="38DAD709" w14:textId="79190594" w:rsidR="008A7F7D" w:rsidRPr="00741FEF" w:rsidRDefault="008A7F7D" w:rsidP="00EC4095">
      <w:pPr>
        <w:ind w:left="720"/>
        <w:rPr>
          <w:rFonts w:ascii="Garamond" w:hAnsi="Garamond"/>
        </w:rPr>
      </w:pPr>
      <w:r>
        <w:rPr>
          <w:rFonts w:ascii="Garamond" w:hAnsi="Garamond"/>
        </w:rPr>
        <w:t xml:space="preserve">CBDT has provided clarification that the new provision is not intended to include in tax net those Indian citizens who are </w:t>
      </w:r>
      <w:proofErr w:type="spellStart"/>
      <w:r>
        <w:rPr>
          <w:rFonts w:ascii="Garamond" w:hAnsi="Garamond"/>
        </w:rPr>
        <w:t>bonafide</w:t>
      </w:r>
      <w:proofErr w:type="spellEnd"/>
      <w:r>
        <w:rPr>
          <w:rFonts w:ascii="Garamond" w:hAnsi="Garamond"/>
        </w:rPr>
        <w:t xml:space="preserve"> workers in other countries. </w:t>
      </w:r>
      <w:r w:rsidR="00F90958">
        <w:rPr>
          <w:rFonts w:ascii="Garamond" w:hAnsi="Garamond"/>
        </w:rPr>
        <w:t>It is further clarified that Indian citizen who become deemed resident of India under proposed provision, income earned outside India by him/her shall not be taxed in India unless it is derived from an Indian business or profession.</w:t>
      </w:r>
    </w:p>
    <w:p w14:paraId="71C872A7" w14:textId="31E360B0" w:rsidR="00EC4095" w:rsidRPr="00741FEF" w:rsidRDefault="00EC4095" w:rsidP="00EC4095">
      <w:pPr>
        <w:ind w:left="720"/>
        <w:rPr>
          <w:rFonts w:ascii="Garamond" w:hAnsi="Garamond"/>
        </w:rPr>
      </w:pPr>
    </w:p>
    <w:p w14:paraId="2FCDE846" w14:textId="7EBC23FB" w:rsidR="00EC4095" w:rsidRPr="00741FEF" w:rsidRDefault="00EC4095" w:rsidP="00741FEF">
      <w:pPr>
        <w:pStyle w:val="ListParagraph"/>
        <w:numPr>
          <w:ilvl w:val="0"/>
          <w:numId w:val="44"/>
        </w:numPr>
        <w:rPr>
          <w:rFonts w:ascii="Garamond" w:hAnsi="Garamond"/>
          <w:b/>
          <w:bCs/>
          <w:sz w:val="24"/>
          <w:szCs w:val="24"/>
        </w:rPr>
      </w:pPr>
      <w:r w:rsidRPr="00741FEF">
        <w:rPr>
          <w:rFonts w:ascii="Garamond" w:hAnsi="Garamond"/>
          <w:b/>
          <w:bCs/>
          <w:sz w:val="24"/>
          <w:szCs w:val="24"/>
        </w:rPr>
        <w:t xml:space="preserve">Deferring TDS or tax payment in respect of income pertaining to Employee Stock Option Plan (ESOP) of start- ups. </w:t>
      </w:r>
    </w:p>
    <w:p w14:paraId="217C6633" w14:textId="09549B60" w:rsidR="00EC4095" w:rsidRPr="00741FEF" w:rsidRDefault="00EC4095" w:rsidP="00943CD0">
      <w:pPr>
        <w:ind w:left="720"/>
        <w:rPr>
          <w:rFonts w:ascii="Garamond" w:hAnsi="Garamond"/>
        </w:rPr>
      </w:pPr>
      <w:r w:rsidRPr="00741FEF">
        <w:rPr>
          <w:rFonts w:ascii="Garamond" w:hAnsi="Garamond"/>
        </w:rPr>
        <w:t xml:space="preserve">In order to ease the burden of payment of taxes by the employees of the eligible start-ups or TDS by the start-up employer, it is proposed to amend section 192 of the Act, and insert sub-section (1C) therein to clarify that for the purpose of deducting or paying tax under sub-sections (1) or (1A)  thereof, as the case may be, a person, being an eligible start-up referred to in section 80-IAC, responsible for paying any income to the </w:t>
      </w:r>
      <w:proofErr w:type="spellStart"/>
      <w:r w:rsidRPr="00741FEF">
        <w:rPr>
          <w:rFonts w:ascii="Garamond" w:hAnsi="Garamond"/>
        </w:rPr>
        <w:t>assessee</w:t>
      </w:r>
      <w:proofErr w:type="spellEnd"/>
      <w:r w:rsidRPr="00741FEF">
        <w:rPr>
          <w:rFonts w:ascii="Garamond" w:hAnsi="Garamond"/>
        </w:rPr>
        <w:t xml:space="preserve">  being  perquisite of the nature specified in clause (vi) of sub-section (2) of section 17 of the Act,  in any previous year relevant to the assessment year 2021-22 or subsequent assessment year,  deduct or pay, as the case may be, tax on such income within fourteen days —</w:t>
      </w:r>
    </w:p>
    <w:p w14:paraId="3C698613" w14:textId="6D8AB3A4" w:rsidR="00EC4095" w:rsidRPr="00741FEF" w:rsidRDefault="00EC4095" w:rsidP="00EC4095">
      <w:pPr>
        <w:pStyle w:val="ListParagraph"/>
        <w:numPr>
          <w:ilvl w:val="0"/>
          <w:numId w:val="83"/>
        </w:numPr>
        <w:rPr>
          <w:rFonts w:ascii="Garamond" w:hAnsi="Garamond"/>
          <w:sz w:val="24"/>
          <w:szCs w:val="24"/>
        </w:rPr>
      </w:pPr>
      <w:r w:rsidRPr="00741FEF">
        <w:rPr>
          <w:rFonts w:ascii="Garamond" w:hAnsi="Garamond"/>
          <w:sz w:val="24"/>
          <w:szCs w:val="24"/>
        </w:rPr>
        <w:t xml:space="preserve">after the expiry of </w:t>
      </w:r>
      <w:r w:rsidR="00943CD0">
        <w:rPr>
          <w:rFonts w:ascii="Garamond" w:hAnsi="Garamond"/>
          <w:sz w:val="24"/>
          <w:szCs w:val="24"/>
        </w:rPr>
        <w:t>48</w:t>
      </w:r>
      <w:r w:rsidRPr="00741FEF">
        <w:rPr>
          <w:rFonts w:ascii="Garamond" w:hAnsi="Garamond"/>
          <w:sz w:val="24"/>
          <w:szCs w:val="24"/>
        </w:rPr>
        <w:t xml:space="preserve"> months from the end of the relevant assessment year; or </w:t>
      </w:r>
    </w:p>
    <w:p w14:paraId="37494EAF" w14:textId="01CCC7D6" w:rsidR="00EC4095" w:rsidRPr="00741FEF" w:rsidRDefault="00EC4095" w:rsidP="00EC4095">
      <w:pPr>
        <w:pStyle w:val="ListParagraph"/>
        <w:numPr>
          <w:ilvl w:val="0"/>
          <w:numId w:val="83"/>
        </w:numPr>
        <w:rPr>
          <w:rFonts w:ascii="Garamond" w:hAnsi="Garamond"/>
          <w:sz w:val="24"/>
          <w:szCs w:val="24"/>
        </w:rPr>
      </w:pPr>
      <w:r w:rsidRPr="00741FEF">
        <w:rPr>
          <w:rFonts w:ascii="Garamond" w:hAnsi="Garamond"/>
          <w:sz w:val="24"/>
          <w:szCs w:val="24"/>
        </w:rPr>
        <w:t>from the date of the sale of such specified security or sweat</w:t>
      </w:r>
      <w:r w:rsidR="00943CD0">
        <w:rPr>
          <w:rFonts w:ascii="Garamond" w:hAnsi="Garamond"/>
          <w:sz w:val="24"/>
          <w:szCs w:val="24"/>
        </w:rPr>
        <w:t>-</w:t>
      </w:r>
      <w:r w:rsidRPr="00741FEF">
        <w:rPr>
          <w:rFonts w:ascii="Garamond" w:hAnsi="Garamond"/>
          <w:sz w:val="24"/>
          <w:szCs w:val="24"/>
        </w:rPr>
        <w:t xml:space="preserve">equity share by the </w:t>
      </w:r>
      <w:proofErr w:type="spellStart"/>
      <w:r w:rsidRPr="00741FEF">
        <w:rPr>
          <w:rFonts w:ascii="Garamond" w:hAnsi="Garamond"/>
          <w:sz w:val="24"/>
          <w:szCs w:val="24"/>
        </w:rPr>
        <w:t>assessee</w:t>
      </w:r>
      <w:proofErr w:type="spellEnd"/>
      <w:r w:rsidRPr="00741FEF">
        <w:rPr>
          <w:rFonts w:ascii="Garamond" w:hAnsi="Garamond"/>
          <w:sz w:val="24"/>
          <w:szCs w:val="24"/>
        </w:rPr>
        <w:t xml:space="preserve">; or </w:t>
      </w:r>
    </w:p>
    <w:p w14:paraId="07CD94EC" w14:textId="77777777" w:rsidR="00943CD0" w:rsidRDefault="00EC4095" w:rsidP="00EC4095">
      <w:pPr>
        <w:pStyle w:val="ListParagraph"/>
        <w:numPr>
          <w:ilvl w:val="0"/>
          <w:numId w:val="83"/>
        </w:numPr>
        <w:rPr>
          <w:rFonts w:ascii="Garamond" w:hAnsi="Garamond"/>
          <w:sz w:val="24"/>
          <w:szCs w:val="24"/>
        </w:rPr>
      </w:pPr>
      <w:r w:rsidRPr="00741FEF">
        <w:rPr>
          <w:rFonts w:ascii="Garamond" w:hAnsi="Garamond"/>
          <w:sz w:val="24"/>
          <w:szCs w:val="24"/>
        </w:rPr>
        <w:t xml:space="preserve">from the date of which the </w:t>
      </w:r>
      <w:proofErr w:type="spellStart"/>
      <w:r w:rsidRPr="00741FEF">
        <w:rPr>
          <w:rFonts w:ascii="Garamond" w:hAnsi="Garamond"/>
          <w:sz w:val="24"/>
          <w:szCs w:val="24"/>
        </w:rPr>
        <w:t>assessee</w:t>
      </w:r>
      <w:proofErr w:type="spellEnd"/>
      <w:r w:rsidRPr="00741FEF">
        <w:rPr>
          <w:rFonts w:ascii="Garamond" w:hAnsi="Garamond"/>
          <w:sz w:val="24"/>
          <w:szCs w:val="24"/>
        </w:rPr>
        <w:t xml:space="preserve"> ceases to be the employee of the person;                                                                                                 whichever is the earliest on the basis of rates in force of the financial year in which the said specified security or sweat equity share is allotted or transferred.                                                                                                                                                                     </w:t>
      </w:r>
    </w:p>
    <w:p w14:paraId="125C69DE" w14:textId="3B2EA71B" w:rsidR="00EC4095" w:rsidRPr="00741FEF" w:rsidRDefault="00EC4095" w:rsidP="00EC4095">
      <w:pPr>
        <w:pStyle w:val="ListParagraph"/>
        <w:numPr>
          <w:ilvl w:val="0"/>
          <w:numId w:val="83"/>
        </w:numPr>
        <w:rPr>
          <w:rFonts w:ascii="Garamond" w:hAnsi="Garamond"/>
          <w:sz w:val="24"/>
          <w:szCs w:val="24"/>
        </w:rPr>
      </w:pPr>
      <w:r w:rsidRPr="00741FEF">
        <w:rPr>
          <w:rFonts w:ascii="Garamond" w:hAnsi="Garamond"/>
          <w:sz w:val="24"/>
          <w:szCs w:val="24"/>
        </w:rPr>
        <w:t xml:space="preserve">Similar amendments have been carried out in section 191 (for </w:t>
      </w:r>
      <w:proofErr w:type="spellStart"/>
      <w:r w:rsidRPr="00741FEF">
        <w:rPr>
          <w:rFonts w:ascii="Garamond" w:hAnsi="Garamond"/>
          <w:sz w:val="24"/>
          <w:szCs w:val="24"/>
        </w:rPr>
        <w:t>assessee</w:t>
      </w:r>
      <w:proofErr w:type="spellEnd"/>
      <w:r w:rsidRPr="00741FEF">
        <w:rPr>
          <w:rFonts w:ascii="Garamond" w:hAnsi="Garamond"/>
          <w:sz w:val="24"/>
          <w:szCs w:val="24"/>
        </w:rPr>
        <w:t xml:space="preserve"> to pay the tax direct in case of no TDS) and in section 156 (for notice of demand) and in section 140A (for calculating self-assessment).                                                                                                                 These amendments will take effect from 1st April, 2020.</w:t>
      </w:r>
    </w:p>
    <w:p w14:paraId="64D95A68" w14:textId="12BD40AF" w:rsidR="00741FEF" w:rsidRDefault="00741FEF" w:rsidP="00741FEF">
      <w:pPr>
        <w:pStyle w:val="ListParagraph"/>
        <w:rPr>
          <w:rFonts w:ascii="Garamond" w:eastAsia="Times New Roman" w:hAnsi="Garamond"/>
          <w:sz w:val="24"/>
          <w:szCs w:val="24"/>
          <w:lang w:val="en-IN"/>
        </w:rPr>
      </w:pPr>
    </w:p>
    <w:p w14:paraId="01672DA7" w14:textId="6E4F1C5B" w:rsidR="00741FEF" w:rsidRDefault="00741FEF" w:rsidP="00741FEF">
      <w:pPr>
        <w:pStyle w:val="ListParagraph"/>
        <w:rPr>
          <w:rFonts w:ascii="Garamond" w:eastAsia="Times New Roman" w:hAnsi="Garamond"/>
          <w:sz w:val="24"/>
          <w:szCs w:val="24"/>
          <w:lang w:val="en-IN"/>
        </w:rPr>
      </w:pPr>
    </w:p>
    <w:p w14:paraId="6BFFD434" w14:textId="507CD217" w:rsidR="00741FEF" w:rsidRDefault="00741FEF" w:rsidP="00741FEF">
      <w:pPr>
        <w:pStyle w:val="ListParagraph"/>
        <w:rPr>
          <w:rFonts w:ascii="Garamond" w:eastAsia="Times New Roman" w:hAnsi="Garamond"/>
          <w:sz w:val="24"/>
          <w:szCs w:val="24"/>
          <w:lang w:val="en-IN"/>
        </w:rPr>
      </w:pPr>
    </w:p>
    <w:p w14:paraId="5F94984A" w14:textId="77777777" w:rsidR="00741FEF" w:rsidRPr="00741FEF" w:rsidRDefault="00741FEF" w:rsidP="00741FEF">
      <w:pPr>
        <w:pStyle w:val="ListParagraph"/>
        <w:rPr>
          <w:rFonts w:ascii="Garamond" w:eastAsia="Times New Roman" w:hAnsi="Garamond"/>
          <w:sz w:val="24"/>
          <w:szCs w:val="24"/>
          <w:lang w:val="en-IN"/>
        </w:rPr>
      </w:pPr>
    </w:p>
    <w:p w14:paraId="280AA097" w14:textId="7B5772BB" w:rsidR="00741FEF" w:rsidRPr="00741FEF" w:rsidRDefault="00741FEF" w:rsidP="00741FEF">
      <w:pPr>
        <w:pStyle w:val="ListParagraph"/>
        <w:numPr>
          <w:ilvl w:val="0"/>
          <w:numId w:val="44"/>
        </w:numPr>
        <w:rPr>
          <w:rFonts w:ascii="Garamond" w:eastAsia="Times New Roman" w:hAnsi="Garamond"/>
          <w:b/>
          <w:bCs/>
          <w:sz w:val="24"/>
          <w:szCs w:val="24"/>
          <w:lang w:val="en-IN"/>
        </w:rPr>
      </w:pPr>
      <w:r w:rsidRPr="00741FEF">
        <w:rPr>
          <w:rFonts w:ascii="Garamond" w:eastAsia="Times New Roman" w:hAnsi="Garamond"/>
          <w:b/>
          <w:bCs/>
          <w:sz w:val="24"/>
          <w:szCs w:val="24"/>
          <w:lang w:val="en-IN"/>
        </w:rPr>
        <w:t>Rationalization of tax treatment of employer’s contribution to recognized provident funds, superannuation funds and national pension scheme.</w:t>
      </w:r>
    </w:p>
    <w:p w14:paraId="3ABF8EEE" w14:textId="77777777" w:rsidR="00741FEF" w:rsidRPr="00741FEF" w:rsidRDefault="00741FEF" w:rsidP="00741FEF">
      <w:pPr>
        <w:pStyle w:val="ListParagraph"/>
        <w:rPr>
          <w:rFonts w:ascii="Garamond" w:eastAsia="Times New Roman" w:hAnsi="Garamond"/>
          <w:sz w:val="24"/>
          <w:szCs w:val="24"/>
          <w:lang w:val="en-IN"/>
        </w:rPr>
      </w:pPr>
    </w:p>
    <w:p w14:paraId="7B0108B1" w14:textId="23BEBC05" w:rsidR="00EC4095" w:rsidRDefault="00176EE7" w:rsidP="009367CC">
      <w:pPr>
        <w:ind w:left="720"/>
        <w:rPr>
          <w:rFonts w:ascii="Garamond" w:hAnsi="Garamond"/>
        </w:rPr>
      </w:pPr>
      <w:r w:rsidRPr="009367CC">
        <w:rPr>
          <w:rFonts w:ascii="Garamond" w:hAnsi="Garamond"/>
        </w:rPr>
        <w:t>P</w:t>
      </w:r>
      <w:r w:rsidR="00741FEF" w:rsidRPr="009367CC">
        <w:rPr>
          <w:rFonts w:ascii="Garamond" w:hAnsi="Garamond"/>
        </w:rPr>
        <w:t xml:space="preserve">roposed to </w:t>
      </w:r>
      <w:r w:rsidRPr="009367CC">
        <w:rPr>
          <w:rFonts w:ascii="Garamond" w:hAnsi="Garamond"/>
        </w:rPr>
        <w:t>p</w:t>
      </w:r>
      <w:r w:rsidR="00741FEF" w:rsidRPr="009367CC">
        <w:rPr>
          <w:rFonts w:ascii="Garamond" w:hAnsi="Garamond"/>
        </w:rPr>
        <w:t>rovide a combined upper limit of INR 750,000 in respect of employer's contribution in a year to NPS, superannuation fund and recognised provident fund and any excess contribution is proposed to be taxable. Consequently, it is also proposed that any annual accretion by way of interest, dividend or any other amount of similar nature during the previous year to the balance at the credit of the fund or scheme may be treated as perquisite to the extent it relates to the employer’s contribution which is included in total income.</w:t>
      </w:r>
      <w:r w:rsidR="009367CC">
        <w:rPr>
          <w:rFonts w:ascii="Garamond" w:hAnsi="Garamond"/>
        </w:rPr>
        <w:t xml:space="preserve"> </w:t>
      </w:r>
      <w:r w:rsidR="00741FEF" w:rsidRPr="00741FEF">
        <w:rPr>
          <w:rFonts w:ascii="Garamond" w:hAnsi="Garamond"/>
        </w:rPr>
        <w:t>This amendment will take effect from 1st April, 2021 and will, accordingly, apply in relation to the assessment year</w:t>
      </w:r>
    </w:p>
    <w:p w14:paraId="36EB5B17" w14:textId="7E125E57" w:rsidR="00F462A1" w:rsidRDefault="00F462A1" w:rsidP="00741FEF">
      <w:pPr>
        <w:ind w:left="720"/>
        <w:rPr>
          <w:rFonts w:ascii="Garamond" w:hAnsi="Garamond"/>
        </w:rPr>
      </w:pPr>
    </w:p>
    <w:p w14:paraId="30BD773C" w14:textId="73E9BBD2" w:rsidR="00BB536D" w:rsidRDefault="00BB536D" w:rsidP="00EC4095">
      <w:pPr>
        <w:rPr>
          <w:rFonts w:ascii="Garamond" w:hAnsi="Garamond"/>
        </w:rPr>
      </w:pPr>
    </w:p>
    <w:p w14:paraId="28235BB2" w14:textId="77777777" w:rsidR="003A7F29" w:rsidRPr="003A7F29" w:rsidRDefault="003A7F29" w:rsidP="003A7F29">
      <w:pPr>
        <w:pStyle w:val="ListParagraph"/>
        <w:numPr>
          <w:ilvl w:val="0"/>
          <w:numId w:val="44"/>
        </w:numPr>
        <w:rPr>
          <w:rFonts w:ascii="Garamond" w:eastAsia="Times New Roman" w:hAnsi="Garamond"/>
          <w:b/>
          <w:bCs/>
          <w:sz w:val="24"/>
          <w:szCs w:val="24"/>
          <w:lang w:val="en-IN"/>
        </w:rPr>
      </w:pPr>
      <w:r w:rsidRPr="003A7F29">
        <w:rPr>
          <w:rFonts w:ascii="Garamond" w:eastAsia="Times New Roman" w:hAnsi="Garamond"/>
          <w:b/>
          <w:bCs/>
          <w:sz w:val="24"/>
          <w:szCs w:val="24"/>
          <w:lang w:val="en-IN"/>
        </w:rPr>
        <w:t>Removing dividend distribution tax (DDT) and moving to classical system of taxing dividend in the hands of shareholders/unit holders.</w:t>
      </w:r>
    </w:p>
    <w:p w14:paraId="6F818325" w14:textId="77777777" w:rsidR="003A7F29" w:rsidRDefault="003A7F29" w:rsidP="003A7F29">
      <w:pPr>
        <w:pStyle w:val="ListParagraph"/>
        <w:rPr>
          <w:rFonts w:ascii="Garamond" w:hAnsi="Garamond"/>
        </w:rPr>
      </w:pPr>
    </w:p>
    <w:p w14:paraId="4F270836" w14:textId="77777777" w:rsidR="00C93CB6" w:rsidRPr="00C93CB6" w:rsidRDefault="003A7F29" w:rsidP="00C93CB6">
      <w:pPr>
        <w:pStyle w:val="ListParagraph"/>
        <w:numPr>
          <w:ilvl w:val="0"/>
          <w:numId w:val="126"/>
        </w:numPr>
        <w:rPr>
          <w:rFonts w:ascii="Garamond" w:hAnsi="Garamond"/>
          <w:sz w:val="24"/>
          <w:szCs w:val="24"/>
        </w:rPr>
      </w:pPr>
      <w:r w:rsidRPr="00C93CB6">
        <w:rPr>
          <w:rFonts w:ascii="Garamond" w:hAnsi="Garamond"/>
          <w:sz w:val="24"/>
          <w:szCs w:val="24"/>
        </w:rPr>
        <w:t xml:space="preserve">Dividend or income from units are taxable in the hands of shareholders or unit holders at the applicable rate and the domestic company or specified company or mutual funds are not required to pay any DDT. </w:t>
      </w:r>
    </w:p>
    <w:p w14:paraId="7B581752" w14:textId="77777777" w:rsidR="00C93CB6" w:rsidRPr="00C93CB6" w:rsidRDefault="00C93CB6" w:rsidP="00C93CB6">
      <w:pPr>
        <w:pStyle w:val="ListParagraph"/>
        <w:ind w:left="1080"/>
        <w:rPr>
          <w:rFonts w:ascii="Garamond" w:hAnsi="Garamond"/>
          <w:sz w:val="24"/>
          <w:szCs w:val="24"/>
        </w:rPr>
      </w:pPr>
    </w:p>
    <w:p w14:paraId="7E3D6CC8" w14:textId="77777777" w:rsidR="00C93CB6" w:rsidRPr="00C93CB6" w:rsidRDefault="003A7F29" w:rsidP="00C93CB6">
      <w:pPr>
        <w:pStyle w:val="ListParagraph"/>
        <w:numPr>
          <w:ilvl w:val="0"/>
          <w:numId w:val="126"/>
        </w:numPr>
        <w:rPr>
          <w:rFonts w:ascii="Garamond" w:hAnsi="Garamond"/>
          <w:sz w:val="24"/>
          <w:szCs w:val="24"/>
        </w:rPr>
      </w:pPr>
      <w:r w:rsidRPr="00C93CB6">
        <w:rPr>
          <w:rFonts w:ascii="Garamond" w:hAnsi="Garamond"/>
          <w:sz w:val="24"/>
          <w:szCs w:val="24"/>
        </w:rPr>
        <w:t xml:space="preserve">It is also proposed to provide that the deduction for expense under section 57 of the Act shall be maximum 20 per cent of the dividend or income from units. </w:t>
      </w:r>
    </w:p>
    <w:p w14:paraId="15833649" w14:textId="77777777" w:rsidR="00C93CB6" w:rsidRPr="00C93CB6" w:rsidRDefault="00C93CB6" w:rsidP="00C93CB6">
      <w:pPr>
        <w:pStyle w:val="ListParagraph"/>
        <w:rPr>
          <w:rFonts w:ascii="Garamond" w:hAnsi="Garamond"/>
          <w:sz w:val="24"/>
          <w:szCs w:val="24"/>
        </w:rPr>
      </w:pPr>
    </w:p>
    <w:p w14:paraId="4B079F87" w14:textId="77777777" w:rsidR="00C93CB6" w:rsidRPr="00C93CB6" w:rsidRDefault="003A7F29" w:rsidP="00C93CB6">
      <w:pPr>
        <w:pStyle w:val="ListParagraph"/>
        <w:numPr>
          <w:ilvl w:val="0"/>
          <w:numId w:val="126"/>
        </w:numPr>
        <w:rPr>
          <w:rFonts w:ascii="Garamond" w:hAnsi="Garamond"/>
          <w:sz w:val="24"/>
          <w:szCs w:val="24"/>
        </w:rPr>
      </w:pPr>
      <w:r w:rsidRPr="00C93CB6">
        <w:rPr>
          <w:rFonts w:ascii="Garamond" w:hAnsi="Garamond"/>
          <w:sz w:val="24"/>
          <w:szCs w:val="24"/>
        </w:rPr>
        <w:t xml:space="preserve">To remove cascading effect, set-off will be available in case of holding-subsidiary companies. </w:t>
      </w:r>
    </w:p>
    <w:p w14:paraId="7E7FE8E3" w14:textId="77777777" w:rsidR="00C93CB6" w:rsidRPr="00C93CB6" w:rsidRDefault="00C93CB6" w:rsidP="00C93CB6">
      <w:pPr>
        <w:pStyle w:val="ListParagraph"/>
        <w:rPr>
          <w:rFonts w:ascii="Garamond" w:hAnsi="Garamond"/>
          <w:sz w:val="24"/>
          <w:szCs w:val="24"/>
          <w:lang w:eastAsia="en-GB"/>
        </w:rPr>
      </w:pPr>
    </w:p>
    <w:p w14:paraId="7F695451" w14:textId="0EF0A641" w:rsidR="00C93CB6" w:rsidRPr="00C93CB6" w:rsidRDefault="00C93CB6" w:rsidP="00C93CB6">
      <w:pPr>
        <w:pStyle w:val="ListParagraph"/>
        <w:numPr>
          <w:ilvl w:val="0"/>
          <w:numId w:val="126"/>
        </w:numPr>
        <w:rPr>
          <w:rFonts w:ascii="Garamond" w:hAnsi="Garamond"/>
          <w:sz w:val="24"/>
          <w:szCs w:val="24"/>
          <w:lang w:val="en-IN" w:eastAsia="en-GB"/>
        </w:rPr>
      </w:pPr>
      <w:r w:rsidRPr="00C93CB6">
        <w:rPr>
          <w:rFonts w:ascii="Garamond" w:hAnsi="Garamond"/>
          <w:sz w:val="24"/>
          <w:szCs w:val="24"/>
          <w:lang w:eastAsia="en-GB"/>
        </w:rPr>
        <w:t>WHT at 10% if dividend exceeds INR 5,000 for resident shareholders. WHT at 20% (plus applicable surcharge or cess) or lower treaty rate for NR shareholders</w:t>
      </w:r>
    </w:p>
    <w:p w14:paraId="78833030" w14:textId="77777777" w:rsidR="003A7F29" w:rsidRPr="003A7F29" w:rsidRDefault="003A7F29" w:rsidP="003A7F29">
      <w:pPr>
        <w:ind w:left="720"/>
        <w:rPr>
          <w:rFonts w:ascii="Garamond" w:hAnsi="Garamond"/>
        </w:rPr>
      </w:pPr>
      <w:r w:rsidRPr="003A7F29">
        <w:rPr>
          <w:rFonts w:ascii="Garamond" w:hAnsi="Garamond"/>
        </w:rPr>
        <w:t>Amendments at clause (i) to (xii) above will take effect from 1st April, 2021 and will, accordingly, apply in relation to the assessment year 2021-22 and subsequent assessment years. Amendments at clause (xiii) to (xix) will take effect from 1st April, 2020.</w:t>
      </w:r>
    </w:p>
    <w:p w14:paraId="68D756A1" w14:textId="23891543" w:rsidR="003A7F29" w:rsidRDefault="003A7F29" w:rsidP="00EC4095">
      <w:pPr>
        <w:rPr>
          <w:rFonts w:ascii="Garamond" w:hAnsi="Garamond"/>
        </w:rPr>
      </w:pPr>
    </w:p>
    <w:p w14:paraId="7F07AFFE" w14:textId="2DD8BA15" w:rsidR="003A7F29" w:rsidRPr="00407EAE" w:rsidRDefault="003A7F29" w:rsidP="00407EAE">
      <w:pPr>
        <w:rPr>
          <w:rFonts w:ascii="Garamond" w:hAnsi="Garamond"/>
        </w:rPr>
      </w:pPr>
    </w:p>
    <w:p w14:paraId="56433A4F" w14:textId="146DB6F7" w:rsidR="003A7F29" w:rsidRPr="00063BA2" w:rsidRDefault="003A7F29" w:rsidP="00063BA2">
      <w:pPr>
        <w:rPr>
          <w:rFonts w:ascii="Garamond" w:hAnsi="Garamond"/>
        </w:rPr>
      </w:pPr>
    </w:p>
    <w:p w14:paraId="791704F8" w14:textId="77777777" w:rsidR="003A7F29" w:rsidRPr="00EC4095" w:rsidRDefault="003A7F29" w:rsidP="00EC4095">
      <w:pPr>
        <w:rPr>
          <w:rFonts w:ascii="Garamond" w:hAnsi="Garamond"/>
        </w:rPr>
      </w:pPr>
    </w:p>
    <w:p w14:paraId="19ED328E" w14:textId="06629BD4" w:rsidR="00DF3F34" w:rsidRPr="00134265" w:rsidRDefault="00404D9E" w:rsidP="00134265">
      <w:pPr>
        <w:pStyle w:val="Heading1"/>
        <w:shd w:val="clear" w:color="auto" w:fill="D9D9D9" w:themeFill="background1" w:themeFillShade="D9"/>
        <w:rPr>
          <w:rFonts w:ascii="Garamond" w:hAnsi="Garamond"/>
          <w:i w:val="0"/>
          <w:sz w:val="28"/>
          <w:szCs w:val="24"/>
        </w:rPr>
      </w:pPr>
      <w:bookmarkStart w:id="2" w:name="_Toc32423686"/>
      <w:r w:rsidRPr="00134265">
        <w:rPr>
          <w:rFonts w:ascii="Garamond" w:hAnsi="Garamond"/>
          <w:i w:val="0"/>
          <w:sz w:val="28"/>
          <w:szCs w:val="24"/>
        </w:rPr>
        <w:lastRenderedPageBreak/>
        <w:t>Corporate Taxation</w:t>
      </w:r>
      <w:bookmarkEnd w:id="2"/>
    </w:p>
    <w:p w14:paraId="5CF598AD" w14:textId="07579CAD" w:rsidR="00407EAE" w:rsidRDefault="00407EAE" w:rsidP="00407EAE">
      <w:pPr>
        <w:pStyle w:val="ListParagraph"/>
        <w:numPr>
          <w:ilvl w:val="0"/>
          <w:numId w:val="44"/>
        </w:numPr>
        <w:rPr>
          <w:rFonts w:ascii="Garamond" w:hAnsi="Garamond"/>
          <w:sz w:val="24"/>
          <w:szCs w:val="24"/>
          <w:lang w:val="en-IN"/>
        </w:rPr>
      </w:pPr>
      <w:bookmarkStart w:id="3" w:name="_Toc495505209"/>
      <w:bookmarkStart w:id="4" w:name="_Toc495509253"/>
      <w:r>
        <w:rPr>
          <w:rFonts w:ascii="Garamond" w:hAnsi="Garamond"/>
          <w:sz w:val="24"/>
          <w:szCs w:val="24"/>
          <w:lang w:val="en-IN"/>
        </w:rPr>
        <w:t>Corporate tax rate remains unchanged</w:t>
      </w:r>
    </w:p>
    <w:p w14:paraId="47224248" w14:textId="77777777" w:rsidR="00407EAE" w:rsidRPr="00407EAE" w:rsidRDefault="00407EAE" w:rsidP="00407EAE">
      <w:pPr>
        <w:pStyle w:val="ListParagraph"/>
        <w:rPr>
          <w:rFonts w:ascii="Garamond" w:hAnsi="Garamond"/>
          <w:sz w:val="24"/>
          <w:szCs w:val="24"/>
          <w:lang w:val="en-IN"/>
        </w:rPr>
      </w:pPr>
    </w:p>
    <w:p w14:paraId="188E31DA" w14:textId="5BC2D86C" w:rsidR="00ED291E" w:rsidRDefault="00444D7C" w:rsidP="00407EAE">
      <w:pPr>
        <w:pStyle w:val="ListParagraph"/>
        <w:numPr>
          <w:ilvl w:val="0"/>
          <w:numId w:val="44"/>
        </w:numPr>
        <w:rPr>
          <w:rFonts w:ascii="Garamond" w:hAnsi="Garamond"/>
          <w:sz w:val="24"/>
          <w:szCs w:val="24"/>
          <w:lang w:val="en-IN"/>
        </w:rPr>
      </w:pPr>
      <w:r w:rsidRPr="00407EAE">
        <w:rPr>
          <w:rFonts w:ascii="Garamond" w:hAnsi="Garamond"/>
          <w:sz w:val="24"/>
          <w:szCs w:val="24"/>
        </w:rPr>
        <w:t>Resident co-operative societies have an option to opt for taxation under newly inserted section 115BAD of the Act</w:t>
      </w:r>
      <w:r w:rsidR="00407EAE" w:rsidRPr="00407EAE">
        <w:rPr>
          <w:rFonts w:ascii="Garamond" w:hAnsi="Garamond"/>
          <w:sz w:val="24"/>
          <w:szCs w:val="24"/>
        </w:rPr>
        <w:t xml:space="preserve">. </w:t>
      </w:r>
      <w:r w:rsidR="00407EAE" w:rsidRPr="00407EAE">
        <w:rPr>
          <w:rFonts w:ascii="Garamond" w:hAnsi="Garamond"/>
          <w:sz w:val="24"/>
          <w:szCs w:val="24"/>
          <w:lang w:val="en-IN"/>
        </w:rPr>
        <w:t>A new section 115BAD has been proposed to be inserted to provide an option to the cooperative societies to pay tax at the rate of 22% plus 10% surcharge and 4% cess. The income of such societies shall be computed without claiming specified exemption, deduction or incentive available under the Act. Provisions of Alternate Minimum Tax (AMT) shall not apply to such co-operative societies.</w:t>
      </w:r>
    </w:p>
    <w:p w14:paraId="1DA43CEE" w14:textId="77777777" w:rsidR="00407EAE" w:rsidRPr="00407EAE" w:rsidRDefault="00407EAE" w:rsidP="00407EAE">
      <w:pPr>
        <w:pStyle w:val="ListParagraph"/>
        <w:rPr>
          <w:rFonts w:ascii="Garamond" w:hAnsi="Garamond"/>
          <w:sz w:val="24"/>
          <w:szCs w:val="24"/>
          <w:lang w:val="en-IN"/>
        </w:rPr>
      </w:pPr>
    </w:p>
    <w:p w14:paraId="529260C9" w14:textId="351FEF62" w:rsidR="00ED291E" w:rsidRDefault="00ED291E" w:rsidP="00ED291E">
      <w:pPr>
        <w:pStyle w:val="ListParagraph"/>
        <w:numPr>
          <w:ilvl w:val="0"/>
          <w:numId w:val="44"/>
        </w:numPr>
        <w:spacing w:after="0" w:line="240" w:lineRule="auto"/>
        <w:rPr>
          <w:rFonts w:ascii="Garamond" w:hAnsi="Garamond"/>
          <w:sz w:val="24"/>
          <w:szCs w:val="24"/>
        </w:rPr>
      </w:pPr>
      <w:r>
        <w:rPr>
          <w:rFonts w:ascii="Garamond" w:hAnsi="Garamond"/>
          <w:sz w:val="24"/>
          <w:szCs w:val="24"/>
        </w:rPr>
        <w:t>E</w:t>
      </w:r>
      <w:r w:rsidRPr="00ED291E">
        <w:rPr>
          <w:rFonts w:ascii="Garamond" w:hAnsi="Garamond"/>
          <w:sz w:val="24"/>
          <w:szCs w:val="24"/>
        </w:rPr>
        <w:t>xisting domestic company may opt to pay tax at</w:t>
      </w:r>
      <w:r>
        <w:rPr>
          <w:rFonts w:ascii="Garamond" w:hAnsi="Garamond"/>
          <w:sz w:val="24"/>
          <w:szCs w:val="24"/>
        </w:rPr>
        <w:t xml:space="preserve"> 15 percent (section 115BAB) or</w:t>
      </w:r>
      <w:r w:rsidRPr="00ED291E">
        <w:rPr>
          <w:rFonts w:ascii="Garamond" w:hAnsi="Garamond"/>
          <w:sz w:val="24"/>
          <w:szCs w:val="24"/>
        </w:rPr>
        <w:t xml:space="preserve"> 22 percent</w:t>
      </w:r>
      <w:r>
        <w:rPr>
          <w:rFonts w:ascii="Garamond" w:hAnsi="Garamond"/>
          <w:sz w:val="24"/>
          <w:szCs w:val="24"/>
        </w:rPr>
        <w:t xml:space="preserve"> (section 115BAA)</w:t>
      </w:r>
      <w:r w:rsidRPr="00ED291E">
        <w:rPr>
          <w:rFonts w:ascii="Garamond" w:hAnsi="Garamond"/>
          <w:sz w:val="24"/>
          <w:szCs w:val="24"/>
        </w:rPr>
        <w:t>, if it does not claim any incentive and deduction</w:t>
      </w:r>
      <w:r>
        <w:rPr>
          <w:rFonts w:ascii="Garamond" w:hAnsi="Garamond"/>
          <w:sz w:val="24"/>
          <w:szCs w:val="24"/>
        </w:rPr>
        <w:t xml:space="preserve"> provided under that section. Surcharge is at 10 percent in both cases. </w:t>
      </w:r>
    </w:p>
    <w:p w14:paraId="407EEDF8" w14:textId="77777777" w:rsidR="00C41142" w:rsidRPr="00B44187" w:rsidRDefault="00C41142" w:rsidP="00407EAE">
      <w:pPr>
        <w:pStyle w:val="ListParagraph"/>
        <w:rPr>
          <w:rFonts w:ascii="Garamond" w:hAnsi="Garamond"/>
          <w:sz w:val="24"/>
          <w:szCs w:val="24"/>
        </w:rPr>
      </w:pPr>
    </w:p>
    <w:p w14:paraId="471DA3A0" w14:textId="77777777" w:rsidR="00B77AF4" w:rsidRDefault="00C41142" w:rsidP="00B77AF4">
      <w:pPr>
        <w:pStyle w:val="ListParagraph"/>
        <w:numPr>
          <w:ilvl w:val="0"/>
          <w:numId w:val="65"/>
        </w:numPr>
        <w:spacing w:after="0" w:line="240" w:lineRule="auto"/>
        <w:rPr>
          <w:rFonts w:ascii="Garamond" w:hAnsi="Garamond"/>
          <w:sz w:val="24"/>
          <w:szCs w:val="24"/>
        </w:rPr>
      </w:pPr>
      <w:r w:rsidRPr="00C41142">
        <w:rPr>
          <w:rFonts w:ascii="Garamond" w:hAnsi="Garamond"/>
          <w:sz w:val="24"/>
          <w:szCs w:val="24"/>
        </w:rPr>
        <w:t>It is now proposed to amend the provisions of section 115BAA and section 115BAB to not allow deduction under any provisions of Chapter VI-A other than section 80JJAA or section 80M, in case of domestic companies opting for taxation under these sections.</w:t>
      </w:r>
    </w:p>
    <w:p w14:paraId="10DB19F1" w14:textId="0949AB67" w:rsidR="00C41142" w:rsidRDefault="00C41142" w:rsidP="00B44187">
      <w:pPr>
        <w:pStyle w:val="ListParagraph"/>
        <w:numPr>
          <w:ilvl w:val="0"/>
          <w:numId w:val="65"/>
        </w:numPr>
        <w:spacing w:after="0" w:line="240" w:lineRule="auto"/>
        <w:rPr>
          <w:rFonts w:ascii="Garamond" w:hAnsi="Garamond"/>
          <w:sz w:val="24"/>
          <w:szCs w:val="24"/>
        </w:rPr>
      </w:pPr>
      <w:r w:rsidRPr="00C41142">
        <w:rPr>
          <w:rFonts w:ascii="Garamond" w:hAnsi="Garamond"/>
          <w:sz w:val="24"/>
          <w:szCs w:val="24"/>
        </w:rPr>
        <w:t>These amendments will take effect from 1st April, 2020 and will, accordingly, apply in relation to the assessment year 2020-21 and subsequent assessment years.</w:t>
      </w:r>
    </w:p>
    <w:p w14:paraId="4DCAA1FA" w14:textId="77777777" w:rsidR="00F3630B" w:rsidRDefault="00F3630B" w:rsidP="00F3630B">
      <w:pPr>
        <w:rPr>
          <w:rFonts w:ascii="Garamond" w:hAnsi="Garamond"/>
        </w:rPr>
      </w:pPr>
      <w:r>
        <w:rPr>
          <w:rFonts w:ascii="Garamond" w:hAnsi="Garamond"/>
        </w:rPr>
        <w:t xml:space="preserve">    </w:t>
      </w:r>
    </w:p>
    <w:p w14:paraId="647EB6A2" w14:textId="39A293A1" w:rsidR="00ED291E" w:rsidRPr="00B44187" w:rsidRDefault="00F3630B" w:rsidP="00B44187">
      <w:pPr>
        <w:rPr>
          <w:rFonts w:ascii="Garamond" w:hAnsi="Garamond"/>
        </w:rPr>
      </w:pPr>
      <w:r>
        <w:rPr>
          <w:rFonts w:ascii="Garamond" w:hAnsi="Garamond"/>
        </w:rPr>
        <w:t xml:space="preserve">          </w:t>
      </w:r>
      <w:r w:rsidR="00ED291E" w:rsidRPr="00B44187">
        <w:rPr>
          <w:rFonts w:ascii="Garamond" w:hAnsi="Garamond"/>
        </w:rPr>
        <w:t>In case of the domestic company opting to pay tax at the rate of 22 per cent. under said section, it was provided that,</w:t>
      </w:r>
    </w:p>
    <w:p w14:paraId="19BDEC20" w14:textId="77777777" w:rsidR="00F3630B" w:rsidRDefault="00F3630B" w:rsidP="00F3630B">
      <w:pPr>
        <w:rPr>
          <w:rFonts w:ascii="Garamond" w:hAnsi="Garamond"/>
        </w:rPr>
      </w:pPr>
      <w:r>
        <w:rPr>
          <w:rFonts w:ascii="Garamond" w:hAnsi="Garamond"/>
        </w:rPr>
        <w:t xml:space="preserve">            </w:t>
      </w:r>
    </w:p>
    <w:p w14:paraId="252BCE5F" w14:textId="77777777" w:rsidR="00F3630B" w:rsidRDefault="00F3630B" w:rsidP="00F3630B">
      <w:pPr>
        <w:rPr>
          <w:rFonts w:ascii="Garamond" w:hAnsi="Garamond"/>
        </w:rPr>
      </w:pPr>
      <w:r>
        <w:rPr>
          <w:rFonts w:ascii="Garamond" w:hAnsi="Garamond"/>
        </w:rPr>
        <w:t xml:space="preserve">            </w:t>
      </w:r>
      <w:r w:rsidR="00A8527A" w:rsidRPr="00407EAE">
        <w:rPr>
          <w:rFonts w:ascii="Garamond" w:hAnsi="Garamond"/>
        </w:rPr>
        <w:t xml:space="preserve">a) Failure to satisfy specified conditions would disqualify it for the concessional rate and normal provisions of the Act shall apply. </w:t>
      </w:r>
    </w:p>
    <w:p w14:paraId="2941F380" w14:textId="77777777" w:rsidR="00F3630B" w:rsidRDefault="00F3630B" w:rsidP="00F3630B">
      <w:pPr>
        <w:rPr>
          <w:rFonts w:ascii="Garamond" w:hAnsi="Garamond"/>
        </w:rPr>
      </w:pPr>
      <w:r>
        <w:rPr>
          <w:rFonts w:ascii="Garamond" w:hAnsi="Garamond"/>
        </w:rPr>
        <w:t xml:space="preserve">            </w:t>
      </w:r>
    </w:p>
    <w:p w14:paraId="5169C7CE" w14:textId="1984DBC3" w:rsidR="00A8527A" w:rsidRPr="00407EAE" w:rsidRDefault="00F3630B" w:rsidP="00407EAE">
      <w:pPr>
        <w:ind w:left="630"/>
        <w:rPr>
          <w:rFonts w:ascii="Garamond" w:hAnsi="Garamond"/>
        </w:rPr>
      </w:pPr>
      <w:r>
        <w:rPr>
          <w:rFonts w:ascii="Garamond" w:hAnsi="Garamond"/>
        </w:rPr>
        <w:t xml:space="preserve"> </w:t>
      </w:r>
      <w:r w:rsidR="00A8527A" w:rsidRPr="00407EAE">
        <w:rPr>
          <w:rFonts w:ascii="Garamond" w:hAnsi="Garamond"/>
        </w:rPr>
        <w:t xml:space="preserve">b) Deemed loss or depreciation arising out of amalgamation attributable to any incentive, deduction or exemption, shall not be allowed in </w:t>
      </w:r>
      <w:r>
        <w:rPr>
          <w:rFonts w:ascii="Garamond" w:hAnsi="Garamond"/>
        </w:rPr>
        <w:t xml:space="preserve">     </w:t>
      </w:r>
      <w:r w:rsidR="00A8527A" w:rsidRPr="00407EAE">
        <w:rPr>
          <w:rFonts w:ascii="Garamond" w:hAnsi="Garamond"/>
        </w:rPr>
        <w:t xml:space="preserve">computation of income. </w:t>
      </w:r>
    </w:p>
    <w:p w14:paraId="75A6E620" w14:textId="24BE1F52" w:rsidR="00A8527A" w:rsidRDefault="00A8527A" w:rsidP="00A8527A">
      <w:pPr>
        <w:pStyle w:val="ListParagraph"/>
        <w:spacing w:after="0" w:line="240" w:lineRule="auto"/>
        <w:rPr>
          <w:rFonts w:ascii="Garamond" w:hAnsi="Garamond"/>
          <w:sz w:val="24"/>
          <w:szCs w:val="24"/>
        </w:rPr>
      </w:pPr>
      <w:r w:rsidRPr="00A8527A">
        <w:rPr>
          <w:rFonts w:ascii="Garamond" w:hAnsi="Garamond"/>
          <w:sz w:val="24"/>
          <w:szCs w:val="24"/>
        </w:rPr>
        <w:t xml:space="preserve">(c) </w:t>
      </w:r>
      <w:r>
        <w:rPr>
          <w:rFonts w:ascii="Garamond" w:hAnsi="Garamond"/>
          <w:sz w:val="24"/>
          <w:szCs w:val="24"/>
        </w:rPr>
        <w:t>F</w:t>
      </w:r>
      <w:r w:rsidRPr="00A8527A">
        <w:rPr>
          <w:rFonts w:ascii="Garamond" w:hAnsi="Garamond"/>
          <w:sz w:val="24"/>
          <w:szCs w:val="24"/>
        </w:rPr>
        <w:t xml:space="preserve">or FY 2020-21, where there is unabsorbed depreciation allowance in respect of a block of asset which has not been given full effect to in earlier FYs, corresponding adjustment shall be made to the written down value of such block of assets as on 1st April, 2020.  </w:t>
      </w:r>
    </w:p>
    <w:p w14:paraId="21AFF29E" w14:textId="77777777" w:rsidR="00407EAE" w:rsidRDefault="00407EAE" w:rsidP="00A8527A">
      <w:pPr>
        <w:pStyle w:val="ListParagraph"/>
        <w:spacing w:after="0" w:line="240" w:lineRule="auto"/>
        <w:rPr>
          <w:rFonts w:ascii="Garamond" w:hAnsi="Garamond"/>
          <w:sz w:val="24"/>
          <w:szCs w:val="24"/>
        </w:rPr>
      </w:pPr>
    </w:p>
    <w:p w14:paraId="5991409B" w14:textId="252F467D" w:rsidR="00A8527A" w:rsidRDefault="00A8527A" w:rsidP="00A8527A">
      <w:pPr>
        <w:pStyle w:val="ListParagraph"/>
        <w:spacing w:after="0" w:line="240" w:lineRule="auto"/>
        <w:rPr>
          <w:rFonts w:ascii="Garamond" w:hAnsi="Garamond"/>
          <w:sz w:val="24"/>
          <w:szCs w:val="24"/>
        </w:rPr>
      </w:pPr>
      <w:r w:rsidRPr="00A8527A">
        <w:rPr>
          <w:rFonts w:ascii="Garamond" w:hAnsi="Garamond"/>
          <w:sz w:val="24"/>
          <w:szCs w:val="24"/>
        </w:rPr>
        <w:t xml:space="preserve">(d) </w:t>
      </w:r>
      <w:r>
        <w:rPr>
          <w:rFonts w:ascii="Garamond" w:hAnsi="Garamond"/>
          <w:sz w:val="24"/>
          <w:szCs w:val="24"/>
        </w:rPr>
        <w:t>I</w:t>
      </w:r>
      <w:r w:rsidRPr="00A8527A">
        <w:rPr>
          <w:rFonts w:ascii="Garamond" w:hAnsi="Garamond"/>
          <w:sz w:val="24"/>
          <w:szCs w:val="24"/>
        </w:rPr>
        <w:t xml:space="preserve">t shall be entitled to deduction under section 80LA of the Act, subject to fulfilment of conditions contained therein, in respect of a Unit in the International Financial Services Centre, if any.  </w:t>
      </w:r>
    </w:p>
    <w:p w14:paraId="471D8666" w14:textId="77777777" w:rsidR="00407EAE" w:rsidRDefault="00407EAE" w:rsidP="00407EAE">
      <w:pPr>
        <w:pStyle w:val="ListParagraph"/>
        <w:spacing w:after="0" w:line="240" w:lineRule="auto"/>
        <w:rPr>
          <w:rFonts w:ascii="Garamond" w:hAnsi="Garamond"/>
          <w:sz w:val="24"/>
          <w:szCs w:val="24"/>
        </w:rPr>
      </w:pPr>
    </w:p>
    <w:p w14:paraId="2671D889" w14:textId="63A1A943" w:rsidR="00BB57F6" w:rsidRPr="00407EAE" w:rsidRDefault="00A8527A" w:rsidP="00407EAE">
      <w:pPr>
        <w:pStyle w:val="ListParagraph"/>
        <w:spacing w:after="0" w:line="240" w:lineRule="auto"/>
        <w:rPr>
          <w:rFonts w:ascii="Garamond" w:hAnsi="Garamond"/>
          <w:sz w:val="24"/>
          <w:szCs w:val="24"/>
        </w:rPr>
      </w:pPr>
      <w:r>
        <w:rPr>
          <w:rFonts w:ascii="Garamond" w:hAnsi="Garamond"/>
          <w:sz w:val="24"/>
          <w:szCs w:val="24"/>
        </w:rPr>
        <w:t>(e) It is provided that such company shall not be subjected to MAT and carry forward and set off of MAT credit would not be allowed.</w:t>
      </w:r>
    </w:p>
    <w:p w14:paraId="35997A70" w14:textId="12D92D6E" w:rsidR="00F24341" w:rsidRDefault="00F24341" w:rsidP="00F24341">
      <w:pPr>
        <w:pStyle w:val="ListParagraph"/>
        <w:ind w:left="1080"/>
        <w:rPr>
          <w:rFonts w:ascii="Garamond" w:hAnsi="Garamond"/>
          <w:sz w:val="24"/>
          <w:szCs w:val="24"/>
          <w:lang w:val="en-IN"/>
        </w:rPr>
      </w:pPr>
    </w:p>
    <w:p w14:paraId="30B090C1" w14:textId="77777777" w:rsidR="00D50C2D" w:rsidRDefault="00D50C2D" w:rsidP="00F24341">
      <w:pPr>
        <w:pStyle w:val="ListParagraph"/>
        <w:ind w:left="1080"/>
        <w:rPr>
          <w:rFonts w:ascii="Garamond" w:hAnsi="Garamond"/>
          <w:sz w:val="24"/>
          <w:szCs w:val="24"/>
          <w:lang w:val="en-IN"/>
        </w:rPr>
      </w:pPr>
    </w:p>
    <w:p w14:paraId="7690E2CF" w14:textId="034B3740" w:rsidR="00F24341" w:rsidRPr="00407EAE" w:rsidRDefault="00F24341" w:rsidP="00F24341">
      <w:pPr>
        <w:pStyle w:val="ListParagraph"/>
        <w:numPr>
          <w:ilvl w:val="0"/>
          <w:numId w:val="44"/>
        </w:numPr>
        <w:rPr>
          <w:rFonts w:ascii="Garamond" w:hAnsi="Garamond"/>
          <w:b/>
          <w:bCs/>
          <w:sz w:val="24"/>
          <w:szCs w:val="24"/>
          <w:lang w:val="en-IN"/>
        </w:rPr>
      </w:pPr>
      <w:r w:rsidRPr="00407EAE">
        <w:rPr>
          <w:rFonts w:ascii="Garamond" w:hAnsi="Garamond"/>
          <w:b/>
          <w:bCs/>
          <w:sz w:val="24"/>
          <w:szCs w:val="24"/>
          <w:lang w:val="en-IN"/>
        </w:rPr>
        <w:lastRenderedPageBreak/>
        <w:t>Amendment of section 115BAB of the Act to include generation of electricity as manufacturing</w:t>
      </w:r>
    </w:p>
    <w:p w14:paraId="01E52A6D" w14:textId="48505827" w:rsidR="00407EAE" w:rsidRPr="00407EAE" w:rsidRDefault="00407EAE" w:rsidP="00407EAE">
      <w:pPr>
        <w:pStyle w:val="ListParagraph"/>
        <w:numPr>
          <w:ilvl w:val="0"/>
          <w:numId w:val="73"/>
        </w:numPr>
        <w:rPr>
          <w:rFonts w:ascii="Garamond" w:hAnsi="Garamond"/>
          <w:sz w:val="24"/>
          <w:szCs w:val="24"/>
        </w:rPr>
      </w:pPr>
      <w:r w:rsidRPr="00407EAE">
        <w:rPr>
          <w:rFonts w:ascii="Garamond" w:hAnsi="Garamond"/>
          <w:sz w:val="24"/>
          <w:szCs w:val="24"/>
        </w:rPr>
        <w:t>Beneficial corporate tax rate of 17.16% extended to domestic companies engaged in generation of electricity</w:t>
      </w:r>
    </w:p>
    <w:p w14:paraId="6A43349E" w14:textId="737ABB9C" w:rsidR="00B7666D" w:rsidRPr="00D50C2D" w:rsidRDefault="00407EAE" w:rsidP="00D50C2D">
      <w:pPr>
        <w:pStyle w:val="ListParagraph"/>
        <w:numPr>
          <w:ilvl w:val="0"/>
          <w:numId w:val="73"/>
        </w:numPr>
        <w:rPr>
          <w:rFonts w:ascii="Garamond" w:hAnsi="Garamond"/>
        </w:rPr>
      </w:pPr>
      <w:r w:rsidRPr="00407EAE">
        <w:rPr>
          <w:rFonts w:ascii="Garamond" w:hAnsi="Garamond"/>
          <w:sz w:val="24"/>
          <w:szCs w:val="24"/>
        </w:rPr>
        <w:t>Such entities are entitled to claim deduction for inter-corporate dividends</w:t>
      </w:r>
    </w:p>
    <w:p w14:paraId="06834052" w14:textId="4022466D" w:rsidR="00575279" w:rsidRPr="00134265" w:rsidRDefault="00575279" w:rsidP="00575279">
      <w:pPr>
        <w:pStyle w:val="Heading1"/>
        <w:shd w:val="clear" w:color="auto" w:fill="D9D9D9" w:themeFill="background1" w:themeFillShade="D9"/>
        <w:rPr>
          <w:rFonts w:ascii="Garamond" w:hAnsi="Garamond"/>
          <w:i w:val="0"/>
          <w:sz w:val="28"/>
          <w:szCs w:val="24"/>
        </w:rPr>
      </w:pPr>
      <w:bookmarkStart w:id="5" w:name="_Toc32423687"/>
      <w:r>
        <w:rPr>
          <w:rFonts w:ascii="Garamond" w:hAnsi="Garamond"/>
          <w:i w:val="0"/>
          <w:sz w:val="28"/>
          <w:szCs w:val="24"/>
        </w:rPr>
        <w:lastRenderedPageBreak/>
        <w:t>T</w:t>
      </w:r>
      <w:r w:rsidR="00C93CB6">
        <w:rPr>
          <w:rFonts w:ascii="Garamond" w:hAnsi="Garamond"/>
          <w:i w:val="0"/>
          <w:sz w:val="28"/>
          <w:szCs w:val="24"/>
        </w:rPr>
        <w:t>ax</w:t>
      </w:r>
      <w:r>
        <w:rPr>
          <w:rFonts w:ascii="Garamond" w:hAnsi="Garamond"/>
          <w:i w:val="0"/>
          <w:sz w:val="28"/>
          <w:szCs w:val="24"/>
        </w:rPr>
        <w:t xml:space="preserve"> </w:t>
      </w:r>
      <w:proofErr w:type="spellStart"/>
      <w:r w:rsidR="00C93CB6">
        <w:rPr>
          <w:rFonts w:ascii="Garamond" w:hAnsi="Garamond"/>
          <w:i w:val="0"/>
          <w:sz w:val="28"/>
          <w:szCs w:val="24"/>
        </w:rPr>
        <w:t>Witholding</w:t>
      </w:r>
      <w:bookmarkEnd w:id="5"/>
      <w:proofErr w:type="spellEnd"/>
    </w:p>
    <w:p w14:paraId="524568A9" w14:textId="5C6F9774" w:rsidR="00B7666D" w:rsidRPr="00575279" w:rsidRDefault="00B7666D" w:rsidP="00575279">
      <w:pPr>
        <w:pStyle w:val="ListParagraph"/>
        <w:numPr>
          <w:ilvl w:val="0"/>
          <w:numId w:val="121"/>
        </w:numPr>
        <w:ind w:left="426" w:hanging="426"/>
        <w:rPr>
          <w:rFonts w:ascii="Garamond" w:hAnsi="Garamond"/>
          <w:b/>
          <w:bCs/>
          <w:sz w:val="24"/>
          <w:szCs w:val="24"/>
        </w:rPr>
      </w:pPr>
      <w:r w:rsidRPr="00575279">
        <w:rPr>
          <w:rFonts w:ascii="Garamond" w:hAnsi="Garamond"/>
          <w:b/>
          <w:bCs/>
          <w:sz w:val="24"/>
          <w:szCs w:val="24"/>
        </w:rPr>
        <w:t>Amendment of section 194LC of the Act to extend the period of concessional rate of withholding tax and also to provide for the concessional rate to bonds listed in stock exchanges in IFSC.</w:t>
      </w:r>
    </w:p>
    <w:p w14:paraId="6E6EF96A" w14:textId="77777777" w:rsidR="00FA0E1A" w:rsidRDefault="00FA0E1A" w:rsidP="00575279">
      <w:pPr>
        <w:pStyle w:val="ListParagraph"/>
        <w:rPr>
          <w:rFonts w:ascii="Garamond" w:hAnsi="Garamond"/>
          <w:sz w:val="24"/>
          <w:szCs w:val="24"/>
          <w:lang w:val="en-IN"/>
        </w:rPr>
      </w:pPr>
    </w:p>
    <w:p w14:paraId="3DBDB99B" w14:textId="08C9379B" w:rsidR="00FA0E1A" w:rsidRDefault="00FA0E1A" w:rsidP="00FA0E1A">
      <w:pPr>
        <w:pStyle w:val="ListParagraph"/>
        <w:numPr>
          <w:ilvl w:val="0"/>
          <w:numId w:val="75"/>
        </w:numPr>
        <w:rPr>
          <w:rFonts w:ascii="Garamond" w:hAnsi="Garamond"/>
          <w:sz w:val="24"/>
          <w:szCs w:val="24"/>
          <w:lang w:val="en-IN"/>
        </w:rPr>
      </w:pPr>
      <w:r w:rsidRPr="00FA0E1A">
        <w:rPr>
          <w:rFonts w:ascii="Garamond" w:hAnsi="Garamond"/>
          <w:sz w:val="24"/>
          <w:szCs w:val="24"/>
          <w:lang w:val="en-IN"/>
        </w:rPr>
        <w:t xml:space="preserve">Section 194LC of the Act, provided for a concessional rate of Tax Deductible at Source (TDS) at </w:t>
      </w:r>
      <w:r w:rsidR="009C3EFE">
        <w:rPr>
          <w:rFonts w:ascii="Garamond" w:hAnsi="Garamond"/>
          <w:sz w:val="24"/>
          <w:szCs w:val="24"/>
          <w:lang w:val="en-IN"/>
        </w:rPr>
        <w:t>5%</w:t>
      </w:r>
      <w:r w:rsidRPr="00FA0E1A">
        <w:rPr>
          <w:rFonts w:ascii="Garamond" w:hAnsi="Garamond"/>
          <w:sz w:val="24"/>
          <w:szCs w:val="24"/>
          <w:lang w:val="en-IN"/>
        </w:rPr>
        <w:t xml:space="preserve"> by a specified company or a business trust, on interest paid to non-residents on the following forms of borrowings (approved by the Central Government) made in foreign currency from sources outside India</w:t>
      </w:r>
    </w:p>
    <w:p w14:paraId="14DF11BA" w14:textId="77777777" w:rsidR="00575279" w:rsidRDefault="00575279" w:rsidP="00575279">
      <w:pPr>
        <w:pStyle w:val="ListParagraph"/>
        <w:ind w:left="1080"/>
        <w:rPr>
          <w:rFonts w:ascii="Garamond" w:hAnsi="Garamond"/>
          <w:sz w:val="24"/>
          <w:szCs w:val="24"/>
          <w:lang w:val="en-IN"/>
        </w:rPr>
      </w:pPr>
    </w:p>
    <w:p w14:paraId="68CF5063" w14:textId="24DEDD5D" w:rsidR="00FA0E1A" w:rsidRDefault="00FA0E1A" w:rsidP="00FA0E1A">
      <w:pPr>
        <w:pStyle w:val="ListParagraph"/>
        <w:numPr>
          <w:ilvl w:val="0"/>
          <w:numId w:val="75"/>
        </w:numPr>
        <w:rPr>
          <w:rFonts w:ascii="Garamond" w:hAnsi="Garamond"/>
          <w:sz w:val="24"/>
          <w:szCs w:val="24"/>
          <w:lang w:val="en-IN"/>
        </w:rPr>
      </w:pPr>
      <w:r>
        <w:rPr>
          <w:rFonts w:ascii="Garamond" w:hAnsi="Garamond"/>
          <w:sz w:val="24"/>
          <w:szCs w:val="24"/>
          <w:lang w:val="en-IN"/>
        </w:rPr>
        <w:t>E</w:t>
      </w:r>
      <w:r w:rsidRPr="00FA0E1A">
        <w:rPr>
          <w:rFonts w:ascii="Garamond" w:hAnsi="Garamond"/>
          <w:sz w:val="24"/>
          <w:szCs w:val="24"/>
          <w:lang w:val="en-IN"/>
        </w:rPr>
        <w:t xml:space="preserve">xtend the period of said concessional rate of TDS of </w:t>
      </w:r>
      <w:r w:rsidR="009C3EFE">
        <w:rPr>
          <w:rFonts w:ascii="Garamond" w:hAnsi="Garamond"/>
          <w:sz w:val="24"/>
          <w:szCs w:val="24"/>
          <w:lang w:val="en-IN"/>
        </w:rPr>
        <w:t xml:space="preserve">5% </w:t>
      </w:r>
      <w:r w:rsidRPr="00FA0E1A">
        <w:rPr>
          <w:rFonts w:ascii="Garamond" w:hAnsi="Garamond"/>
          <w:sz w:val="24"/>
          <w:szCs w:val="24"/>
          <w:lang w:val="en-IN"/>
        </w:rPr>
        <w:t>to 1st July, 2023 from 1st July, 2020</w:t>
      </w:r>
    </w:p>
    <w:p w14:paraId="6D8866DB" w14:textId="77777777" w:rsidR="00575279" w:rsidRDefault="00575279" w:rsidP="00575279">
      <w:pPr>
        <w:pStyle w:val="ListParagraph"/>
        <w:ind w:left="1080"/>
        <w:rPr>
          <w:rFonts w:ascii="Garamond" w:hAnsi="Garamond"/>
          <w:sz w:val="24"/>
          <w:szCs w:val="24"/>
          <w:lang w:val="en-IN"/>
        </w:rPr>
      </w:pPr>
    </w:p>
    <w:p w14:paraId="467ED33F" w14:textId="76A9DCCC" w:rsidR="00FA0E1A" w:rsidRDefault="00FA0E1A" w:rsidP="00FA0E1A">
      <w:pPr>
        <w:pStyle w:val="ListParagraph"/>
        <w:numPr>
          <w:ilvl w:val="0"/>
          <w:numId w:val="75"/>
        </w:numPr>
        <w:rPr>
          <w:rFonts w:ascii="Garamond" w:hAnsi="Garamond"/>
          <w:sz w:val="24"/>
          <w:szCs w:val="24"/>
          <w:lang w:val="en-IN"/>
        </w:rPr>
      </w:pPr>
      <w:r w:rsidRPr="00FA0E1A">
        <w:rPr>
          <w:rFonts w:ascii="Garamond" w:hAnsi="Garamond"/>
          <w:sz w:val="24"/>
          <w:szCs w:val="24"/>
          <w:lang w:val="en-IN"/>
        </w:rPr>
        <w:t xml:space="preserve">provide that the rate of TDS shall be </w:t>
      </w:r>
      <w:r w:rsidR="009C3EFE">
        <w:rPr>
          <w:rFonts w:ascii="Garamond" w:hAnsi="Garamond"/>
          <w:sz w:val="24"/>
          <w:szCs w:val="24"/>
          <w:lang w:val="en-IN"/>
        </w:rPr>
        <w:t>4%</w:t>
      </w:r>
      <w:r w:rsidRPr="00FA0E1A">
        <w:rPr>
          <w:rFonts w:ascii="Garamond" w:hAnsi="Garamond"/>
          <w:sz w:val="24"/>
          <w:szCs w:val="24"/>
          <w:lang w:val="en-IN"/>
        </w:rPr>
        <w:t xml:space="preserve"> on the interest payable to a non-resident, in respect of monies borrowed in foreign currency from a source outside India, by way of issue of any long term bond or RDB on or after 1st April, 2020 but before 1st July, 2023 and which is listed only on a recognised stock exchange located in  any IFSC</w:t>
      </w:r>
    </w:p>
    <w:p w14:paraId="43CD55D0" w14:textId="77777777" w:rsidR="00575279" w:rsidRDefault="00575279" w:rsidP="00575279">
      <w:pPr>
        <w:pStyle w:val="ListParagraph"/>
        <w:ind w:left="1080"/>
        <w:rPr>
          <w:rFonts w:ascii="Garamond" w:hAnsi="Garamond"/>
          <w:sz w:val="24"/>
          <w:szCs w:val="24"/>
          <w:lang w:val="en-IN"/>
        </w:rPr>
      </w:pPr>
    </w:p>
    <w:p w14:paraId="2754DEF7" w14:textId="4CB7D759" w:rsidR="00FA0E1A" w:rsidRDefault="00FA0E1A" w:rsidP="00FA0E1A">
      <w:pPr>
        <w:pStyle w:val="ListParagraph"/>
        <w:numPr>
          <w:ilvl w:val="0"/>
          <w:numId w:val="75"/>
        </w:numPr>
        <w:rPr>
          <w:rFonts w:ascii="Garamond" w:hAnsi="Garamond"/>
          <w:sz w:val="24"/>
          <w:szCs w:val="24"/>
          <w:lang w:val="en-IN"/>
        </w:rPr>
      </w:pPr>
      <w:r w:rsidRPr="00FA0E1A">
        <w:rPr>
          <w:rFonts w:ascii="Garamond" w:hAnsi="Garamond"/>
          <w:sz w:val="24"/>
          <w:szCs w:val="24"/>
          <w:lang w:val="en-IN"/>
        </w:rPr>
        <w:t>This amendment will take effect from 1st April, 2020.</w:t>
      </w:r>
    </w:p>
    <w:p w14:paraId="4DBBA2C3" w14:textId="4A78FA3A" w:rsidR="00FA0E1A" w:rsidRPr="009C3EFE" w:rsidRDefault="00FA0E1A" w:rsidP="00575279">
      <w:pPr>
        <w:pStyle w:val="ListParagraph"/>
        <w:rPr>
          <w:rFonts w:ascii="Garamond" w:hAnsi="Garamond"/>
          <w:sz w:val="24"/>
          <w:szCs w:val="24"/>
          <w:lang w:val="en-IN"/>
        </w:rPr>
      </w:pPr>
      <w:r w:rsidRPr="00575279">
        <w:rPr>
          <w:rFonts w:ascii="Garamond" w:hAnsi="Garamond"/>
        </w:rPr>
        <w:t xml:space="preserve"> </w:t>
      </w:r>
    </w:p>
    <w:p w14:paraId="7A9D7B4F" w14:textId="3AA5AA1D" w:rsidR="00FA0E1A" w:rsidRPr="009C3EFE" w:rsidRDefault="00943CD0" w:rsidP="00FA0E1A">
      <w:pPr>
        <w:pStyle w:val="ListParagraph"/>
        <w:numPr>
          <w:ilvl w:val="0"/>
          <w:numId w:val="44"/>
        </w:numPr>
        <w:rPr>
          <w:rFonts w:ascii="Garamond" w:hAnsi="Garamond"/>
          <w:b/>
          <w:bCs/>
          <w:sz w:val="24"/>
          <w:szCs w:val="24"/>
          <w:lang w:val="en-IN"/>
        </w:rPr>
      </w:pPr>
      <w:r>
        <w:rPr>
          <w:rFonts w:ascii="Garamond" w:hAnsi="Garamond"/>
          <w:b/>
          <w:bCs/>
          <w:sz w:val="24"/>
          <w:szCs w:val="24"/>
          <w:lang w:val="en-IN"/>
        </w:rPr>
        <w:t>S</w:t>
      </w:r>
      <w:r w:rsidR="00FA0E1A" w:rsidRPr="009C3EFE">
        <w:rPr>
          <w:rFonts w:ascii="Garamond" w:hAnsi="Garamond"/>
          <w:b/>
          <w:bCs/>
          <w:sz w:val="24"/>
          <w:szCs w:val="24"/>
          <w:lang w:val="en-IN"/>
        </w:rPr>
        <w:t xml:space="preserve">ection 194LD of the Act </w:t>
      </w:r>
      <w:r>
        <w:rPr>
          <w:rFonts w:ascii="Garamond" w:hAnsi="Garamond"/>
          <w:b/>
          <w:bCs/>
          <w:sz w:val="24"/>
          <w:szCs w:val="24"/>
          <w:lang w:val="en-IN"/>
        </w:rPr>
        <w:t>- E</w:t>
      </w:r>
      <w:r w:rsidR="00FA0E1A" w:rsidRPr="009C3EFE">
        <w:rPr>
          <w:rFonts w:ascii="Garamond" w:hAnsi="Garamond"/>
          <w:b/>
          <w:bCs/>
          <w:sz w:val="24"/>
          <w:szCs w:val="24"/>
          <w:lang w:val="en-IN"/>
        </w:rPr>
        <w:t>xtend the period of concessional rate of withholding tax and also to extend this concessional rate to municipal debt securities.</w:t>
      </w:r>
    </w:p>
    <w:p w14:paraId="6F344DDD" w14:textId="77777777" w:rsidR="00FA0E1A" w:rsidRDefault="00FA0E1A" w:rsidP="009C3EFE">
      <w:pPr>
        <w:pStyle w:val="ListParagraph"/>
        <w:rPr>
          <w:rFonts w:ascii="Garamond" w:hAnsi="Garamond"/>
          <w:sz w:val="24"/>
          <w:szCs w:val="24"/>
          <w:lang w:val="en-IN"/>
        </w:rPr>
      </w:pPr>
    </w:p>
    <w:p w14:paraId="1312A2C6" w14:textId="42FFE3FE" w:rsidR="00FA0E1A" w:rsidRDefault="00FA0E1A" w:rsidP="00FA0E1A">
      <w:pPr>
        <w:pStyle w:val="ListParagraph"/>
        <w:numPr>
          <w:ilvl w:val="0"/>
          <w:numId w:val="76"/>
        </w:numPr>
        <w:rPr>
          <w:rFonts w:ascii="Garamond" w:hAnsi="Garamond"/>
          <w:sz w:val="24"/>
          <w:szCs w:val="24"/>
          <w:lang w:val="en-IN"/>
        </w:rPr>
      </w:pPr>
      <w:r w:rsidRPr="00FA0E1A">
        <w:rPr>
          <w:rFonts w:ascii="Garamond" w:hAnsi="Garamond"/>
          <w:sz w:val="24"/>
          <w:szCs w:val="24"/>
          <w:lang w:val="en-IN"/>
        </w:rPr>
        <w:t xml:space="preserve">Section 194LD of the Act provides for lower TDS of </w:t>
      </w:r>
      <w:r w:rsidR="009C3EFE">
        <w:rPr>
          <w:rFonts w:ascii="Garamond" w:hAnsi="Garamond"/>
          <w:sz w:val="24"/>
          <w:szCs w:val="24"/>
          <w:lang w:val="en-IN"/>
        </w:rPr>
        <w:t xml:space="preserve">5% </w:t>
      </w:r>
      <w:r w:rsidRPr="00FA0E1A">
        <w:rPr>
          <w:rFonts w:ascii="Garamond" w:hAnsi="Garamond"/>
          <w:sz w:val="24"/>
          <w:szCs w:val="24"/>
          <w:lang w:val="en-IN"/>
        </w:rPr>
        <w:t>in case of interest payments to Foreign Institutional Investors (FII) and Qualified Foreign Investors (QFIs) on their investment in Government securities and RDB of an Indian company subject to the condition that the rate of interest does not exceed the rate notified by the Central Government in this regard.  The section further provides that the interest should be payable at any time on or after 1st June, 2013 but before  1st July, 2020</w:t>
      </w:r>
    </w:p>
    <w:p w14:paraId="6421E618" w14:textId="77777777" w:rsidR="00575279" w:rsidRDefault="00575279" w:rsidP="00575279">
      <w:pPr>
        <w:pStyle w:val="ListParagraph"/>
        <w:ind w:left="1080"/>
        <w:rPr>
          <w:rFonts w:ascii="Garamond" w:hAnsi="Garamond"/>
          <w:sz w:val="24"/>
          <w:szCs w:val="24"/>
          <w:lang w:val="en-IN"/>
        </w:rPr>
      </w:pPr>
    </w:p>
    <w:p w14:paraId="6D6D0819" w14:textId="22C469F7" w:rsidR="00FA0E1A" w:rsidRDefault="00FA0E1A" w:rsidP="00FA0E1A">
      <w:pPr>
        <w:pStyle w:val="ListParagraph"/>
        <w:numPr>
          <w:ilvl w:val="0"/>
          <w:numId w:val="76"/>
        </w:numPr>
        <w:rPr>
          <w:rFonts w:ascii="Garamond" w:hAnsi="Garamond"/>
          <w:sz w:val="24"/>
          <w:szCs w:val="24"/>
          <w:lang w:val="en-IN"/>
        </w:rPr>
      </w:pPr>
      <w:r w:rsidRPr="00FA0E1A">
        <w:rPr>
          <w:rFonts w:ascii="Garamond" w:hAnsi="Garamond"/>
          <w:sz w:val="24"/>
          <w:szCs w:val="24"/>
          <w:lang w:val="en-IN"/>
        </w:rPr>
        <w:t>extend the period of rate of TDS of five per cent under the said section to 1st July, 2023 from the existing  1st July, 2020</w:t>
      </w:r>
    </w:p>
    <w:p w14:paraId="24D72D0E" w14:textId="77777777" w:rsidR="00575279" w:rsidRDefault="00575279" w:rsidP="00575279">
      <w:pPr>
        <w:pStyle w:val="ListParagraph"/>
        <w:ind w:left="1080"/>
        <w:rPr>
          <w:rFonts w:ascii="Garamond" w:hAnsi="Garamond"/>
          <w:sz w:val="24"/>
          <w:szCs w:val="24"/>
          <w:lang w:val="en-IN"/>
        </w:rPr>
      </w:pPr>
    </w:p>
    <w:p w14:paraId="384381C9" w14:textId="03851DDC" w:rsidR="00FA0E1A" w:rsidRDefault="00FA0E1A" w:rsidP="00FA0E1A">
      <w:pPr>
        <w:pStyle w:val="ListParagraph"/>
        <w:numPr>
          <w:ilvl w:val="0"/>
          <w:numId w:val="76"/>
        </w:numPr>
        <w:rPr>
          <w:rFonts w:ascii="Garamond" w:hAnsi="Garamond"/>
          <w:sz w:val="24"/>
          <w:szCs w:val="24"/>
          <w:lang w:val="en-IN"/>
        </w:rPr>
      </w:pPr>
      <w:r w:rsidRPr="00FA0E1A">
        <w:rPr>
          <w:rFonts w:ascii="Garamond" w:hAnsi="Garamond"/>
          <w:sz w:val="24"/>
          <w:szCs w:val="24"/>
          <w:lang w:val="en-IN"/>
        </w:rPr>
        <w:t xml:space="preserve">provide that the concessional rate of TDS of five per cent under the said section shall also apply on the interest payable, on or after 1st April, 2020 but before 1st July, 2023, to a FII or QFI in respect of the investment made in municipal debt security. </w:t>
      </w:r>
    </w:p>
    <w:p w14:paraId="03A175AE" w14:textId="77777777" w:rsidR="00575279" w:rsidRDefault="00575279" w:rsidP="00575279">
      <w:pPr>
        <w:pStyle w:val="ListParagraph"/>
        <w:ind w:left="1080"/>
        <w:rPr>
          <w:rFonts w:ascii="Garamond" w:hAnsi="Garamond"/>
          <w:sz w:val="24"/>
          <w:szCs w:val="24"/>
          <w:lang w:val="en-IN"/>
        </w:rPr>
      </w:pPr>
    </w:p>
    <w:p w14:paraId="09D93A06" w14:textId="6DE84B66" w:rsidR="00133ED9" w:rsidRDefault="00FA0E1A" w:rsidP="00575279">
      <w:pPr>
        <w:pStyle w:val="ListParagraph"/>
        <w:numPr>
          <w:ilvl w:val="0"/>
          <w:numId w:val="76"/>
        </w:numPr>
        <w:rPr>
          <w:rFonts w:ascii="Garamond" w:hAnsi="Garamond"/>
          <w:sz w:val="24"/>
          <w:szCs w:val="24"/>
          <w:lang w:val="en-IN"/>
        </w:rPr>
      </w:pPr>
      <w:r w:rsidRPr="00FA0E1A">
        <w:rPr>
          <w:rFonts w:ascii="Garamond" w:hAnsi="Garamond"/>
          <w:sz w:val="24"/>
          <w:szCs w:val="24"/>
          <w:lang w:val="en-IN"/>
        </w:rPr>
        <w:t>This amendment will take effect from 1st April, 2020</w:t>
      </w:r>
      <w:r>
        <w:rPr>
          <w:rFonts w:ascii="Garamond" w:hAnsi="Garamond"/>
          <w:sz w:val="24"/>
          <w:szCs w:val="24"/>
          <w:lang w:val="en-IN"/>
        </w:rPr>
        <w:t>.</w:t>
      </w:r>
    </w:p>
    <w:p w14:paraId="61FC800F" w14:textId="642C3DCB" w:rsidR="00575279" w:rsidRDefault="00575279" w:rsidP="00575279">
      <w:pPr>
        <w:pStyle w:val="ListParagraph"/>
        <w:ind w:left="1080"/>
        <w:rPr>
          <w:rFonts w:ascii="Garamond" w:hAnsi="Garamond"/>
          <w:sz w:val="24"/>
          <w:szCs w:val="24"/>
          <w:lang w:val="en-IN"/>
        </w:rPr>
      </w:pPr>
    </w:p>
    <w:p w14:paraId="68BA9DD0" w14:textId="77777777" w:rsidR="00575279" w:rsidRPr="00DF44D9" w:rsidRDefault="00575279" w:rsidP="00DF44D9">
      <w:pPr>
        <w:rPr>
          <w:rFonts w:ascii="Garamond" w:hAnsi="Garamond"/>
        </w:rPr>
      </w:pPr>
    </w:p>
    <w:p w14:paraId="5A451272" w14:textId="410778EF" w:rsidR="00575279" w:rsidRPr="00F767B5" w:rsidRDefault="00575279" w:rsidP="00575279">
      <w:pPr>
        <w:pStyle w:val="ListParagraph"/>
        <w:numPr>
          <w:ilvl w:val="0"/>
          <w:numId w:val="44"/>
        </w:numPr>
        <w:rPr>
          <w:rFonts w:ascii="Garamond" w:hAnsi="Garamond"/>
          <w:b/>
          <w:bCs/>
          <w:sz w:val="24"/>
          <w:szCs w:val="24"/>
        </w:rPr>
      </w:pPr>
      <w:r w:rsidRPr="00F767B5">
        <w:rPr>
          <w:rFonts w:ascii="Garamond" w:hAnsi="Garamond"/>
          <w:b/>
          <w:bCs/>
          <w:sz w:val="24"/>
          <w:szCs w:val="24"/>
        </w:rPr>
        <w:t>TDS on E-commerce transactions</w:t>
      </w:r>
      <w:r w:rsidR="00943CD0">
        <w:rPr>
          <w:rFonts w:ascii="Garamond" w:hAnsi="Garamond"/>
          <w:b/>
          <w:bCs/>
          <w:sz w:val="24"/>
          <w:szCs w:val="24"/>
        </w:rPr>
        <w:t xml:space="preserve"> – Rationalisation measures</w:t>
      </w:r>
    </w:p>
    <w:p w14:paraId="26E1901C" w14:textId="77777777" w:rsidR="00575279" w:rsidRDefault="00575279" w:rsidP="00575279">
      <w:pPr>
        <w:pStyle w:val="ListParagraph"/>
        <w:rPr>
          <w:rFonts w:ascii="Garamond" w:hAnsi="Garamond"/>
          <w:sz w:val="24"/>
          <w:szCs w:val="24"/>
        </w:rPr>
      </w:pPr>
    </w:p>
    <w:p w14:paraId="36623CD7" w14:textId="77777777" w:rsidR="00575279" w:rsidRPr="00F767B5" w:rsidRDefault="00575279" w:rsidP="00575279">
      <w:pPr>
        <w:pStyle w:val="ListParagraph"/>
        <w:numPr>
          <w:ilvl w:val="0"/>
          <w:numId w:val="89"/>
        </w:numPr>
        <w:rPr>
          <w:rFonts w:ascii="Garamond" w:hAnsi="Garamond"/>
          <w:sz w:val="22"/>
          <w:szCs w:val="22"/>
          <w:lang w:val="en-IN"/>
        </w:rPr>
      </w:pPr>
      <w:r w:rsidRPr="00F767B5">
        <w:rPr>
          <w:rFonts w:ascii="Garamond" w:hAnsi="Garamond"/>
          <w:sz w:val="22"/>
          <w:szCs w:val="22"/>
          <w:lang w:val="en-IN"/>
        </w:rPr>
        <w:t>E-commerce operator, whether resident or non-resident of India now liable to deduct tax at source at the rate of 1% on payments made to e-commerce participant being a resident in India, for sale of goods or services, including digital products</w:t>
      </w:r>
      <w:r>
        <w:rPr>
          <w:rFonts w:ascii="Garamond" w:hAnsi="Garamond"/>
          <w:sz w:val="22"/>
          <w:szCs w:val="22"/>
          <w:lang w:val="en-IN"/>
        </w:rPr>
        <w:t>.</w:t>
      </w:r>
    </w:p>
    <w:p w14:paraId="07722DCA" w14:textId="77777777" w:rsidR="00943CD0" w:rsidRDefault="00943CD0" w:rsidP="00943CD0">
      <w:pPr>
        <w:pStyle w:val="ListParagraph"/>
        <w:ind w:left="1080"/>
        <w:rPr>
          <w:rFonts w:ascii="Garamond" w:hAnsi="Garamond"/>
          <w:sz w:val="24"/>
          <w:szCs w:val="24"/>
        </w:rPr>
      </w:pPr>
    </w:p>
    <w:p w14:paraId="71C4E68F" w14:textId="78058953" w:rsidR="00575279" w:rsidRDefault="00575279" w:rsidP="00575279">
      <w:pPr>
        <w:pStyle w:val="ListParagraph"/>
        <w:numPr>
          <w:ilvl w:val="0"/>
          <w:numId w:val="89"/>
        </w:numPr>
        <w:rPr>
          <w:rFonts w:ascii="Garamond" w:hAnsi="Garamond"/>
          <w:sz w:val="24"/>
          <w:szCs w:val="24"/>
        </w:rPr>
      </w:pPr>
      <w:r w:rsidRPr="0011514B">
        <w:rPr>
          <w:rFonts w:ascii="Garamond" w:hAnsi="Garamond"/>
          <w:sz w:val="24"/>
          <w:szCs w:val="24"/>
        </w:rPr>
        <w:t xml:space="preserve">The sum credited or paid to an e-commerce participant (being an individual or HUF) by the e-commerce operator shall not be subjected to provision of this section, if the gross amount of sales or services or both of such individual or HUF, through e-commerce operator, during the previous year does not exceed </w:t>
      </w:r>
      <w:r>
        <w:rPr>
          <w:rFonts w:ascii="Garamond" w:hAnsi="Garamond"/>
          <w:sz w:val="24"/>
          <w:szCs w:val="24"/>
        </w:rPr>
        <w:t xml:space="preserve">INR 500,000 </w:t>
      </w:r>
      <w:r w:rsidRPr="0011514B">
        <w:rPr>
          <w:rFonts w:ascii="Garamond" w:hAnsi="Garamond"/>
          <w:sz w:val="24"/>
          <w:szCs w:val="24"/>
        </w:rPr>
        <w:t>and such  e-commerce participant has furnished his Permanent Account Number (PAN) or Aadhaar number to the  e-commerce operator.</w:t>
      </w:r>
    </w:p>
    <w:p w14:paraId="0A5B2C30" w14:textId="77777777" w:rsidR="00AD204A" w:rsidRDefault="00AD204A" w:rsidP="00AD204A">
      <w:pPr>
        <w:pStyle w:val="ListParagraph"/>
        <w:ind w:left="1080"/>
        <w:rPr>
          <w:rFonts w:ascii="Garamond" w:hAnsi="Garamond"/>
          <w:sz w:val="24"/>
          <w:szCs w:val="24"/>
          <w:lang w:val="en-IN"/>
        </w:rPr>
      </w:pPr>
    </w:p>
    <w:p w14:paraId="29CDEFB7" w14:textId="4DA33CAA" w:rsidR="00575279" w:rsidRPr="00F767B5" w:rsidRDefault="00575279" w:rsidP="00575279">
      <w:pPr>
        <w:pStyle w:val="ListParagraph"/>
        <w:numPr>
          <w:ilvl w:val="0"/>
          <w:numId w:val="89"/>
        </w:numPr>
        <w:rPr>
          <w:rFonts w:ascii="Garamond" w:hAnsi="Garamond"/>
          <w:sz w:val="24"/>
          <w:szCs w:val="24"/>
          <w:lang w:val="en-IN"/>
        </w:rPr>
      </w:pPr>
      <w:r w:rsidRPr="00F767B5">
        <w:rPr>
          <w:rFonts w:ascii="Garamond" w:hAnsi="Garamond"/>
          <w:sz w:val="24"/>
          <w:szCs w:val="24"/>
          <w:lang w:val="en-IN"/>
        </w:rPr>
        <w:t xml:space="preserve">Amount directly paid by purchaser of goods or services to e-commerce participant deemed to be included in the gross amount </w:t>
      </w:r>
    </w:p>
    <w:p w14:paraId="6AE77C94" w14:textId="77777777" w:rsidR="00AD204A" w:rsidRDefault="00AD204A" w:rsidP="00AD204A">
      <w:pPr>
        <w:pStyle w:val="ListParagraph"/>
        <w:ind w:left="1080"/>
        <w:rPr>
          <w:rFonts w:ascii="Garamond" w:hAnsi="Garamond"/>
          <w:sz w:val="24"/>
          <w:szCs w:val="24"/>
          <w:lang w:val="en-IN"/>
        </w:rPr>
      </w:pPr>
    </w:p>
    <w:p w14:paraId="5C720B62" w14:textId="387B3D32" w:rsidR="00575279" w:rsidRPr="00F767B5" w:rsidRDefault="00575279" w:rsidP="00575279">
      <w:pPr>
        <w:pStyle w:val="ListParagraph"/>
        <w:numPr>
          <w:ilvl w:val="0"/>
          <w:numId w:val="89"/>
        </w:numPr>
        <w:rPr>
          <w:rFonts w:ascii="Garamond" w:hAnsi="Garamond"/>
          <w:sz w:val="24"/>
          <w:szCs w:val="24"/>
          <w:lang w:val="en-IN"/>
        </w:rPr>
      </w:pPr>
      <w:r w:rsidRPr="00F767B5">
        <w:rPr>
          <w:rFonts w:ascii="Garamond" w:hAnsi="Garamond"/>
          <w:sz w:val="24"/>
          <w:szCs w:val="24"/>
          <w:lang w:val="en-IN"/>
        </w:rPr>
        <w:t>Where e-commerce participant does not have PAN or Aadhar, tax deduction would apply at the rate of 5%</w:t>
      </w:r>
    </w:p>
    <w:p w14:paraId="2896B3C4" w14:textId="77777777" w:rsidR="00AD204A" w:rsidRPr="00AD204A" w:rsidRDefault="00AD204A" w:rsidP="00AD204A">
      <w:pPr>
        <w:pStyle w:val="ListParagraph"/>
        <w:ind w:left="1080"/>
        <w:rPr>
          <w:rFonts w:ascii="Garamond" w:hAnsi="Garamond"/>
          <w:lang w:val="en-IN"/>
        </w:rPr>
      </w:pPr>
    </w:p>
    <w:p w14:paraId="561368BC" w14:textId="73D40A29" w:rsidR="00575279" w:rsidRPr="00AD204A" w:rsidRDefault="00575279" w:rsidP="00AD204A">
      <w:pPr>
        <w:pStyle w:val="ListParagraph"/>
        <w:numPr>
          <w:ilvl w:val="0"/>
          <w:numId w:val="89"/>
        </w:numPr>
        <w:rPr>
          <w:rFonts w:ascii="Garamond" w:hAnsi="Garamond"/>
          <w:lang w:val="en-IN"/>
        </w:rPr>
      </w:pPr>
      <w:r w:rsidRPr="00F767B5">
        <w:rPr>
          <w:rFonts w:ascii="Garamond" w:hAnsi="Garamond"/>
          <w:sz w:val="24"/>
          <w:szCs w:val="24"/>
          <w:lang w:val="en-IN"/>
        </w:rPr>
        <w:t xml:space="preserve">Once tax has been deducted by e-commerce operator on the gross amount, no further liability to deduct tax exists under any other provisions. However, certain specified services not connected with sale of goods and services not covered by the exclusion. </w:t>
      </w:r>
      <w:r w:rsidRPr="00F767B5">
        <w:rPr>
          <w:rFonts w:ascii="Garamond" w:hAnsi="Garamond"/>
          <w:sz w:val="24"/>
          <w:szCs w:val="24"/>
        </w:rPr>
        <w:t>This amendment will take effect from 1st April, 2020.</w:t>
      </w:r>
    </w:p>
    <w:p w14:paraId="55E2AB57" w14:textId="77777777" w:rsidR="00AD204A" w:rsidRPr="00AD204A" w:rsidRDefault="00AD204A" w:rsidP="00AD204A">
      <w:pPr>
        <w:pStyle w:val="ListParagraph"/>
        <w:ind w:left="1080"/>
        <w:rPr>
          <w:rFonts w:ascii="Garamond" w:hAnsi="Garamond"/>
          <w:lang w:val="en-IN"/>
        </w:rPr>
      </w:pPr>
    </w:p>
    <w:p w14:paraId="2DD0384B" w14:textId="4D012A7C" w:rsidR="00FA0E1A" w:rsidRDefault="00FA0E1A" w:rsidP="005F3CF5">
      <w:pPr>
        <w:pStyle w:val="ListParagraph"/>
        <w:ind w:left="1080"/>
        <w:rPr>
          <w:rFonts w:ascii="Garamond" w:hAnsi="Garamond"/>
          <w:sz w:val="24"/>
          <w:szCs w:val="24"/>
        </w:rPr>
      </w:pPr>
    </w:p>
    <w:p w14:paraId="1F0EC3FC" w14:textId="77777777" w:rsidR="009F7086" w:rsidRPr="009F7086" w:rsidRDefault="009F7086" w:rsidP="009F7086">
      <w:pPr>
        <w:pStyle w:val="ListParagraph"/>
        <w:numPr>
          <w:ilvl w:val="0"/>
          <w:numId w:val="44"/>
        </w:numPr>
        <w:rPr>
          <w:rFonts w:ascii="Garamond" w:hAnsi="Garamond"/>
          <w:b/>
          <w:bCs/>
          <w:sz w:val="24"/>
          <w:szCs w:val="24"/>
          <w:lang w:val="en-IN"/>
        </w:rPr>
      </w:pPr>
      <w:r w:rsidRPr="009F7086">
        <w:rPr>
          <w:rFonts w:ascii="Garamond" w:hAnsi="Garamond"/>
          <w:b/>
          <w:bCs/>
          <w:sz w:val="24"/>
          <w:szCs w:val="24"/>
          <w:lang w:val="en-IN"/>
        </w:rPr>
        <w:t>Reducing the rate of TDS on fees for technical services (other than professional services)</w:t>
      </w:r>
    </w:p>
    <w:p w14:paraId="0E475A52" w14:textId="52E3756C" w:rsidR="00133ED9" w:rsidRDefault="009F7086" w:rsidP="009F7086">
      <w:pPr>
        <w:ind w:left="720"/>
        <w:rPr>
          <w:rFonts w:ascii="Garamond" w:hAnsi="Garamond"/>
        </w:rPr>
      </w:pPr>
      <w:r w:rsidRPr="009F7086">
        <w:rPr>
          <w:rFonts w:ascii="Garamond" w:hAnsi="Garamond"/>
        </w:rPr>
        <w:t xml:space="preserve">It is proposed to reduce rate for TDS in section 194J in case of fees for technical services (other than professional services) to </w:t>
      </w:r>
      <w:r w:rsidRPr="009F7086">
        <w:rPr>
          <w:rFonts w:ascii="Garamond" w:hAnsi="Garamond"/>
          <w:b/>
          <w:bCs/>
        </w:rPr>
        <w:t>2%</w:t>
      </w:r>
      <w:r>
        <w:rPr>
          <w:rFonts w:ascii="Garamond" w:hAnsi="Garamond"/>
        </w:rPr>
        <w:t xml:space="preserve"> </w:t>
      </w:r>
      <w:r w:rsidRPr="009F7086">
        <w:rPr>
          <w:rFonts w:ascii="Garamond" w:hAnsi="Garamond"/>
        </w:rPr>
        <w:t xml:space="preserve">from existing </w:t>
      </w:r>
      <w:r>
        <w:rPr>
          <w:rFonts w:ascii="Garamond" w:hAnsi="Garamond"/>
        </w:rPr>
        <w:t>10%</w:t>
      </w:r>
      <w:r w:rsidRPr="009F7086">
        <w:rPr>
          <w:rFonts w:ascii="Garamond" w:hAnsi="Garamond"/>
        </w:rPr>
        <w:t xml:space="preserve">. The TDS rate in other cases under section 194J would remain </w:t>
      </w:r>
      <w:r w:rsidRPr="009F7086">
        <w:rPr>
          <w:rFonts w:ascii="Garamond" w:hAnsi="Garamond"/>
          <w:b/>
          <w:bCs/>
        </w:rPr>
        <w:t xml:space="preserve">same at </w:t>
      </w:r>
      <w:r>
        <w:rPr>
          <w:rFonts w:ascii="Garamond" w:hAnsi="Garamond"/>
          <w:b/>
          <w:bCs/>
        </w:rPr>
        <w:t>10%</w:t>
      </w:r>
      <w:r w:rsidRPr="009F7086">
        <w:rPr>
          <w:rFonts w:ascii="Garamond" w:hAnsi="Garamond"/>
        </w:rPr>
        <w:t>.</w:t>
      </w:r>
      <w:r>
        <w:rPr>
          <w:rFonts w:ascii="Garamond" w:hAnsi="Garamond"/>
        </w:rPr>
        <w:t xml:space="preserve"> </w:t>
      </w:r>
      <w:r w:rsidRPr="009F7086">
        <w:rPr>
          <w:rFonts w:ascii="Garamond" w:hAnsi="Garamond"/>
        </w:rPr>
        <w:t>This amendment will take effect from 1st April, 2020.</w:t>
      </w:r>
    </w:p>
    <w:p w14:paraId="7B1C9AA1" w14:textId="13650FFF" w:rsidR="00DC15B7" w:rsidRDefault="00DC15B7" w:rsidP="009F7086">
      <w:pPr>
        <w:ind w:left="720"/>
        <w:rPr>
          <w:rFonts w:ascii="Garamond" w:hAnsi="Garamond"/>
        </w:rPr>
      </w:pPr>
    </w:p>
    <w:p w14:paraId="272366B5" w14:textId="3702BC8C" w:rsidR="00DC15B7" w:rsidRDefault="00DC15B7" w:rsidP="009F7086">
      <w:pPr>
        <w:ind w:left="720"/>
        <w:rPr>
          <w:rFonts w:ascii="Garamond" w:hAnsi="Garamond"/>
        </w:rPr>
      </w:pPr>
      <w:r>
        <w:rPr>
          <w:rFonts w:ascii="Garamond" w:hAnsi="Garamond"/>
        </w:rPr>
        <w:t>Withholding tax for works contract to include manufacturing or supplying a product by a contractor, using the raw material supplied by an associate of customer</w:t>
      </w:r>
    </w:p>
    <w:p w14:paraId="7F082604" w14:textId="76A75B84" w:rsidR="00FC6346" w:rsidRDefault="00FC6346" w:rsidP="009F7086">
      <w:pPr>
        <w:ind w:left="720"/>
        <w:rPr>
          <w:rFonts w:ascii="Garamond" w:hAnsi="Garamond"/>
        </w:rPr>
      </w:pPr>
    </w:p>
    <w:p w14:paraId="098E96DC" w14:textId="77777777" w:rsidR="00FC6346" w:rsidRPr="00F462A1" w:rsidRDefault="00FC6346" w:rsidP="00FC6346">
      <w:pPr>
        <w:pStyle w:val="ListParagraph"/>
        <w:numPr>
          <w:ilvl w:val="0"/>
          <w:numId w:val="44"/>
        </w:numPr>
        <w:rPr>
          <w:rFonts w:ascii="Garamond" w:hAnsi="Garamond"/>
          <w:b/>
          <w:bCs/>
          <w:sz w:val="24"/>
          <w:szCs w:val="24"/>
          <w:lang w:val="en-IN"/>
        </w:rPr>
      </w:pPr>
      <w:r w:rsidRPr="00F462A1">
        <w:rPr>
          <w:rFonts w:ascii="Garamond" w:hAnsi="Garamond"/>
          <w:b/>
          <w:bCs/>
          <w:sz w:val="24"/>
          <w:szCs w:val="24"/>
          <w:lang w:val="en-IN"/>
        </w:rPr>
        <w:t>Widening the scope of section 206C to include TCS on foreign remittance through Liberalised Remittance Scheme</w:t>
      </w:r>
    </w:p>
    <w:p w14:paraId="3E3E292C" w14:textId="77777777" w:rsidR="00FC6346" w:rsidRDefault="00FC6346" w:rsidP="00FC6346">
      <w:pPr>
        <w:pStyle w:val="ListParagraph"/>
        <w:rPr>
          <w:rFonts w:ascii="Garamond" w:hAnsi="Garamond"/>
          <w:sz w:val="24"/>
          <w:szCs w:val="24"/>
          <w:lang w:val="en-IN"/>
        </w:rPr>
      </w:pPr>
      <w:r w:rsidRPr="00F462A1">
        <w:rPr>
          <w:rFonts w:ascii="Garamond" w:hAnsi="Garamond"/>
          <w:b/>
          <w:bCs/>
          <w:sz w:val="24"/>
          <w:szCs w:val="24"/>
          <w:lang w:val="en-IN"/>
        </w:rPr>
        <w:t>(LRS) and on selling of overseas tour package as well as TCS on sale of goods over a limit.</w:t>
      </w:r>
    </w:p>
    <w:p w14:paraId="71BE601D" w14:textId="77777777" w:rsidR="00FC6346" w:rsidRDefault="00FC6346" w:rsidP="00FC6346">
      <w:pPr>
        <w:pStyle w:val="ListParagraph"/>
        <w:rPr>
          <w:rFonts w:ascii="Garamond" w:hAnsi="Garamond"/>
          <w:sz w:val="24"/>
          <w:szCs w:val="24"/>
          <w:lang w:val="en-IN"/>
        </w:rPr>
      </w:pPr>
      <w:r>
        <w:rPr>
          <w:rFonts w:ascii="Garamond" w:hAnsi="Garamond"/>
          <w:sz w:val="24"/>
          <w:szCs w:val="24"/>
          <w:lang w:val="en-IN"/>
        </w:rPr>
        <w:t xml:space="preserve"> </w:t>
      </w:r>
    </w:p>
    <w:p w14:paraId="2F7A1E4A" w14:textId="77777777" w:rsidR="00FC6346" w:rsidRPr="00C93CB6" w:rsidRDefault="00FC6346" w:rsidP="00FC6346">
      <w:pPr>
        <w:pStyle w:val="ListParagraph"/>
        <w:numPr>
          <w:ilvl w:val="0"/>
          <w:numId w:val="93"/>
        </w:numPr>
        <w:rPr>
          <w:rFonts w:ascii="Garamond" w:hAnsi="Garamond"/>
          <w:sz w:val="24"/>
          <w:szCs w:val="24"/>
          <w:lang w:val="en-IN"/>
        </w:rPr>
      </w:pPr>
      <w:r w:rsidRPr="00C93CB6">
        <w:rPr>
          <w:rFonts w:ascii="Garamond" w:hAnsi="Garamond"/>
          <w:sz w:val="24"/>
          <w:szCs w:val="24"/>
          <w:lang w:val="en-IN"/>
        </w:rPr>
        <w:t xml:space="preserve">Section 206C of the Act provides for the collection of tax at source (TCS) on business of trading in alcohol, liquor, forest produce, scrap etc. Sub-section (1) of the said section, inter-alia, provides that every person, being a seller shall, at the time of debiting of the amount </w:t>
      </w:r>
      <w:r w:rsidRPr="00C93CB6">
        <w:rPr>
          <w:rFonts w:ascii="Garamond" w:hAnsi="Garamond"/>
          <w:sz w:val="24"/>
          <w:szCs w:val="24"/>
          <w:lang w:val="en-IN"/>
        </w:rPr>
        <w:lastRenderedPageBreak/>
        <w:t>payable by the buyer to the account of the buyer or at the time of receipt of such amount from the said buyer in cash or by the issue of a cheque or draft or by any other mode, whichever is earlier, collect from the buyer of certain goods a sum equal to specified percentage, of such amount as income-tax. In order to widen and deepen the tax net, it is proposed to amend section 206C to levy TCS on overseas remittance and for sale of overseas tour package, as under:</w:t>
      </w:r>
    </w:p>
    <w:p w14:paraId="7AE8CA21" w14:textId="77777777" w:rsidR="00FC6346" w:rsidRPr="00C93CB6" w:rsidRDefault="00FC6346" w:rsidP="00FC6346">
      <w:pPr>
        <w:pStyle w:val="ListParagraph"/>
        <w:ind w:left="1080"/>
        <w:rPr>
          <w:rFonts w:ascii="Garamond" w:hAnsi="Garamond"/>
          <w:sz w:val="24"/>
          <w:szCs w:val="24"/>
          <w:lang w:val="en-IN"/>
        </w:rPr>
      </w:pPr>
    </w:p>
    <w:p w14:paraId="4F9F5E9B" w14:textId="77777777" w:rsidR="00FC6346" w:rsidRPr="00C93CB6" w:rsidRDefault="00FC6346" w:rsidP="00FC6346">
      <w:pPr>
        <w:pStyle w:val="ListParagraph"/>
        <w:numPr>
          <w:ilvl w:val="0"/>
          <w:numId w:val="93"/>
        </w:numPr>
        <w:rPr>
          <w:rFonts w:ascii="Garamond" w:hAnsi="Garamond"/>
          <w:sz w:val="24"/>
          <w:szCs w:val="24"/>
          <w:lang w:val="en-IN"/>
        </w:rPr>
      </w:pPr>
      <w:r w:rsidRPr="00C93CB6">
        <w:rPr>
          <w:rFonts w:ascii="Garamond" w:hAnsi="Garamond"/>
          <w:sz w:val="24"/>
          <w:szCs w:val="24"/>
          <w:lang w:val="en-IN"/>
        </w:rPr>
        <w:t>An authorised dealer receiving an amount or an aggregate of amounts of INR 700,000 or more in a financial year for remittance out of India under the LRS of RBI, shall be liable to collect TCS, if he receives sum in excess of said amount from a buyer being a person remitting such amount out of India, at the rate of 5%. In non-PAN/Aadhaar cases the rate shall be ten per cent.</w:t>
      </w:r>
    </w:p>
    <w:p w14:paraId="2FFD3BA6" w14:textId="77777777" w:rsidR="00FC6346" w:rsidRPr="00C93CB6" w:rsidRDefault="00FC6346" w:rsidP="00FC6346">
      <w:pPr>
        <w:pStyle w:val="ListParagraph"/>
        <w:ind w:left="1080"/>
        <w:rPr>
          <w:rFonts w:ascii="Garamond" w:hAnsi="Garamond"/>
          <w:sz w:val="24"/>
          <w:szCs w:val="24"/>
          <w:lang w:val="en-IN"/>
        </w:rPr>
      </w:pPr>
    </w:p>
    <w:p w14:paraId="20E612E4" w14:textId="77777777" w:rsidR="00FC6346" w:rsidRPr="00C93CB6" w:rsidRDefault="00FC6346" w:rsidP="00FC6346">
      <w:pPr>
        <w:pStyle w:val="ListParagraph"/>
        <w:numPr>
          <w:ilvl w:val="0"/>
          <w:numId w:val="93"/>
        </w:numPr>
        <w:rPr>
          <w:rFonts w:ascii="Garamond" w:hAnsi="Garamond"/>
          <w:sz w:val="24"/>
          <w:szCs w:val="24"/>
          <w:lang w:val="en-IN"/>
        </w:rPr>
      </w:pPr>
      <w:r w:rsidRPr="00C93CB6">
        <w:rPr>
          <w:rFonts w:ascii="Garamond" w:hAnsi="Garamond"/>
          <w:sz w:val="24"/>
          <w:szCs w:val="24"/>
          <w:lang w:val="en-IN"/>
        </w:rPr>
        <w:t xml:space="preserve">A seller of an overseas tour program package who receives any amount from any buyer, being a person who </w:t>
      </w:r>
      <w:r w:rsidRPr="00C93CB6">
        <w:rPr>
          <w:rFonts w:ascii="Garamond" w:hAnsi="Garamond"/>
          <w:sz w:val="24"/>
          <w:szCs w:val="24"/>
        </w:rPr>
        <w:t>purchases such package, shall be liable to collect TCS at the rate of five per cent. In non-PAN/ Aadhaar cases the rate shall be ten per cent.</w:t>
      </w:r>
    </w:p>
    <w:p w14:paraId="356F8886" w14:textId="77777777" w:rsidR="00FC6346" w:rsidRPr="00C93CB6" w:rsidRDefault="00FC6346" w:rsidP="00FC6346">
      <w:pPr>
        <w:rPr>
          <w:rFonts w:ascii="Garamond" w:hAnsi="Garamond"/>
        </w:rPr>
      </w:pPr>
      <w:r w:rsidRPr="00C93CB6">
        <w:rPr>
          <w:rFonts w:ascii="Garamond" w:hAnsi="Garamond"/>
        </w:rPr>
        <w:t xml:space="preserve">              </w:t>
      </w:r>
      <w:r w:rsidRPr="00C93CB6">
        <w:rPr>
          <w:rFonts w:ascii="Garamond" w:eastAsia="Arial" w:hAnsi="Garamond"/>
          <w:lang w:eastAsia="en-GB"/>
        </w:rPr>
        <w:t>The above TCS provision shall not apply if the buyer is,-</w:t>
      </w:r>
    </w:p>
    <w:p w14:paraId="12D55267" w14:textId="77777777" w:rsidR="00FC6346" w:rsidRPr="00C93CB6" w:rsidRDefault="00FC6346" w:rsidP="00FC6346">
      <w:pPr>
        <w:pStyle w:val="ListParagraph"/>
        <w:numPr>
          <w:ilvl w:val="0"/>
          <w:numId w:val="119"/>
        </w:numPr>
        <w:rPr>
          <w:rFonts w:ascii="Garamond" w:hAnsi="Garamond"/>
          <w:sz w:val="24"/>
          <w:szCs w:val="24"/>
        </w:rPr>
      </w:pPr>
      <w:r w:rsidRPr="00C93CB6">
        <w:rPr>
          <w:rFonts w:ascii="Garamond" w:hAnsi="Garamond"/>
          <w:sz w:val="24"/>
          <w:szCs w:val="24"/>
        </w:rPr>
        <w:t>Liable to deduct tax at source under any other provision of the Act and he has deducted such amount.</w:t>
      </w:r>
    </w:p>
    <w:p w14:paraId="1CC6E51B" w14:textId="77777777" w:rsidR="00FC6346" w:rsidRPr="00C93CB6" w:rsidRDefault="00FC6346" w:rsidP="00FC6346">
      <w:pPr>
        <w:pStyle w:val="ListParagraph"/>
        <w:numPr>
          <w:ilvl w:val="0"/>
          <w:numId w:val="119"/>
        </w:numPr>
        <w:rPr>
          <w:rFonts w:ascii="Garamond" w:hAnsi="Garamond"/>
          <w:sz w:val="24"/>
          <w:szCs w:val="24"/>
        </w:rPr>
      </w:pPr>
      <w:r w:rsidRPr="00C93CB6">
        <w:rPr>
          <w:rFonts w:ascii="Garamond" w:hAnsi="Garamond"/>
          <w:sz w:val="24"/>
          <w:szCs w:val="24"/>
        </w:rPr>
        <w:t>The Central Government, a State Government , an embassy, a High Commission, legation, commission, consulate, the trade representation of a foreign State, a local authority as defined in Explanation to clause (20) of section 10 or any other person notified by the Central Government in the Official Gazette for this purpose subject to such conditions as specified in that notification.</w:t>
      </w:r>
    </w:p>
    <w:p w14:paraId="154FEC51" w14:textId="77777777" w:rsidR="00FC6346" w:rsidRPr="00C93CB6" w:rsidRDefault="00FC6346" w:rsidP="00FC6346">
      <w:pPr>
        <w:pStyle w:val="ListParagraph"/>
        <w:rPr>
          <w:rFonts w:ascii="Garamond" w:hAnsi="Garamond"/>
          <w:sz w:val="24"/>
          <w:szCs w:val="24"/>
          <w:lang w:val="en-IN"/>
        </w:rPr>
      </w:pPr>
    </w:p>
    <w:p w14:paraId="0D6EBEBB" w14:textId="3629990C" w:rsidR="00FC6346" w:rsidRPr="009F7086" w:rsidRDefault="00FC6346" w:rsidP="00FC6346">
      <w:pPr>
        <w:ind w:left="720"/>
        <w:rPr>
          <w:rFonts w:ascii="Garamond" w:hAnsi="Garamond"/>
        </w:rPr>
      </w:pPr>
      <w:r w:rsidRPr="00C93CB6">
        <w:rPr>
          <w:rFonts w:ascii="Garamond" w:hAnsi="Garamond"/>
        </w:rPr>
        <w:t>“Overseas tour program package” is proposed to be defined to mean any tour package which offers visit to a country or countries or territory or territories outside India and includes expenses for travel or hotel stay or boarding or lodging or any other expense of similar nature or in relation thereto</w:t>
      </w:r>
    </w:p>
    <w:p w14:paraId="31BD975D" w14:textId="59FED075" w:rsidR="00AD204A" w:rsidRPr="00134265" w:rsidRDefault="00C93CB6" w:rsidP="00AD204A">
      <w:pPr>
        <w:pStyle w:val="Heading1"/>
        <w:shd w:val="clear" w:color="auto" w:fill="D9D9D9" w:themeFill="background1" w:themeFillShade="D9"/>
        <w:rPr>
          <w:rFonts w:ascii="Garamond" w:hAnsi="Garamond"/>
          <w:i w:val="0"/>
          <w:sz w:val="28"/>
          <w:szCs w:val="24"/>
        </w:rPr>
      </w:pPr>
      <w:bookmarkStart w:id="6" w:name="_Toc32423688"/>
      <w:r>
        <w:rPr>
          <w:rFonts w:ascii="Garamond" w:hAnsi="Garamond"/>
          <w:i w:val="0"/>
          <w:sz w:val="28"/>
          <w:szCs w:val="24"/>
        </w:rPr>
        <w:lastRenderedPageBreak/>
        <w:t>Capital Gains</w:t>
      </w:r>
      <w:bookmarkEnd w:id="6"/>
    </w:p>
    <w:p w14:paraId="5FEDF63B" w14:textId="7E17A7F3" w:rsidR="00FA0E1A" w:rsidRPr="00133ED9" w:rsidRDefault="00FA0E1A" w:rsidP="00FA0E1A">
      <w:pPr>
        <w:pStyle w:val="ListParagraph"/>
        <w:numPr>
          <w:ilvl w:val="0"/>
          <w:numId w:val="44"/>
        </w:numPr>
        <w:rPr>
          <w:rFonts w:ascii="Garamond" w:hAnsi="Garamond"/>
          <w:b/>
          <w:bCs/>
          <w:sz w:val="24"/>
          <w:szCs w:val="24"/>
        </w:rPr>
      </w:pPr>
      <w:r w:rsidRPr="00133ED9">
        <w:rPr>
          <w:rFonts w:ascii="Garamond" w:hAnsi="Garamond"/>
          <w:b/>
          <w:bCs/>
          <w:sz w:val="24"/>
          <w:szCs w:val="24"/>
        </w:rPr>
        <w:t>Increase in safe harbour limit of 5</w:t>
      </w:r>
      <w:r w:rsidR="00133ED9">
        <w:rPr>
          <w:rFonts w:ascii="Garamond" w:hAnsi="Garamond"/>
          <w:b/>
          <w:bCs/>
          <w:sz w:val="24"/>
          <w:szCs w:val="24"/>
        </w:rPr>
        <w:t>%</w:t>
      </w:r>
      <w:r w:rsidRPr="00133ED9">
        <w:rPr>
          <w:rFonts w:ascii="Garamond" w:hAnsi="Garamond"/>
          <w:b/>
          <w:bCs/>
          <w:sz w:val="24"/>
          <w:szCs w:val="24"/>
        </w:rPr>
        <w:t xml:space="preserve"> under section 43CA, 50C and 56 of the Act to 10</w:t>
      </w:r>
      <w:r w:rsidR="00133ED9">
        <w:rPr>
          <w:rFonts w:ascii="Garamond" w:hAnsi="Garamond"/>
          <w:b/>
          <w:bCs/>
          <w:sz w:val="24"/>
          <w:szCs w:val="24"/>
        </w:rPr>
        <w:t>%</w:t>
      </w:r>
    </w:p>
    <w:p w14:paraId="715BDFA6" w14:textId="77777777" w:rsidR="00AD204A" w:rsidRDefault="00AD204A" w:rsidP="00AD204A">
      <w:pPr>
        <w:pStyle w:val="ListParagraph"/>
      </w:pPr>
    </w:p>
    <w:p w14:paraId="2F9CFF9A" w14:textId="2784D0AF" w:rsidR="00AD204A" w:rsidRPr="00AD204A" w:rsidRDefault="00AD204A" w:rsidP="00AD204A">
      <w:pPr>
        <w:pStyle w:val="ListParagraph"/>
        <w:rPr>
          <w:rFonts w:ascii="Garamond" w:hAnsi="Garamond"/>
          <w:sz w:val="24"/>
          <w:szCs w:val="24"/>
          <w:lang w:eastAsia="en-GB"/>
        </w:rPr>
      </w:pPr>
      <w:r w:rsidRPr="00AD204A">
        <w:rPr>
          <w:rFonts w:ascii="Garamond" w:hAnsi="Garamond"/>
          <w:sz w:val="24"/>
          <w:szCs w:val="24"/>
        </w:rPr>
        <w:t>Safe harbour limit of 5% under Section 43CA, 50C and 56 has been extended to 10%. These provisions shall not apply if the stamp duty value of an immovable property does not exceed 10% of the consideration or Rs. 50,000, whichever is higher.</w:t>
      </w:r>
    </w:p>
    <w:p w14:paraId="54808823" w14:textId="343BEE0E" w:rsidR="00AD204A" w:rsidRDefault="00AD204A" w:rsidP="00133ED9">
      <w:pPr>
        <w:pStyle w:val="ListParagraph"/>
        <w:ind w:left="1080"/>
        <w:rPr>
          <w:rFonts w:ascii="Garamond" w:hAnsi="Garamond"/>
          <w:sz w:val="24"/>
          <w:szCs w:val="24"/>
        </w:rPr>
      </w:pPr>
    </w:p>
    <w:p w14:paraId="1D2CD5CC" w14:textId="589E7830" w:rsidR="00DF44D9" w:rsidRPr="00DF44D9" w:rsidRDefault="00DF44D9" w:rsidP="00DF44D9">
      <w:pPr>
        <w:pStyle w:val="ListParagraph"/>
        <w:numPr>
          <w:ilvl w:val="0"/>
          <w:numId w:val="44"/>
        </w:numPr>
        <w:rPr>
          <w:rFonts w:ascii="Garamond" w:hAnsi="Garamond"/>
          <w:b/>
          <w:bCs/>
        </w:rPr>
      </w:pPr>
      <w:r w:rsidRPr="00DF44D9">
        <w:rPr>
          <w:rFonts w:ascii="Garamond" w:hAnsi="Garamond"/>
          <w:b/>
          <w:bCs/>
          <w:sz w:val="24"/>
          <w:szCs w:val="24"/>
        </w:rPr>
        <w:t>Rationalization of provisions of section 55 of the Act to compute cost of acquisition</w:t>
      </w:r>
    </w:p>
    <w:p w14:paraId="6B629558" w14:textId="1F85FC4D" w:rsidR="00DF44D9" w:rsidRDefault="00DF44D9" w:rsidP="00DF44D9">
      <w:pPr>
        <w:ind w:left="720"/>
        <w:rPr>
          <w:rFonts w:ascii="Garamond" w:hAnsi="Garamond"/>
        </w:rPr>
      </w:pPr>
      <w:r w:rsidRPr="00DF44D9">
        <w:rPr>
          <w:rFonts w:ascii="Garamond" w:hAnsi="Garamond"/>
        </w:rPr>
        <w:t xml:space="preserve">It is proposed to provide that in case of a capital asset, being land or building or both, the 29 fair market value of such an asset on 1st April, 2001 shall not exceed the stamp duty value of such asset as on 1st April, 2001 where such stamp duty value is available. </w:t>
      </w:r>
      <w:r>
        <w:rPr>
          <w:rFonts w:ascii="Garamond" w:hAnsi="Garamond"/>
        </w:rPr>
        <w:t>S</w:t>
      </w:r>
      <w:r w:rsidRPr="00DF44D9">
        <w:rPr>
          <w:rFonts w:ascii="Garamond" w:hAnsi="Garamond"/>
        </w:rPr>
        <w:t>tamp duty value shall mean the value adopted or assessed or assessable by any authority of the Central Government or a State Government for the purpose of payment of stamp duty in respect of an immovable property.</w:t>
      </w:r>
    </w:p>
    <w:p w14:paraId="1758D69A" w14:textId="77777777" w:rsidR="00DF44D9" w:rsidRDefault="00DF44D9" w:rsidP="00DF44D9">
      <w:pPr>
        <w:ind w:left="720"/>
        <w:rPr>
          <w:rFonts w:ascii="Garamond" w:hAnsi="Garamond"/>
        </w:rPr>
      </w:pPr>
    </w:p>
    <w:p w14:paraId="7A285E22" w14:textId="40083EAA" w:rsidR="00AD204A" w:rsidRPr="00DF44D9" w:rsidRDefault="00DF44D9" w:rsidP="00DF44D9">
      <w:pPr>
        <w:ind w:left="720"/>
        <w:rPr>
          <w:rFonts w:ascii="Garamond" w:hAnsi="Garamond"/>
        </w:rPr>
      </w:pPr>
      <w:r w:rsidRPr="00DF44D9">
        <w:rPr>
          <w:rFonts w:ascii="Garamond" w:hAnsi="Garamond"/>
        </w:rPr>
        <w:t>These amendments will take effect from 1st April, 2021 and will, accordingly, apply in relation to the assessment year 2021-22 and subsequent assessment years.</w:t>
      </w:r>
    </w:p>
    <w:p w14:paraId="0BBFE1C8" w14:textId="54F70660" w:rsidR="00AD204A" w:rsidRPr="00134265" w:rsidRDefault="00C93CB6" w:rsidP="00AD204A">
      <w:pPr>
        <w:pStyle w:val="Heading1"/>
        <w:shd w:val="clear" w:color="auto" w:fill="D9D9D9" w:themeFill="background1" w:themeFillShade="D9"/>
        <w:rPr>
          <w:rFonts w:ascii="Garamond" w:hAnsi="Garamond"/>
          <w:i w:val="0"/>
          <w:sz w:val="28"/>
          <w:szCs w:val="24"/>
        </w:rPr>
      </w:pPr>
      <w:bookmarkStart w:id="7" w:name="_Toc32423689"/>
      <w:r>
        <w:rPr>
          <w:rFonts w:ascii="Garamond" w:hAnsi="Garamond"/>
          <w:i w:val="0"/>
          <w:sz w:val="28"/>
          <w:szCs w:val="24"/>
        </w:rPr>
        <w:lastRenderedPageBreak/>
        <w:t>Business Income</w:t>
      </w:r>
      <w:bookmarkEnd w:id="7"/>
    </w:p>
    <w:p w14:paraId="6A205EA2" w14:textId="38179039" w:rsidR="00FA0E1A" w:rsidRPr="00133ED9" w:rsidRDefault="00FA0E1A" w:rsidP="00FA0E1A">
      <w:pPr>
        <w:pStyle w:val="ListParagraph"/>
        <w:numPr>
          <w:ilvl w:val="0"/>
          <w:numId w:val="44"/>
        </w:numPr>
        <w:rPr>
          <w:rFonts w:ascii="Garamond" w:hAnsi="Garamond"/>
          <w:b/>
          <w:bCs/>
          <w:sz w:val="24"/>
          <w:szCs w:val="24"/>
        </w:rPr>
      </w:pPr>
      <w:r w:rsidRPr="00133ED9">
        <w:rPr>
          <w:rFonts w:ascii="Garamond" w:hAnsi="Garamond"/>
          <w:b/>
          <w:bCs/>
          <w:sz w:val="24"/>
          <w:szCs w:val="24"/>
        </w:rPr>
        <w:t xml:space="preserve">Providing an option to the </w:t>
      </w:r>
      <w:proofErr w:type="spellStart"/>
      <w:r w:rsidRPr="00133ED9">
        <w:rPr>
          <w:rFonts w:ascii="Garamond" w:hAnsi="Garamond"/>
          <w:b/>
          <w:bCs/>
          <w:sz w:val="24"/>
          <w:szCs w:val="24"/>
        </w:rPr>
        <w:t>assessee</w:t>
      </w:r>
      <w:proofErr w:type="spellEnd"/>
      <w:r w:rsidRPr="00133ED9">
        <w:rPr>
          <w:rFonts w:ascii="Garamond" w:hAnsi="Garamond"/>
          <w:b/>
          <w:bCs/>
          <w:sz w:val="24"/>
          <w:szCs w:val="24"/>
        </w:rPr>
        <w:t xml:space="preserve"> for not availing deduction under section 35AD</w:t>
      </w:r>
    </w:p>
    <w:p w14:paraId="3D8B3235" w14:textId="772B96D3" w:rsidR="00FA0E1A" w:rsidRDefault="00FA0E1A" w:rsidP="00FA0E1A">
      <w:pPr>
        <w:pStyle w:val="ListParagraph"/>
        <w:numPr>
          <w:ilvl w:val="0"/>
          <w:numId w:val="79"/>
        </w:numPr>
        <w:rPr>
          <w:rFonts w:ascii="Garamond" w:hAnsi="Garamond"/>
          <w:sz w:val="24"/>
          <w:szCs w:val="24"/>
        </w:rPr>
      </w:pPr>
      <w:r w:rsidRPr="00FA0E1A">
        <w:rPr>
          <w:rFonts w:ascii="Garamond" w:hAnsi="Garamond"/>
          <w:sz w:val="24"/>
          <w:szCs w:val="24"/>
        </w:rPr>
        <w:t>Section 35AD of the Act, relating to deduction in respect of expenditure on specified business, provides for 100</w:t>
      </w:r>
      <w:r w:rsidR="00133ED9">
        <w:rPr>
          <w:rFonts w:ascii="Garamond" w:hAnsi="Garamond"/>
          <w:sz w:val="24"/>
          <w:szCs w:val="24"/>
        </w:rPr>
        <w:t>%</w:t>
      </w:r>
      <w:r w:rsidRPr="00FA0E1A">
        <w:rPr>
          <w:rFonts w:ascii="Garamond" w:hAnsi="Garamond"/>
          <w:sz w:val="24"/>
          <w:szCs w:val="24"/>
        </w:rPr>
        <w:t xml:space="preserve"> deduction on capital expenditure (other than expenditure on land, goodwill and financial assets) incurred by the </w:t>
      </w:r>
      <w:proofErr w:type="spellStart"/>
      <w:r w:rsidRPr="00FA0E1A">
        <w:rPr>
          <w:rFonts w:ascii="Garamond" w:hAnsi="Garamond"/>
          <w:sz w:val="24"/>
          <w:szCs w:val="24"/>
        </w:rPr>
        <w:t>assessee</w:t>
      </w:r>
      <w:proofErr w:type="spellEnd"/>
      <w:r w:rsidRPr="00FA0E1A">
        <w:rPr>
          <w:rFonts w:ascii="Garamond" w:hAnsi="Garamond"/>
          <w:sz w:val="24"/>
          <w:szCs w:val="24"/>
        </w:rPr>
        <w:t xml:space="preserve"> on certain specified businesses. Under sub-section (1) of section 35AD, the said deduction of 100</w:t>
      </w:r>
      <w:r w:rsidR="00DF44D9">
        <w:rPr>
          <w:rFonts w:ascii="Garamond" w:hAnsi="Garamond"/>
          <w:sz w:val="24"/>
          <w:szCs w:val="24"/>
        </w:rPr>
        <w:t>%</w:t>
      </w:r>
      <w:r w:rsidRPr="00FA0E1A">
        <w:rPr>
          <w:rFonts w:ascii="Garamond" w:hAnsi="Garamond"/>
          <w:sz w:val="24"/>
          <w:szCs w:val="24"/>
        </w:rPr>
        <w:t xml:space="preserve"> of the capital expenditure is allowable during the previous year in which such expenditure has been incurred.  Further, sub-section (4) provides that no deduction is allowable under any other section in respect to the expenditure referred to in sub-section (1). At present, an </w:t>
      </w:r>
      <w:proofErr w:type="spellStart"/>
      <w:r w:rsidRPr="00FA0E1A">
        <w:rPr>
          <w:rFonts w:ascii="Garamond" w:hAnsi="Garamond"/>
          <w:sz w:val="24"/>
          <w:szCs w:val="24"/>
        </w:rPr>
        <w:t>assessee</w:t>
      </w:r>
      <w:proofErr w:type="spellEnd"/>
      <w:r w:rsidRPr="00FA0E1A">
        <w:rPr>
          <w:rFonts w:ascii="Garamond" w:hAnsi="Garamond"/>
          <w:sz w:val="24"/>
          <w:szCs w:val="24"/>
        </w:rPr>
        <w:t xml:space="preserve"> does not have any option of not availing the incentive under said section</w:t>
      </w:r>
    </w:p>
    <w:p w14:paraId="36C75DCE" w14:textId="77777777" w:rsidR="00AD204A" w:rsidRDefault="00AD204A" w:rsidP="00AD204A">
      <w:pPr>
        <w:pStyle w:val="ListParagraph"/>
        <w:ind w:left="1080"/>
        <w:rPr>
          <w:rFonts w:ascii="Garamond" w:hAnsi="Garamond"/>
          <w:sz w:val="24"/>
          <w:szCs w:val="24"/>
        </w:rPr>
      </w:pPr>
    </w:p>
    <w:p w14:paraId="5043386D" w14:textId="77777777" w:rsidR="00FA0E1A" w:rsidRDefault="00FA0E1A" w:rsidP="00FA0E1A">
      <w:pPr>
        <w:pStyle w:val="ListParagraph"/>
        <w:numPr>
          <w:ilvl w:val="0"/>
          <w:numId w:val="79"/>
        </w:numPr>
        <w:rPr>
          <w:rFonts w:ascii="Garamond" w:hAnsi="Garamond"/>
          <w:sz w:val="24"/>
          <w:szCs w:val="24"/>
        </w:rPr>
      </w:pPr>
      <w:r w:rsidRPr="00FA0E1A">
        <w:rPr>
          <w:rFonts w:ascii="Garamond" w:hAnsi="Garamond"/>
          <w:sz w:val="24"/>
          <w:szCs w:val="24"/>
        </w:rPr>
        <w:t xml:space="preserve">Therefore, it is proposed to amend sub-section (1) of section 35AD to make the deduction thereunder optional. It is further proposed to amend sub-section (4) of section 35AD to provide that no deduction will be allowed in respect of expenditure incurred under sub-section (1) in any other section in any previous year or under this section in any other previous year, if the deduction has been claimed by the </w:t>
      </w:r>
      <w:proofErr w:type="spellStart"/>
      <w:r w:rsidRPr="00FA0E1A">
        <w:rPr>
          <w:rFonts w:ascii="Garamond" w:hAnsi="Garamond"/>
          <w:sz w:val="24"/>
          <w:szCs w:val="24"/>
        </w:rPr>
        <w:t>assessee</w:t>
      </w:r>
      <w:proofErr w:type="spellEnd"/>
      <w:r w:rsidRPr="00FA0E1A">
        <w:rPr>
          <w:rFonts w:ascii="Garamond" w:hAnsi="Garamond"/>
          <w:sz w:val="24"/>
          <w:szCs w:val="24"/>
        </w:rPr>
        <w:t xml:space="preserve"> and allowed to him under this section.  </w:t>
      </w:r>
    </w:p>
    <w:p w14:paraId="091CE2F8" w14:textId="77777777" w:rsidR="00AD204A" w:rsidRDefault="00AD204A" w:rsidP="00AD204A">
      <w:pPr>
        <w:pStyle w:val="ListParagraph"/>
        <w:ind w:left="1080"/>
        <w:rPr>
          <w:rFonts w:ascii="Garamond" w:hAnsi="Garamond"/>
          <w:sz w:val="24"/>
          <w:szCs w:val="24"/>
        </w:rPr>
      </w:pPr>
    </w:p>
    <w:p w14:paraId="6F27DDB6" w14:textId="19666AD3" w:rsidR="00FA0E1A" w:rsidRDefault="00FA0E1A" w:rsidP="00FA0E1A">
      <w:pPr>
        <w:pStyle w:val="ListParagraph"/>
        <w:numPr>
          <w:ilvl w:val="0"/>
          <w:numId w:val="79"/>
        </w:numPr>
        <w:rPr>
          <w:rFonts w:ascii="Garamond" w:hAnsi="Garamond"/>
          <w:sz w:val="24"/>
          <w:szCs w:val="24"/>
        </w:rPr>
      </w:pPr>
      <w:r w:rsidRPr="00FA0E1A">
        <w:rPr>
          <w:rFonts w:ascii="Garamond" w:hAnsi="Garamond"/>
          <w:sz w:val="24"/>
          <w:szCs w:val="24"/>
        </w:rPr>
        <w:t xml:space="preserve">This amendment will take effect from 1st April, 2020 and will, accordingly, apply in relation to the assessment year  2020-21 and subsequent assessment years. </w:t>
      </w:r>
    </w:p>
    <w:p w14:paraId="30A0A0B3" w14:textId="5D00014B" w:rsidR="00F82D27" w:rsidRDefault="00F82D27" w:rsidP="00575279">
      <w:pPr>
        <w:pStyle w:val="ListParagraph"/>
        <w:ind w:left="1080"/>
        <w:rPr>
          <w:rFonts w:ascii="Garamond" w:hAnsi="Garamond"/>
          <w:sz w:val="24"/>
          <w:szCs w:val="24"/>
        </w:rPr>
      </w:pPr>
    </w:p>
    <w:p w14:paraId="643E8804" w14:textId="007BFE32" w:rsidR="00DF44D9" w:rsidRDefault="00DF44D9" w:rsidP="00575279">
      <w:pPr>
        <w:pStyle w:val="ListParagraph"/>
        <w:ind w:left="1080"/>
        <w:rPr>
          <w:rFonts w:ascii="Garamond" w:hAnsi="Garamond"/>
          <w:sz w:val="24"/>
          <w:szCs w:val="24"/>
        </w:rPr>
      </w:pPr>
    </w:p>
    <w:p w14:paraId="7ED1031F" w14:textId="7D81EC9B" w:rsidR="00AD7926" w:rsidRPr="00AD7926" w:rsidRDefault="00AD7926" w:rsidP="00AD7926">
      <w:pPr>
        <w:pStyle w:val="ListParagraph"/>
        <w:numPr>
          <w:ilvl w:val="0"/>
          <w:numId w:val="44"/>
        </w:numPr>
        <w:rPr>
          <w:rFonts w:ascii="Garamond" w:hAnsi="Garamond"/>
          <w:b/>
          <w:bCs/>
          <w:sz w:val="24"/>
          <w:szCs w:val="24"/>
        </w:rPr>
      </w:pPr>
      <w:r>
        <w:rPr>
          <w:rFonts w:ascii="Garamond" w:hAnsi="Garamond"/>
          <w:b/>
          <w:bCs/>
          <w:sz w:val="24"/>
          <w:szCs w:val="24"/>
        </w:rPr>
        <w:t xml:space="preserve">Increase in threshold limit for </w:t>
      </w:r>
      <w:r w:rsidRPr="00AD7926">
        <w:rPr>
          <w:rFonts w:ascii="Garamond" w:hAnsi="Garamond"/>
          <w:b/>
          <w:bCs/>
          <w:sz w:val="24"/>
          <w:szCs w:val="24"/>
        </w:rPr>
        <w:t>tax audit in certain cases</w:t>
      </w:r>
    </w:p>
    <w:p w14:paraId="3371ADA1" w14:textId="77777777" w:rsidR="00AD7926" w:rsidRDefault="00AD7926" w:rsidP="00AD7926">
      <w:pPr>
        <w:pStyle w:val="ListParagraph"/>
        <w:rPr>
          <w:rFonts w:ascii="Garamond" w:hAnsi="Garamond"/>
          <w:sz w:val="24"/>
          <w:szCs w:val="24"/>
        </w:rPr>
      </w:pPr>
    </w:p>
    <w:p w14:paraId="7C42FE0C" w14:textId="77777777" w:rsidR="00AD7926" w:rsidRDefault="00AD7926" w:rsidP="00AD7926">
      <w:pPr>
        <w:pStyle w:val="ListParagraph"/>
        <w:numPr>
          <w:ilvl w:val="0"/>
          <w:numId w:val="123"/>
        </w:numPr>
        <w:rPr>
          <w:rFonts w:ascii="Garamond" w:hAnsi="Garamond"/>
        </w:rPr>
      </w:pPr>
      <w:r w:rsidRPr="00AD7926">
        <w:rPr>
          <w:rFonts w:ascii="Garamond" w:hAnsi="Garamond"/>
        </w:rPr>
        <w:t>The threshold limit for getting the accounts audited is proposed to be increased from Rs. 1 crore to Rs. 5 crores provided cash receipt or payment does not exceed 5% of total receipt or payment, as the case may be.</w:t>
      </w:r>
    </w:p>
    <w:p w14:paraId="28A7FE8C" w14:textId="77777777" w:rsidR="00AD7926" w:rsidRDefault="00AD7926" w:rsidP="00AD7926">
      <w:pPr>
        <w:pStyle w:val="ListParagraph"/>
        <w:ind w:left="1080"/>
        <w:rPr>
          <w:rFonts w:ascii="Garamond" w:hAnsi="Garamond"/>
        </w:rPr>
      </w:pPr>
    </w:p>
    <w:p w14:paraId="5B79EB37" w14:textId="4FDCFC0D" w:rsidR="00AD7926" w:rsidRPr="00AD7926" w:rsidRDefault="00AD7926" w:rsidP="00AD7926">
      <w:pPr>
        <w:pStyle w:val="ListParagraph"/>
        <w:numPr>
          <w:ilvl w:val="0"/>
          <w:numId w:val="123"/>
        </w:numPr>
        <w:rPr>
          <w:rFonts w:ascii="Garamond" w:hAnsi="Garamond"/>
        </w:rPr>
      </w:pPr>
      <w:r w:rsidRPr="00AD7926">
        <w:rPr>
          <w:rFonts w:ascii="Garamond" w:hAnsi="Garamond"/>
        </w:rPr>
        <w:t xml:space="preserve">Further, to enable pre-filling of returns in case of persons having income from business or profession, it is required that the tax audit report may be furnished by the said </w:t>
      </w:r>
      <w:proofErr w:type="spellStart"/>
      <w:r w:rsidRPr="00AD7926">
        <w:rPr>
          <w:rFonts w:ascii="Garamond" w:hAnsi="Garamond"/>
        </w:rPr>
        <w:t>assessees</w:t>
      </w:r>
      <w:proofErr w:type="spellEnd"/>
      <w:r w:rsidRPr="00AD7926">
        <w:rPr>
          <w:rFonts w:ascii="Garamond" w:hAnsi="Garamond"/>
        </w:rPr>
        <w:t xml:space="preserve"> at least one month prior to the due date of filing of return of income. Further, the due date for filing return of income under sub-section (1) of section 139 is proposed to be amended by:-</w:t>
      </w:r>
    </w:p>
    <w:p w14:paraId="6F4183EE" w14:textId="77777777" w:rsidR="00AD7926" w:rsidRDefault="00AD7926" w:rsidP="00AD7926">
      <w:pPr>
        <w:pStyle w:val="ListParagraph"/>
        <w:ind w:left="1080"/>
        <w:rPr>
          <w:rFonts w:ascii="Garamond" w:hAnsi="Garamond"/>
          <w:sz w:val="24"/>
          <w:szCs w:val="24"/>
        </w:rPr>
      </w:pPr>
    </w:p>
    <w:p w14:paraId="3F6F3154" w14:textId="77777777" w:rsidR="00AD7926" w:rsidRPr="00AD7926" w:rsidRDefault="00AD7926" w:rsidP="00AD7926">
      <w:pPr>
        <w:pStyle w:val="ListParagraph"/>
        <w:numPr>
          <w:ilvl w:val="0"/>
          <w:numId w:val="115"/>
        </w:numPr>
        <w:rPr>
          <w:rFonts w:ascii="Garamond" w:hAnsi="Garamond"/>
          <w:sz w:val="24"/>
          <w:szCs w:val="24"/>
        </w:rPr>
      </w:pPr>
      <w:r>
        <w:rPr>
          <w:rFonts w:ascii="Garamond" w:hAnsi="Garamond"/>
          <w:sz w:val="24"/>
          <w:szCs w:val="24"/>
        </w:rPr>
        <w:t>P</w:t>
      </w:r>
      <w:r w:rsidRPr="00A94FB5">
        <w:rPr>
          <w:rFonts w:ascii="Garamond" w:hAnsi="Garamond"/>
          <w:sz w:val="24"/>
          <w:szCs w:val="24"/>
        </w:rPr>
        <w:t xml:space="preserve">roviding 31st October of the assessment year (as against 30th September) as the due date for an </w:t>
      </w:r>
      <w:proofErr w:type="spellStart"/>
      <w:r w:rsidRPr="00A94FB5">
        <w:rPr>
          <w:rFonts w:ascii="Garamond" w:hAnsi="Garamond"/>
          <w:sz w:val="24"/>
          <w:szCs w:val="24"/>
        </w:rPr>
        <w:t>assessee</w:t>
      </w:r>
      <w:proofErr w:type="spellEnd"/>
      <w:r>
        <w:rPr>
          <w:rFonts w:ascii="Garamond" w:hAnsi="Garamond"/>
          <w:sz w:val="24"/>
          <w:szCs w:val="24"/>
        </w:rPr>
        <w:t xml:space="preserve"> </w:t>
      </w:r>
      <w:r w:rsidRPr="00AD7926">
        <w:rPr>
          <w:rFonts w:ascii="Garamond" w:hAnsi="Garamond"/>
          <w:sz w:val="24"/>
          <w:szCs w:val="24"/>
        </w:rPr>
        <w:t>referred to in clause (a) of Explanation 2 of sub-section (1) of Section 139 of the Act;</w:t>
      </w:r>
    </w:p>
    <w:p w14:paraId="020F8546" w14:textId="7E2E0EEB" w:rsidR="00AD7926" w:rsidRDefault="00AD7926" w:rsidP="00AD7926">
      <w:pPr>
        <w:pStyle w:val="ListParagraph"/>
        <w:numPr>
          <w:ilvl w:val="0"/>
          <w:numId w:val="115"/>
        </w:numPr>
        <w:rPr>
          <w:rFonts w:ascii="Garamond" w:hAnsi="Garamond"/>
          <w:sz w:val="24"/>
          <w:szCs w:val="24"/>
        </w:rPr>
      </w:pPr>
      <w:r>
        <w:rPr>
          <w:rFonts w:ascii="Garamond" w:hAnsi="Garamond"/>
          <w:sz w:val="24"/>
          <w:szCs w:val="24"/>
        </w:rPr>
        <w:t>R</w:t>
      </w:r>
      <w:r w:rsidRPr="00A94FB5">
        <w:rPr>
          <w:rFonts w:ascii="Garamond" w:hAnsi="Garamond"/>
          <w:sz w:val="24"/>
          <w:szCs w:val="24"/>
        </w:rPr>
        <w:t>emoving the distinction between a working and a non-working partner of a firm with respect to the due date as</w:t>
      </w:r>
      <w:r>
        <w:rPr>
          <w:rFonts w:ascii="Garamond" w:hAnsi="Garamond"/>
          <w:sz w:val="24"/>
          <w:szCs w:val="24"/>
        </w:rPr>
        <w:t xml:space="preserve"> </w:t>
      </w:r>
      <w:r w:rsidRPr="00AD7926">
        <w:rPr>
          <w:rFonts w:ascii="Garamond" w:hAnsi="Garamond"/>
          <w:sz w:val="24"/>
          <w:szCs w:val="24"/>
        </w:rPr>
        <w:t>mentioned in sub-clause (iii) of clause (a) of Explanation 2 of sub-section (1) of Section 139 of the Act.</w:t>
      </w:r>
    </w:p>
    <w:p w14:paraId="47FF458E" w14:textId="77777777" w:rsidR="00AD7926" w:rsidRPr="00AD7926" w:rsidRDefault="00AD7926" w:rsidP="00AD7926">
      <w:pPr>
        <w:pStyle w:val="ListParagraph"/>
        <w:ind w:left="1800"/>
        <w:rPr>
          <w:rFonts w:ascii="Garamond" w:hAnsi="Garamond"/>
          <w:sz w:val="24"/>
          <w:szCs w:val="24"/>
        </w:rPr>
      </w:pPr>
    </w:p>
    <w:p w14:paraId="28787D56" w14:textId="77777777" w:rsidR="00AD7926" w:rsidRDefault="00AD7926" w:rsidP="00AD7926">
      <w:pPr>
        <w:pStyle w:val="ListParagraph"/>
        <w:rPr>
          <w:rFonts w:ascii="Garamond" w:hAnsi="Garamond"/>
          <w:sz w:val="24"/>
          <w:szCs w:val="24"/>
        </w:rPr>
      </w:pPr>
      <w:r w:rsidRPr="00A94FB5">
        <w:rPr>
          <w:rFonts w:ascii="Garamond" w:hAnsi="Garamond"/>
          <w:sz w:val="24"/>
          <w:szCs w:val="24"/>
        </w:rPr>
        <w:t>These amendments will take effect from 1st April, 2020.</w:t>
      </w:r>
    </w:p>
    <w:p w14:paraId="16EB58D1" w14:textId="1C2378EE" w:rsidR="005F3CF5" w:rsidRDefault="005F3CF5" w:rsidP="005F3CF5">
      <w:pPr>
        <w:pStyle w:val="ListParagraph"/>
        <w:numPr>
          <w:ilvl w:val="0"/>
          <w:numId w:val="44"/>
        </w:numPr>
        <w:rPr>
          <w:rFonts w:ascii="Garamond" w:hAnsi="Garamond"/>
          <w:b/>
          <w:bCs/>
          <w:sz w:val="24"/>
          <w:szCs w:val="24"/>
        </w:rPr>
      </w:pPr>
      <w:r w:rsidRPr="005F3CF5">
        <w:rPr>
          <w:rFonts w:ascii="Garamond" w:hAnsi="Garamond"/>
          <w:b/>
          <w:bCs/>
          <w:sz w:val="24"/>
          <w:szCs w:val="24"/>
        </w:rPr>
        <w:lastRenderedPageBreak/>
        <w:t>Exempting non-resident from filing of Income-tax return in certain conditions. Section 115A of the Act provides for the determination of tax for a non-resident</w:t>
      </w:r>
    </w:p>
    <w:p w14:paraId="43E0BD8D" w14:textId="77777777" w:rsidR="005F3CF5" w:rsidRDefault="005F3CF5" w:rsidP="005F3CF5">
      <w:pPr>
        <w:pStyle w:val="ListParagraph"/>
        <w:rPr>
          <w:rFonts w:ascii="Garamond" w:hAnsi="Garamond"/>
        </w:rPr>
      </w:pPr>
    </w:p>
    <w:p w14:paraId="5DBB159A" w14:textId="5E1417C5" w:rsidR="005F3CF5" w:rsidRPr="005F3CF5" w:rsidRDefault="005F3CF5" w:rsidP="005F3CF5">
      <w:pPr>
        <w:pStyle w:val="ListParagraph"/>
        <w:rPr>
          <w:rFonts w:ascii="Garamond" w:hAnsi="Garamond"/>
          <w:b/>
          <w:bCs/>
          <w:sz w:val="24"/>
          <w:szCs w:val="24"/>
        </w:rPr>
      </w:pPr>
      <w:r w:rsidRPr="005F3CF5">
        <w:rPr>
          <w:rFonts w:ascii="Garamond" w:hAnsi="Garamond"/>
          <w:sz w:val="24"/>
          <w:szCs w:val="24"/>
        </w:rPr>
        <w:t>Therefore, it is proposed to amend section 115A of the Act in order to provide that a non-resident, shall not be required to file return of income under sub-section (1) of section 139 of the Act if, -</w:t>
      </w:r>
    </w:p>
    <w:p w14:paraId="6D38A051" w14:textId="77777777" w:rsidR="005F3CF5" w:rsidRPr="005F3CF5" w:rsidRDefault="005F3CF5" w:rsidP="005F3CF5">
      <w:pPr>
        <w:pStyle w:val="ListParagraph"/>
        <w:numPr>
          <w:ilvl w:val="0"/>
          <w:numId w:val="81"/>
        </w:numPr>
        <w:rPr>
          <w:rFonts w:ascii="Garamond" w:hAnsi="Garamond"/>
          <w:sz w:val="24"/>
          <w:szCs w:val="24"/>
        </w:rPr>
      </w:pPr>
      <w:r w:rsidRPr="005F3CF5">
        <w:rPr>
          <w:rFonts w:ascii="Garamond" w:hAnsi="Garamond"/>
          <w:sz w:val="24"/>
          <w:szCs w:val="24"/>
        </w:rPr>
        <w:t xml:space="preserve">his or its total income consists of only dividend or interest income as referred to in clause (a) of sub-section (1) of said section, or royalty or FTS income of the nature specified in clause (b) of sub-section (1) of section 115A; and </w:t>
      </w:r>
    </w:p>
    <w:p w14:paraId="306B286E" w14:textId="77777777" w:rsidR="005F3CF5" w:rsidRPr="005F3CF5" w:rsidRDefault="005F3CF5" w:rsidP="005F3CF5">
      <w:pPr>
        <w:pStyle w:val="ListParagraph"/>
        <w:numPr>
          <w:ilvl w:val="0"/>
          <w:numId w:val="81"/>
        </w:numPr>
        <w:rPr>
          <w:rFonts w:ascii="Garamond" w:hAnsi="Garamond"/>
          <w:sz w:val="24"/>
          <w:szCs w:val="24"/>
        </w:rPr>
      </w:pPr>
      <w:r w:rsidRPr="005F3CF5">
        <w:rPr>
          <w:rFonts w:ascii="Garamond" w:hAnsi="Garamond"/>
          <w:sz w:val="24"/>
          <w:szCs w:val="24"/>
        </w:rPr>
        <w:t xml:space="preserve">the TDS on such income has been deducted under the provisions of Chapter XVII-B of the Act at the rates which are not lower than the prescribed rates under sub-section (1) of section 115A. </w:t>
      </w:r>
    </w:p>
    <w:p w14:paraId="19FAD81C" w14:textId="77777777" w:rsidR="005F3CF5" w:rsidRPr="005F3CF5" w:rsidRDefault="005F3CF5" w:rsidP="005F3CF5">
      <w:pPr>
        <w:pStyle w:val="ListParagraph"/>
        <w:numPr>
          <w:ilvl w:val="0"/>
          <w:numId w:val="81"/>
        </w:numPr>
        <w:rPr>
          <w:rFonts w:ascii="Garamond" w:hAnsi="Garamond"/>
          <w:sz w:val="24"/>
          <w:szCs w:val="24"/>
        </w:rPr>
      </w:pPr>
      <w:r w:rsidRPr="005F3CF5">
        <w:rPr>
          <w:rFonts w:ascii="Garamond" w:hAnsi="Garamond"/>
          <w:sz w:val="24"/>
          <w:szCs w:val="24"/>
        </w:rPr>
        <w:t>This amendment will take effect from 1st April, 2020 and will, accordingly, apply in relation to the assessment year  2020-21 and subsequent assessment years</w:t>
      </w:r>
    </w:p>
    <w:p w14:paraId="2FD3679B" w14:textId="271C3FEA" w:rsidR="00943CD0" w:rsidRDefault="00943CD0" w:rsidP="00575279">
      <w:pPr>
        <w:pStyle w:val="ListParagraph"/>
        <w:ind w:left="1080"/>
        <w:rPr>
          <w:rFonts w:ascii="Garamond" w:hAnsi="Garamond"/>
          <w:sz w:val="24"/>
          <w:szCs w:val="24"/>
        </w:rPr>
      </w:pPr>
    </w:p>
    <w:p w14:paraId="3452A2CF" w14:textId="77777777" w:rsidR="009F7086" w:rsidRPr="009F7086" w:rsidRDefault="009F7086" w:rsidP="009F7086">
      <w:pPr>
        <w:pStyle w:val="ListParagraph"/>
        <w:numPr>
          <w:ilvl w:val="0"/>
          <w:numId w:val="44"/>
        </w:numPr>
        <w:rPr>
          <w:rFonts w:ascii="Garamond" w:hAnsi="Garamond"/>
          <w:b/>
          <w:bCs/>
          <w:sz w:val="24"/>
          <w:szCs w:val="24"/>
        </w:rPr>
      </w:pPr>
      <w:r w:rsidRPr="009F7086">
        <w:rPr>
          <w:rFonts w:ascii="Garamond" w:hAnsi="Garamond"/>
          <w:b/>
          <w:bCs/>
          <w:sz w:val="24"/>
          <w:szCs w:val="24"/>
        </w:rPr>
        <w:t>Allowing deduction for amount disallowed under section 43B, to insurance companies on payment basis</w:t>
      </w:r>
    </w:p>
    <w:p w14:paraId="613C9E36" w14:textId="77777777" w:rsidR="009F7086" w:rsidRPr="009F7086" w:rsidRDefault="009F7086" w:rsidP="009F7086">
      <w:pPr>
        <w:pStyle w:val="ListParagraph"/>
        <w:numPr>
          <w:ilvl w:val="0"/>
          <w:numId w:val="86"/>
        </w:numPr>
        <w:rPr>
          <w:rFonts w:ascii="Garamond" w:hAnsi="Garamond"/>
          <w:sz w:val="24"/>
          <w:szCs w:val="24"/>
        </w:rPr>
      </w:pPr>
      <w:r w:rsidRPr="009F7086">
        <w:rPr>
          <w:rFonts w:ascii="Garamond" w:hAnsi="Garamond"/>
          <w:sz w:val="24"/>
          <w:szCs w:val="24"/>
        </w:rPr>
        <w:t>Section 44 of the Act provides that computation of profits and gains of any business of insurance, including any such business carried on by a mutual insurance company or a co-operative society shall be computed in accordance with the rules contained in the First Schedule to the Act.</w:t>
      </w:r>
    </w:p>
    <w:p w14:paraId="7F92D320" w14:textId="77777777" w:rsidR="009F7086" w:rsidRDefault="009F7086" w:rsidP="009F7086">
      <w:pPr>
        <w:pStyle w:val="ListParagraph"/>
        <w:ind w:left="1080"/>
        <w:rPr>
          <w:rFonts w:ascii="Garamond" w:hAnsi="Garamond"/>
          <w:sz w:val="24"/>
          <w:szCs w:val="24"/>
        </w:rPr>
      </w:pPr>
    </w:p>
    <w:p w14:paraId="6D8E749A" w14:textId="788774A5" w:rsidR="009F7086" w:rsidRPr="009F7086" w:rsidRDefault="009F7086" w:rsidP="009F7086">
      <w:pPr>
        <w:pStyle w:val="ListParagraph"/>
        <w:numPr>
          <w:ilvl w:val="0"/>
          <w:numId w:val="86"/>
        </w:numPr>
        <w:rPr>
          <w:rFonts w:ascii="Garamond" w:hAnsi="Garamond"/>
          <w:sz w:val="24"/>
          <w:szCs w:val="24"/>
        </w:rPr>
      </w:pPr>
      <w:r w:rsidRPr="009F7086">
        <w:rPr>
          <w:rFonts w:ascii="Garamond" w:hAnsi="Garamond"/>
          <w:sz w:val="24"/>
          <w:szCs w:val="24"/>
        </w:rPr>
        <w:t xml:space="preserve">Section 43B of the Act provides for allowance of certain deductions, irrespective of the previous year in which the liability to pay such sum was incurred by the </w:t>
      </w:r>
      <w:proofErr w:type="spellStart"/>
      <w:r w:rsidRPr="009F7086">
        <w:rPr>
          <w:rFonts w:ascii="Garamond" w:hAnsi="Garamond"/>
          <w:sz w:val="24"/>
          <w:szCs w:val="24"/>
        </w:rPr>
        <w:t>assessee</w:t>
      </w:r>
      <w:proofErr w:type="spellEnd"/>
      <w:r w:rsidRPr="009F7086">
        <w:rPr>
          <w:rFonts w:ascii="Garamond" w:hAnsi="Garamond"/>
          <w:sz w:val="24"/>
          <w:szCs w:val="24"/>
        </w:rPr>
        <w:t xml:space="preserve"> according to the method of accounting regularly employed by the </w:t>
      </w:r>
      <w:proofErr w:type="spellStart"/>
      <w:r w:rsidRPr="009F7086">
        <w:rPr>
          <w:rFonts w:ascii="Garamond" w:hAnsi="Garamond"/>
          <w:sz w:val="24"/>
          <w:szCs w:val="24"/>
        </w:rPr>
        <w:t>assessee</w:t>
      </w:r>
      <w:proofErr w:type="spellEnd"/>
      <w:r w:rsidRPr="009F7086">
        <w:rPr>
          <w:rFonts w:ascii="Garamond" w:hAnsi="Garamond"/>
          <w:sz w:val="24"/>
          <w:szCs w:val="24"/>
        </w:rPr>
        <w:t>, only in the previous year in which such sum is actually paid</w:t>
      </w:r>
    </w:p>
    <w:p w14:paraId="12527B13" w14:textId="77777777" w:rsidR="009F7086" w:rsidRDefault="009F7086" w:rsidP="009F7086">
      <w:pPr>
        <w:pStyle w:val="ListParagraph"/>
        <w:ind w:left="1080"/>
        <w:rPr>
          <w:rFonts w:ascii="Garamond" w:hAnsi="Garamond"/>
          <w:sz w:val="24"/>
          <w:szCs w:val="24"/>
        </w:rPr>
      </w:pPr>
    </w:p>
    <w:p w14:paraId="0D1C22DF" w14:textId="3EBA7620" w:rsidR="009F7086" w:rsidRPr="009F7086" w:rsidRDefault="009F7086" w:rsidP="009F7086">
      <w:pPr>
        <w:pStyle w:val="ListParagraph"/>
        <w:numPr>
          <w:ilvl w:val="0"/>
          <w:numId w:val="86"/>
        </w:numPr>
        <w:rPr>
          <w:rFonts w:ascii="Garamond" w:hAnsi="Garamond"/>
          <w:sz w:val="24"/>
          <w:szCs w:val="24"/>
        </w:rPr>
      </w:pPr>
      <w:r w:rsidRPr="009F7086">
        <w:rPr>
          <w:rFonts w:ascii="Garamond" w:hAnsi="Garamond"/>
          <w:sz w:val="24"/>
          <w:szCs w:val="24"/>
        </w:rPr>
        <w:t xml:space="preserve">Therefore, it is proposed to insert a proviso after clause (c) of the said  rule 5 to provide that any sum payable by the </w:t>
      </w:r>
      <w:proofErr w:type="spellStart"/>
      <w:r w:rsidRPr="009F7086">
        <w:rPr>
          <w:rFonts w:ascii="Garamond" w:hAnsi="Garamond"/>
          <w:sz w:val="24"/>
          <w:szCs w:val="24"/>
        </w:rPr>
        <w:t>assessee</w:t>
      </w:r>
      <w:proofErr w:type="spellEnd"/>
      <w:r w:rsidRPr="009F7086">
        <w:rPr>
          <w:rFonts w:ascii="Garamond" w:hAnsi="Garamond"/>
          <w:sz w:val="24"/>
          <w:szCs w:val="24"/>
        </w:rPr>
        <w:t xml:space="preserve"> which is added back under section 43B in accordance with clause (a) of the said rule shall be allowed as deduction in computing the income under the rule in the previous year in which such sum is actually paid</w:t>
      </w:r>
    </w:p>
    <w:p w14:paraId="01CCB9FF" w14:textId="0B728049" w:rsidR="00AD7926" w:rsidRDefault="009F7086" w:rsidP="009F7086">
      <w:pPr>
        <w:pStyle w:val="ListParagraph"/>
        <w:ind w:left="1080"/>
        <w:rPr>
          <w:rFonts w:ascii="Garamond" w:hAnsi="Garamond"/>
          <w:sz w:val="24"/>
          <w:szCs w:val="24"/>
        </w:rPr>
      </w:pPr>
      <w:r w:rsidRPr="009F7086">
        <w:rPr>
          <w:rFonts w:ascii="Garamond" w:hAnsi="Garamond"/>
          <w:sz w:val="24"/>
          <w:szCs w:val="24"/>
        </w:rPr>
        <w:t>This amendment will take effect from 1st April, 2020 and will, accordingly, apply in relation to the assessment year  2020-21 and subsequent assessment years</w:t>
      </w:r>
      <w:r>
        <w:rPr>
          <w:rFonts w:ascii="Garamond" w:hAnsi="Garamond"/>
          <w:sz w:val="24"/>
          <w:szCs w:val="24"/>
        </w:rPr>
        <w:t>.</w:t>
      </w:r>
    </w:p>
    <w:p w14:paraId="2751E81B" w14:textId="479A9249" w:rsidR="00943CD0" w:rsidRPr="004C6C79" w:rsidRDefault="00C93CB6" w:rsidP="00943CD0">
      <w:pPr>
        <w:pStyle w:val="Heading1"/>
        <w:shd w:val="clear" w:color="auto" w:fill="D9D9D9" w:themeFill="background1" w:themeFillShade="D9"/>
        <w:rPr>
          <w:rFonts w:ascii="Garamond" w:hAnsi="Garamond"/>
          <w:i w:val="0"/>
          <w:sz w:val="28"/>
          <w:szCs w:val="24"/>
        </w:rPr>
      </w:pPr>
      <w:bookmarkStart w:id="8" w:name="_Toc32423690"/>
      <w:r w:rsidRPr="004C6C79">
        <w:rPr>
          <w:rFonts w:ascii="Garamond" w:hAnsi="Garamond"/>
          <w:i w:val="0"/>
          <w:sz w:val="28"/>
          <w:szCs w:val="24"/>
        </w:rPr>
        <w:lastRenderedPageBreak/>
        <w:t xml:space="preserve">Deductions </w:t>
      </w:r>
      <w:r>
        <w:rPr>
          <w:rFonts w:ascii="Garamond" w:hAnsi="Garamond"/>
          <w:i w:val="0"/>
          <w:sz w:val="28"/>
          <w:szCs w:val="24"/>
        </w:rPr>
        <w:t>a</w:t>
      </w:r>
      <w:r w:rsidRPr="004C6C79">
        <w:rPr>
          <w:rFonts w:ascii="Garamond" w:hAnsi="Garamond"/>
          <w:i w:val="0"/>
          <w:sz w:val="28"/>
          <w:szCs w:val="24"/>
        </w:rPr>
        <w:t>nd Exemptions</w:t>
      </w:r>
      <w:bookmarkEnd w:id="8"/>
    </w:p>
    <w:p w14:paraId="37159A7E" w14:textId="77777777" w:rsidR="00943CD0" w:rsidRPr="004C6C79" w:rsidRDefault="00943CD0" w:rsidP="00943CD0">
      <w:pPr>
        <w:pStyle w:val="ListParagraph"/>
        <w:numPr>
          <w:ilvl w:val="0"/>
          <w:numId w:val="44"/>
        </w:numPr>
        <w:rPr>
          <w:rFonts w:ascii="Garamond" w:hAnsi="Garamond"/>
          <w:b/>
          <w:bCs/>
          <w:sz w:val="24"/>
          <w:szCs w:val="24"/>
        </w:rPr>
      </w:pPr>
      <w:r w:rsidRPr="004C6C79">
        <w:rPr>
          <w:rFonts w:ascii="Garamond" w:hAnsi="Garamond"/>
          <w:b/>
          <w:bCs/>
          <w:sz w:val="24"/>
          <w:szCs w:val="24"/>
        </w:rPr>
        <w:t xml:space="preserve">Filing of statement of donation by </w:t>
      </w:r>
      <w:proofErr w:type="spellStart"/>
      <w:r w:rsidRPr="004C6C79">
        <w:rPr>
          <w:rFonts w:ascii="Garamond" w:hAnsi="Garamond"/>
          <w:b/>
          <w:bCs/>
          <w:sz w:val="24"/>
          <w:szCs w:val="24"/>
        </w:rPr>
        <w:t>donee</w:t>
      </w:r>
      <w:proofErr w:type="spellEnd"/>
      <w:r w:rsidRPr="004C6C79">
        <w:rPr>
          <w:rFonts w:ascii="Garamond" w:hAnsi="Garamond"/>
          <w:b/>
          <w:bCs/>
          <w:sz w:val="24"/>
          <w:szCs w:val="24"/>
        </w:rPr>
        <w:t xml:space="preserve"> to cross-check claim of donation by donor – It is proposed that;</w:t>
      </w:r>
    </w:p>
    <w:p w14:paraId="15AE0217" w14:textId="7D33F05E" w:rsidR="00943CD0" w:rsidRPr="004C6C79" w:rsidRDefault="004C6C79" w:rsidP="004C6C79">
      <w:pPr>
        <w:ind w:left="720"/>
        <w:rPr>
          <w:rFonts w:ascii="Garamond" w:eastAsia="Arial" w:hAnsi="Garamond"/>
        </w:rPr>
      </w:pPr>
      <w:r w:rsidRPr="004C6C79">
        <w:rPr>
          <w:rFonts w:ascii="Garamond" w:eastAsia="Arial" w:hAnsi="Garamond"/>
        </w:rPr>
        <w:t xml:space="preserve">Section 80G is proposed to be amended to provide that entities receiving donation shall be required to file a statement of the donation received and shall issue a certificate to donor. The mechanism shall be similar to TDS/TCS. </w:t>
      </w:r>
      <w:r w:rsidR="00943CD0" w:rsidRPr="004C6C79">
        <w:rPr>
          <w:rFonts w:ascii="Garamond" w:hAnsi="Garamond"/>
        </w:rPr>
        <w:t>These amendments will take effect from 1st June, 2020.</w:t>
      </w:r>
    </w:p>
    <w:p w14:paraId="6E678720" w14:textId="77777777" w:rsidR="004C6C79" w:rsidRPr="004C6C79" w:rsidRDefault="004C6C79" w:rsidP="004C6C79">
      <w:pPr>
        <w:pStyle w:val="ListParagraph"/>
        <w:numPr>
          <w:ilvl w:val="0"/>
          <w:numId w:val="44"/>
        </w:numPr>
        <w:rPr>
          <w:rFonts w:ascii="Garamond" w:hAnsi="Garamond"/>
          <w:b/>
          <w:bCs/>
          <w:sz w:val="24"/>
          <w:szCs w:val="24"/>
        </w:rPr>
      </w:pPr>
      <w:r w:rsidRPr="004C6C79">
        <w:rPr>
          <w:rFonts w:ascii="Garamond" w:hAnsi="Garamond"/>
          <w:b/>
          <w:bCs/>
          <w:sz w:val="24"/>
          <w:szCs w:val="24"/>
        </w:rPr>
        <w:t>Exemption in respect of certain income of wholly owned subsidiary of Abu Dhabi Investment Authority and Sovereign Wealth Fund</w:t>
      </w:r>
    </w:p>
    <w:p w14:paraId="14B7CC1E" w14:textId="77777777" w:rsidR="004C6C79" w:rsidRPr="004C6C79" w:rsidRDefault="004C6C79" w:rsidP="004C6C79">
      <w:pPr>
        <w:pStyle w:val="ListParagraph"/>
        <w:rPr>
          <w:rFonts w:ascii="Garamond" w:hAnsi="Garamond"/>
          <w:sz w:val="24"/>
          <w:szCs w:val="24"/>
        </w:rPr>
      </w:pPr>
    </w:p>
    <w:p w14:paraId="6A1E472E" w14:textId="77777777" w:rsidR="004C6C79" w:rsidRPr="004C6C79" w:rsidRDefault="004C6C79" w:rsidP="004C6C79">
      <w:pPr>
        <w:pStyle w:val="ListParagraph"/>
        <w:numPr>
          <w:ilvl w:val="0"/>
          <w:numId w:val="90"/>
        </w:numPr>
        <w:rPr>
          <w:rFonts w:ascii="Garamond" w:hAnsi="Garamond"/>
          <w:sz w:val="24"/>
          <w:szCs w:val="24"/>
        </w:rPr>
      </w:pPr>
      <w:r w:rsidRPr="004C6C79">
        <w:rPr>
          <w:rFonts w:ascii="Garamond" w:hAnsi="Garamond"/>
          <w:sz w:val="24"/>
          <w:szCs w:val="24"/>
        </w:rPr>
        <w:t>Provide exemption to any income of a specified person in the nature of dividend, interest or long-term capital gains arising from an investment made by it in India, whether in the form of debt or equity, in a company or enterprise carrying on the business of developing, or operating and maintaining, or developing, operating or maintaining any infrastructure facility as defined in Explanation to clause (i) of  sub-section (4) of section 80-IA of the Act or such other business as may be notified by the Central Government in this behalf.</w:t>
      </w:r>
    </w:p>
    <w:p w14:paraId="269D96F7" w14:textId="77777777" w:rsidR="004C6C79" w:rsidRPr="004C6C79" w:rsidRDefault="004C6C79" w:rsidP="004C6C79">
      <w:pPr>
        <w:pStyle w:val="ListParagraph"/>
        <w:ind w:left="1440"/>
        <w:rPr>
          <w:rFonts w:ascii="Garamond" w:hAnsi="Garamond"/>
          <w:sz w:val="24"/>
          <w:szCs w:val="24"/>
        </w:rPr>
      </w:pPr>
    </w:p>
    <w:p w14:paraId="06B540C0" w14:textId="77777777" w:rsidR="004C6C79" w:rsidRPr="004C6C79" w:rsidRDefault="004C6C79" w:rsidP="004C6C79">
      <w:pPr>
        <w:pStyle w:val="ListParagraph"/>
        <w:numPr>
          <w:ilvl w:val="0"/>
          <w:numId w:val="90"/>
        </w:numPr>
        <w:rPr>
          <w:rFonts w:ascii="Garamond" w:hAnsi="Garamond"/>
          <w:sz w:val="24"/>
          <w:szCs w:val="24"/>
        </w:rPr>
      </w:pPr>
      <w:r w:rsidRPr="004C6C79">
        <w:rPr>
          <w:rFonts w:ascii="Garamond" w:hAnsi="Garamond"/>
          <w:sz w:val="24"/>
          <w:szCs w:val="24"/>
        </w:rPr>
        <w:t>In order to be eligible for exemption, the investment is required to be made on or before 31st March, 2024 and is required to be held for at least three years.</w:t>
      </w:r>
    </w:p>
    <w:p w14:paraId="7281B002" w14:textId="77777777" w:rsidR="004C6C79" w:rsidRPr="004C6C79" w:rsidRDefault="004C6C79" w:rsidP="004C6C79">
      <w:pPr>
        <w:pStyle w:val="ListParagraph"/>
        <w:ind w:left="1440"/>
        <w:rPr>
          <w:rFonts w:ascii="Garamond" w:hAnsi="Garamond"/>
          <w:sz w:val="24"/>
          <w:szCs w:val="24"/>
        </w:rPr>
      </w:pPr>
    </w:p>
    <w:p w14:paraId="6668A9C1" w14:textId="47ED7DEE" w:rsidR="00943CD0" w:rsidRPr="004C6C79" w:rsidRDefault="004C6C79" w:rsidP="004C6C79">
      <w:pPr>
        <w:pStyle w:val="ListParagraph"/>
        <w:numPr>
          <w:ilvl w:val="0"/>
          <w:numId w:val="90"/>
        </w:numPr>
        <w:rPr>
          <w:rFonts w:ascii="Garamond" w:hAnsi="Garamond"/>
          <w:sz w:val="24"/>
          <w:szCs w:val="24"/>
        </w:rPr>
      </w:pPr>
      <w:r w:rsidRPr="004C6C79">
        <w:rPr>
          <w:rFonts w:ascii="Garamond" w:hAnsi="Garamond"/>
          <w:sz w:val="24"/>
          <w:szCs w:val="24"/>
        </w:rPr>
        <w:t>These amendments will take effect from 1st April, 2021 and will, accordingly, apply in relation to the assessment year 2021-22 and subsequent assessment years.</w:t>
      </w:r>
    </w:p>
    <w:p w14:paraId="70B022C2" w14:textId="30326124" w:rsidR="00943CD0" w:rsidRPr="004C6C79" w:rsidRDefault="00943CD0" w:rsidP="00943CD0">
      <w:pPr>
        <w:pStyle w:val="ListParagraph"/>
        <w:rPr>
          <w:rFonts w:ascii="Garamond" w:hAnsi="Garamond"/>
          <w:sz w:val="24"/>
          <w:szCs w:val="24"/>
        </w:rPr>
      </w:pPr>
    </w:p>
    <w:p w14:paraId="36A53D9E" w14:textId="648840DB" w:rsidR="004C6C79" w:rsidRPr="004C6C79" w:rsidRDefault="004C6C79" w:rsidP="004C6C79">
      <w:pPr>
        <w:pStyle w:val="ListParagraph"/>
        <w:numPr>
          <w:ilvl w:val="0"/>
          <w:numId w:val="44"/>
        </w:numPr>
        <w:rPr>
          <w:rFonts w:ascii="Garamond" w:hAnsi="Garamond"/>
          <w:b/>
          <w:bCs/>
          <w:sz w:val="24"/>
          <w:szCs w:val="24"/>
        </w:rPr>
      </w:pPr>
      <w:r w:rsidRPr="004C6C79">
        <w:rPr>
          <w:rFonts w:ascii="Garamond" w:hAnsi="Garamond"/>
          <w:b/>
          <w:bCs/>
          <w:sz w:val="24"/>
          <w:szCs w:val="24"/>
        </w:rPr>
        <w:t>Exemption in respect of certain income of Indian Strategic Petroleum Reserves Limited.</w:t>
      </w:r>
    </w:p>
    <w:p w14:paraId="59D975A9" w14:textId="6491C970" w:rsidR="00943CD0" w:rsidRPr="004C6C79" w:rsidRDefault="004C6C79" w:rsidP="004C6C79">
      <w:pPr>
        <w:ind w:left="720"/>
        <w:rPr>
          <w:rFonts w:ascii="Garamond" w:hAnsi="Garamond"/>
        </w:rPr>
      </w:pPr>
      <w:r w:rsidRPr="004C6C79">
        <w:rPr>
          <w:rFonts w:ascii="Garamond" w:eastAsia="Arial" w:hAnsi="Garamond"/>
        </w:rPr>
        <w:t>A new clause is proposed to be inserted in section 10 to provide an exemption in respect of income accruing or arising to Indian Strategic Petroleum Reserves Limited (ISPRL), being a wholly-owned subsidiary of Oil Industry Development Board under the Ministry of Petroleum and Natural Gas.</w:t>
      </w:r>
      <w:r>
        <w:rPr>
          <w:rFonts w:ascii="Garamond" w:hAnsi="Garamond"/>
        </w:rPr>
        <w:t xml:space="preserve"> </w:t>
      </w:r>
      <w:r w:rsidRPr="004C6C79">
        <w:rPr>
          <w:rFonts w:ascii="Garamond" w:hAnsi="Garamond"/>
        </w:rPr>
        <w:t>This amendment will take effect from 1st April, 2020 and will, accordingly, apply in relation to the assessment year  2020-21 and subsequent assessment years.</w:t>
      </w:r>
    </w:p>
    <w:p w14:paraId="7C305864" w14:textId="515338F7" w:rsidR="004C6C79" w:rsidRDefault="004C6C79" w:rsidP="004C6C79">
      <w:pPr>
        <w:rPr>
          <w:rFonts w:ascii="Garamond" w:hAnsi="Garamond"/>
        </w:rPr>
      </w:pPr>
    </w:p>
    <w:p w14:paraId="00BD29A9" w14:textId="73F3E845" w:rsidR="004C6C79" w:rsidRDefault="004C6C79" w:rsidP="004C6C79">
      <w:pPr>
        <w:rPr>
          <w:rFonts w:ascii="Garamond" w:hAnsi="Garamond"/>
        </w:rPr>
      </w:pPr>
    </w:p>
    <w:p w14:paraId="6F22A1E4" w14:textId="1EA992C1" w:rsidR="004C6C79" w:rsidRDefault="004C6C79" w:rsidP="004C6C79">
      <w:pPr>
        <w:rPr>
          <w:rFonts w:ascii="Garamond" w:hAnsi="Garamond"/>
        </w:rPr>
      </w:pPr>
    </w:p>
    <w:p w14:paraId="6A6FB161" w14:textId="59F4CA13" w:rsidR="004C6C79" w:rsidRDefault="004C6C79" w:rsidP="004C6C79">
      <w:pPr>
        <w:rPr>
          <w:rFonts w:ascii="Garamond" w:hAnsi="Garamond"/>
        </w:rPr>
      </w:pPr>
    </w:p>
    <w:p w14:paraId="1EF93410" w14:textId="77777777" w:rsidR="004C6C79" w:rsidRDefault="004C6C79" w:rsidP="004C6C79">
      <w:pPr>
        <w:rPr>
          <w:rFonts w:ascii="Garamond" w:hAnsi="Garamond"/>
        </w:rPr>
      </w:pPr>
    </w:p>
    <w:p w14:paraId="79E8F505" w14:textId="153ABE9E" w:rsidR="004C6C79" w:rsidRPr="004C6C79" w:rsidRDefault="004C6C79" w:rsidP="004C6C79">
      <w:pPr>
        <w:pStyle w:val="ListParagraph"/>
        <w:numPr>
          <w:ilvl w:val="0"/>
          <w:numId w:val="44"/>
        </w:numPr>
        <w:rPr>
          <w:rFonts w:ascii="Garamond" w:hAnsi="Garamond"/>
          <w:b/>
          <w:bCs/>
          <w:sz w:val="24"/>
          <w:szCs w:val="24"/>
        </w:rPr>
      </w:pPr>
      <w:r w:rsidRPr="004C6C79">
        <w:rPr>
          <w:rFonts w:ascii="Garamond" w:hAnsi="Garamond"/>
          <w:b/>
          <w:bCs/>
          <w:sz w:val="24"/>
          <w:szCs w:val="24"/>
        </w:rPr>
        <w:t>Extension under section 80-IBA</w:t>
      </w:r>
    </w:p>
    <w:p w14:paraId="5A32C1E8" w14:textId="6BE5A5FF" w:rsidR="004C6C79" w:rsidRDefault="004C6C79" w:rsidP="000D5C06">
      <w:pPr>
        <w:ind w:left="720"/>
        <w:rPr>
          <w:rFonts w:ascii="Garamond" w:hAnsi="Garamond"/>
        </w:rPr>
      </w:pPr>
      <w:r w:rsidRPr="00FC4580">
        <w:rPr>
          <w:rFonts w:ascii="Garamond" w:hAnsi="Garamond"/>
        </w:rPr>
        <w:t>In the Affordable Housing sector, benefits under Section 80-IBA of the IT Act were extended by a year for projects approved till March 202</w:t>
      </w:r>
      <w:r>
        <w:rPr>
          <w:rFonts w:ascii="Garamond" w:hAnsi="Garamond"/>
        </w:rPr>
        <w:t>1</w:t>
      </w:r>
      <w:r w:rsidRPr="00FC4580">
        <w:rPr>
          <w:rFonts w:ascii="Garamond" w:hAnsi="Garamond"/>
        </w:rPr>
        <w:t xml:space="preserve">. This will allow Real Estate developers to deduct 100% of profits derived from development of affordable housing projects. Extension of benefits in the real estate sector will give a boost to construction activity, particularly in affordable housing. Exemption from levy of tax on inventories is likely to encourage investment in the sector. From the consumers’ point of view, benefits of rollover in capital gains and exemptions on income tax on rent will boost housing demand, and is also expected to increase investments in a second house. </w:t>
      </w:r>
      <w:r w:rsidRPr="00BB57F6">
        <w:rPr>
          <w:rFonts w:ascii="Garamond" w:hAnsi="Garamond"/>
        </w:rPr>
        <w:t>This amendment will take effect from 1st April, 2021 and will, accordingly, apply in relation to the assessment year  2021-22 and subsequent assessment years.</w:t>
      </w:r>
    </w:p>
    <w:p w14:paraId="641E127C" w14:textId="77777777" w:rsidR="000D5C06" w:rsidRDefault="000D5C06" w:rsidP="000D5C06">
      <w:pPr>
        <w:ind w:left="720"/>
        <w:rPr>
          <w:rFonts w:ascii="Garamond" w:hAnsi="Garamond"/>
        </w:rPr>
      </w:pPr>
    </w:p>
    <w:p w14:paraId="5D4967F1" w14:textId="05D40862" w:rsidR="000D5C06" w:rsidRPr="000D5C06" w:rsidRDefault="000D5C06" w:rsidP="000D5C06">
      <w:pPr>
        <w:pStyle w:val="ListParagraph"/>
        <w:numPr>
          <w:ilvl w:val="0"/>
          <w:numId w:val="44"/>
        </w:numPr>
        <w:rPr>
          <w:rFonts w:ascii="Garamond" w:hAnsi="Garamond"/>
          <w:b/>
          <w:bCs/>
          <w:sz w:val="24"/>
          <w:szCs w:val="24"/>
          <w:lang w:val="en-IN"/>
        </w:rPr>
      </w:pPr>
      <w:r w:rsidRPr="000D5C06">
        <w:rPr>
          <w:rFonts w:ascii="Garamond" w:hAnsi="Garamond"/>
          <w:b/>
          <w:bCs/>
          <w:sz w:val="24"/>
          <w:szCs w:val="24"/>
          <w:lang w:val="en-IN"/>
        </w:rPr>
        <w:t>Extending time limit for sanctioning of loan for affordable housing for availing deduction under section 80EEA of the Act to 31</w:t>
      </w:r>
      <w:r w:rsidRPr="000D5C06">
        <w:rPr>
          <w:rFonts w:ascii="Garamond" w:hAnsi="Garamond"/>
          <w:b/>
          <w:bCs/>
          <w:sz w:val="24"/>
          <w:szCs w:val="24"/>
          <w:vertAlign w:val="superscript"/>
          <w:lang w:val="en-IN"/>
        </w:rPr>
        <w:t>st</w:t>
      </w:r>
      <w:r w:rsidRPr="000D5C06">
        <w:rPr>
          <w:rFonts w:ascii="Garamond" w:hAnsi="Garamond"/>
          <w:b/>
          <w:bCs/>
          <w:sz w:val="24"/>
          <w:szCs w:val="24"/>
          <w:lang w:val="en-IN"/>
        </w:rPr>
        <w:t xml:space="preserve"> March 2021</w:t>
      </w:r>
    </w:p>
    <w:p w14:paraId="64256CE1" w14:textId="6451EDE9" w:rsidR="000D5C06" w:rsidRPr="000D5C06" w:rsidRDefault="000D5C06" w:rsidP="000D5C06">
      <w:pPr>
        <w:ind w:left="720"/>
        <w:rPr>
          <w:rFonts w:ascii="Garamond" w:hAnsi="Garamond"/>
        </w:rPr>
      </w:pPr>
      <w:r w:rsidRPr="000D5C06">
        <w:rPr>
          <w:rFonts w:ascii="Garamond" w:hAnsi="Garamond"/>
        </w:rPr>
        <w:t xml:space="preserve">The existing provisions of section 80EEA of the Act provide for a deduction in respect of interest on loan taken from any financial institution for acquisition of an affordable residential house property. The deduction allowed is up to </w:t>
      </w:r>
      <w:r>
        <w:rPr>
          <w:rFonts w:ascii="Garamond" w:hAnsi="Garamond"/>
        </w:rPr>
        <w:t xml:space="preserve">INR 150,000 </w:t>
      </w:r>
      <w:r w:rsidRPr="000D5C06">
        <w:rPr>
          <w:rFonts w:ascii="Garamond" w:hAnsi="Garamond"/>
        </w:rPr>
        <w:t>and is subject to certain conditions.  One of the conditions is that loan has been sanctioned by the financial institution during the period from 1st April, 2019 to 31st March, 2021. This amendment will take effect from 1st April, 2021 and will, accordingly, apply in relation to the assessment year 2021-22 and subsequent assessment years.</w:t>
      </w:r>
    </w:p>
    <w:p w14:paraId="18CBD139" w14:textId="7870FBA9" w:rsidR="004C6C79" w:rsidRDefault="004C6C79" w:rsidP="004C6C79">
      <w:pPr>
        <w:rPr>
          <w:rFonts w:ascii="Garamond" w:hAnsi="Garamond"/>
        </w:rPr>
      </w:pPr>
    </w:p>
    <w:p w14:paraId="77420677" w14:textId="77777777" w:rsidR="000D5C06" w:rsidRPr="000D5C06" w:rsidRDefault="000D5C06" w:rsidP="000D5C06">
      <w:pPr>
        <w:pStyle w:val="ListParagraph"/>
        <w:numPr>
          <w:ilvl w:val="0"/>
          <w:numId w:val="44"/>
        </w:numPr>
        <w:rPr>
          <w:rFonts w:ascii="Garamond" w:hAnsi="Garamond"/>
          <w:b/>
          <w:bCs/>
          <w:sz w:val="24"/>
          <w:szCs w:val="24"/>
        </w:rPr>
      </w:pPr>
      <w:r w:rsidRPr="000D5C06">
        <w:rPr>
          <w:rFonts w:ascii="Garamond" w:hAnsi="Garamond"/>
          <w:b/>
          <w:bCs/>
          <w:sz w:val="24"/>
          <w:szCs w:val="24"/>
        </w:rPr>
        <w:t>Rationalization of provisions of start-ups</w:t>
      </w:r>
    </w:p>
    <w:p w14:paraId="6D4B436E" w14:textId="77777777" w:rsidR="000D5C06" w:rsidRDefault="000D5C06" w:rsidP="000D5C06">
      <w:pPr>
        <w:pStyle w:val="ListParagraph"/>
        <w:ind w:left="1080"/>
        <w:rPr>
          <w:rFonts w:ascii="Garamond" w:hAnsi="Garamond"/>
          <w:sz w:val="24"/>
          <w:szCs w:val="24"/>
        </w:rPr>
      </w:pPr>
    </w:p>
    <w:p w14:paraId="3AFEFF9D" w14:textId="70F9F1F8" w:rsidR="000D5C06" w:rsidRPr="000D5C06" w:rsidRDefault="000D5C06" w:rsidP="000D5C06">
      <w:pPr>
        <w:pStyle w:val="ListParagraph"/>
        <w:numPr>
          <w:ilvl w:val="0"/>
          <w:numId w:val="69"/>
        </w:numPr>
        <w:rPr>
          <w:rFonts w:ascii="Garamond" w:hAnsi="Garamond"/>
          <w:sz w:val="24"/>
          <w:szCs w:val="24"/>
        </w:rPr>
      </w:pPr>
      <w:r w:rsidRPr="00BB57F6">
        <w:rPr>
          <w:rFonts w:ascii="Garamond" w:hAnsi="Garamond"/>
          <w:sz w:val="24"/>
          <w:szCs w:val="24"/>
        </w:rPr>
        <w:t xml:space="preserve">The existing provisions of section 80-IAC of the Act provide for  a deduction of an amount equal to </w:t>
      </w:r>
      <w:r w:rsidR="00666454">
        <w:rPr>
          <w:rFonts w:ascii="Garamond" w:hAnsi="Garamond"/>
          <w:sz w:val="24"/>
          <w:szCs w:val="24"/>
        </w:rPr>
        <w:t xml:space="preserve">100% </w:t>
      </w:r>
      <w:r w:rsidRPr="00BB57F6">
        <w:rPr>
          <w:rFonts w:ascii="Garamond" w:hAnsi="Garamond"/>
          <w:sz w:val="24"/>
          <w:szCs w:val="24"/>
        </w:rPr>
        <w:t xml:space="preserve">of the profits and gains derived from an eligible business by an eligible start-up for three consecutive assessment years out of </w:t>
      </w:r>
      <w:r w:rsidRPr="000D5C06">
        <w:rPr>
          <w:rFonts w:ascii="Garamond" w:hAnsi="Garamond"/>
          <w:sz w:val="24"/>
          <w:szCs w:val="24"/>
        </w:rPr>
        <w:t xml:space="preserve">seven years, at the option of the </w:t>
      </w:r>
      <w:proofErr w:type="spellStart"/>
      <w:r w:rsidRPr="000D5C06">
        <w:rPr>
          <w:rFonts w:ascii="Garamond" w:hAnsi="Garamond"/>
          <w:sz w:val="24"/>
          <w:szCs w:val="24"/>
        </w:rPr>
        <w:t>assessee</w:t>
      </w:r>
      <w:proofErr w:type="spellEnd"/>
      <w:r w:rsidRPr="000D5C06">
        <w:rPr>
          <w:rFonts w:ascii="Garamond" w:hAnsi="Garamond"/>
          <w:sz w:val="24"/>
          <w:szCs w:val="24"/>
        </w:rPr>
        <w:t xml:space="preserve">, subject to the condition that the eligible start-up is incorporated on or after  1st April, 2016 but before 1st April, 2021 and  the total turnover of its business does not exceed twenty-five crore rupees. </w:t>
      </w:r>
    </w:p>
    <w:p w14:paraId="31E82DA1" w14:textId="77777777" w:rsidR="000D5C06" w:rsidRDefault="000D5C06" w:rsidP="000D5C06">
      <w:pPr>
        <w:pStyle w:val="ListParagraph"/>
        <w:ind w:left="1080"/>
        <w:rPr>
          <w:rFonts w:ascii="Garamond" w:hAnsi="Garamond"/>
          <w:sz w:val="24"/>
          <w:szCs w:val="24"/>
        </w:rPr>
      </w:pPr>
    </w:p>
    <w:p w14:paraId="63A0F197" w14:textId="332B5520" w:rsidR="000D5C06" w:rsidRPr="000D5C06" w:rsidRDefault="000D5C06" w:rsidP="000D5C06">
      <w:pPr>
        <w:pStyle w:val="ListParagraph"/>
        <w:numPr>
          <w:ilvl w:val="0"/>
          <w:numId w:val="69"/>
        </w:numPr>
        <w:rPr>
          <w:rFonts w:ascii="Garamond" w:hAnsi="Garamond"/>
          <w:sz w:val="24"/>
          <w:szCs w:val="24"/>
        </w:rPr>
      </w:pPr>
      <w:r w:rsidRPr="000D5C06">
        <w:rPr>
          <w:rFonts w:ascii="Garamond" w:hAnsi="Garamond"/>
          <w:sz w:val="24"/>
          <w:szCs w:val="24"/>
        </w:rPr>
        <w:t xml:space="preserve">In order to further rationalise the provisions relating to start-ups, it is proposed to amend section 80-IAC of the Act so as to provide that- </w:t>
      </w:r>
    </w:p>
    <w:p w14:paraId="3061199B" w14:textId="77777777" w:rsidR="000D5C06" w:rsidRPr="000D5C06" w:rsidRDefault="000D5C06" w:rsidP="000D5C06">
      <w:pPr>
        <w:pStyle w:val="ListParagraph"/>
        <w:numPr>
          <w:ilvl w:val="0"/>
          <w:numId w:val="71"/>
        </w:numPr>
        <w:rPr>
          <w:rFonts w:ascii="Garamond" w:hAnsi="Garamond"/>
          <w:sz w:val="24"/>
          <w:szCs w:val="24"/>
        </w:rPr>
      </w:pPr>
      <w:r w:rsidRPr="000D5C06">
        <w:rPr>
          <w:rFonts w:ascii="Garamond" w:hAnsi="Garamond"/>
          <w:sz w:val="24"/>
          <w:szCs w:val="24"/>
        </w:rPr>
        <w:t xml:space="preserve">the deduction under the said section 80-IAC shall be available to an eligible start-up for a period of three consecutive assessment years out of ten years beginning from the year in which it is incorporated; </w:t>
      </w:r>
    </w:p>
    <w:p w14:paraId="3C8336B9" w14:textId="204616B8" w:rsidR="000D5C06" w:rsidRPr="004E2A93" w:rsidRDefault="000D5C06" w:rsidP="004C6C79">
      <w:pPr>
        <w:pStyle w:val="ListParagraph"/>
        <w:numPr>
          <w:ilvl w:val="0"/>
          <w:numId w:val="71"/>
        </w:numPr>
        <w:rPr>
          <w:rFonts w:ascii="Garamond" w:hAnsi="Garamond"/>
        </w:rPr>
      </w:pPr>
      <w:r w:rsidRPr="004E2A93">
        <w:rPr>
          <w:rFonts w:ascii="Garamond" w:hAnsi="Garamond"/>
          <w:sz w:val="24"/>
          <w:szCs w:val="24"/>
        </w:rPr>
        <w:t>the deduction under the said section shall be available to an eligible start-up, if the total turnover of its business does not exceed one hundred crore rupees in any of the previous years beginning from the year in which it is incorporated.</w:t>
      </w:r>
    </w:p>
    <w:p w14:paraId="4DC1AF3C" w14:textId="072D5E9B" w:rsidR="00666454" w:rsidRPr="004C6C79" w:rsidRDefault="00C93CB6" w:rsidP="00666454">
      <w:pPr>
        <w:pStyle w:val="Heading1"/>
        <w:shd w:val="clear" w:color="auto" w:fill="D9D9D9" w:themeFill="background1" w:themeFillShade="D9"/>
        <w:rPr>
          <w:rFonts w:ascii="Garamond" w:hAnsi="Garamond"/>
          <w:i w:val="0"/>
          <w:sz w:val="28"/>
          <w:szCs w:val="24"/>
        </w:rPr>
      </w:pPr>
      <w:bookmarkStart w:id="9" w:name="_Toc32423691"/>
      <w:r>
        <w:rPr>
          <w:rFonts w:ascii="Garamond" w:hAnsi="Garamond"/>
          <w:i w:val="0"/>
          <w:sz w:val="28"/>
          <w:szCs w:val="24"/>
        </w:rPr>
        <w:lastRenderedPageBreak/>
        <w:t>As</w:t>
      </w:r>
      <w:r w:rsidRPr="004C6C79">
        <w:rPr>
          <w:rFonts w:ascii="Garamond" w:hAnsi="Garamond"/>
          <w:i w:val="0"/>
          <w:sz w:val="28"/>
          <w:szCs w:val="24"/>
        </w:rPr>
        <w:t>s</w:t>
      </w:r>
      <w:r>
        <w:rPr>
          <w:rFonts w:ascii="Garamond" w:hAnsi="Garamond"/>
          <w:i w:val="0"/>
          <w:sz w:val="28"/>
          <w:szCs w:val="24"/>
        </w:rPr>
        <w:t>essment and Appeals</w:t>
      </w:r>
      <w:bookmarkEnd w:id="9"/>
    </w:p>
    <w:p w14:paraId="236F226E" w14:textId="76D88F94" w:rsidR="00666454" w:rsidRPr="00666454" w:rsidRDefault="00666454" w:rsidP="00666454">
      <w:pPr>
        <w:pStyle w:val="ListParagraph"/>
        <w:numPr>
          <w:ilvl w:val="0"/>
          <w:numId w:val="44"/>
        </w:numPr>
        <w:rPr>
          <w:rFonts w:ascii="Garamond" w:hAnsi="Garamond"/>
          <w:b/>
          <w:bCs/>
        </w:rPr>
      </w:pPr>
      <w:r w:rsidRPr="00666454">
        <w:rPr>
          <w:rFonts w:ascii="Garamond" w:hAnsi="Garamond"/>
          <w:b/>
          <w:bCs/>
          <w:sz w:val="24"/>
          <w:szCs w:val="24"/>
        </w:rPr>
        <w:t>Modification of e-assessment scheme</w:t>
      </w:r>
    </w:p>
    <w:p w14:paraId="4C1B2E0B" w14:textId="0AF6315B" w:rsidR="00666454" w:rsidRPr="00666454" w:rsidRDefault="00666454" w:rsidP="00666454">
      <w:pPr>
        <w:ind w:firstLine="720"/>
        <w:rPr>
          <w:rFonts w:ascii="Garamond" w:hAnsi="Garamond"/>
        </w:rPr>
      </w:pPr>
      <w:r w:rsidRPr="00666454">
        <w:rPr>
          <w:rFonts w:ascii="Garamond" w:hAnsi="Garamond"/>
        </w:rPr>
        <w:t>It is proposed to amend sub-section (3A) of section 143 of the Act to,-</w:t>
      </w:r>
    </w:p>
    <w:p w14:paraId="49C22BDF" w14:textId="77777777" w:rsidR="00666454" w:rsidRPr="00666454" w:rsidRDefault="00666454" w:rsidP="00666454">
      <w:pPr>
        <w:pStyle w:val="ListParagraph"/>
        <w:ind w:left="1080"/>
        <w:rPr>
          <w:rFonts w:ascii="Garamond" w:hAnsi="Garamond"/>
          <w:sz w:val="24"/>
          <w:szCs w:val="24"/>
        </w:rPr>
      </w:pPr>
      <w:r w:rsidRPr="00666454">
        <w:rPr>
          <w:rFonts w:ascii="Garamond" w:hAnsi="Garamond"/>
        </w:rPr>
        <w:t>(i</w:t>
      </w:r>
      <w:r w:rsidRPr="00666454">
        <w:rPr>
          <w:rFonts w:ascii="Garamond" w:hAnsi="Garamond"/>
          <w:sz w:val="24"/>
          <w:szCs w:val="24"/>
        </w:rPr>
        <w:t>) expand the scope so as to include the reference of section 144 of the Act relating to best judgement assessment in the said sub-section;</w:t>
      </w:r>
    </w:p>
    <w:p w14:paraId="3919D59D" w14:textId="77777777" w:rsidR="00666454" w:rsidRPr="00666454" w:rsidRDefault="00666454" w:rsidP="00666454">
      <w:pPr>
        <w:pStyle w:val="ListParagraph"/>
        <w:ind w:left="1080"/>
        <w:rPr>
          <w:rFonts w:ascii="Garamond" w:hAnsi="Garamond"/>
          <w:sz w:val="24"/>
          <w:szCs w:val="24"/>
        </w:rPr>
      </w:pPr>
      <w:r w:rsidRPr="00666454">
        <w:rPr>
          <w:rFonts w:ascii="Garamond" w:hAnsi="Garamond"/>
          <w:sz w:val="24"/>
          <w:szCs w:val="24"/>
        </w:rPr>
        <w:t xml:space="preserve">(ii)  provide that Central Government may issue any direction under sub-section (3B) of the said section </w:t>
      </w:r>
      <w:proofErr w:type="spellStart"/>
      <w:r w:rsidRPr="00666454">
        <w:rPr>
          <w:rFonts w:ascii="Garamond" w:hAnsi="Garamond"/>
          <w:sz w:val="24"/>
          <w:szCs w:val="24"/>
        </w:rPr>
        <w:t>upto</w:t>
      </w:r>
      <w:proofErr w:type="spellEnd"/>
      <w:r w:rsidRPr="00666454">
        <w:rPr>
          <w:rFonts w:ascii="Garamond" w:hAnsi="Garamond"/>
          <w:sz w:val="24"/>
          <w:szCs w:val="24"/>
        </w:rPr>
        <w:t xml:space="preserve"> 31st March, 2022.</w:t>
      </w:r>
    </w:p>
    <w:p w14:paraId="3FBB7855" w14:textId="0FA2D135" w:rsidR="00666454" w:rsidRPr="00666454" w:rsidRDefault="00666454" w:rsidP="00666454">
      <w:pPr>
        <w:ind w:left="720"/>
        <w:rPr>
          <w:rFonts w:ascii="Garamond" w:hAnsi="Garamond"/>
        </w:rPr>
      </w:pPr>
      <w:r w:rsidRPr="00666454">
        <w:rPr>
          <w:rFonts w:ascii="Garamond" w:hAnsi="Garamond"/>
        </w:rPr>
        <w:t>This amendment will take effect from 1st April, 2020.</w:t>
      </w:r>
    </w:p>
    <w:p w14:paraId="27BDCCE7" w14:textId="5C78CC38" w:rsidR="00666454" w:rsidRDefault="00666454" w:rsidP="00666454">
      <w:pPr>
        <w:pStyle w:val="ListParagraph"/>
        <w:numPr>
          <w:ilvl w:val="0"/>
          <w:numId w:val="44"/>
        </w:numPr>
        <w:rPr>
          <w:rFonts w:ascii="Garamond" w:hAnsi="Garamond"/>
          <w:b/>
          <w:bCs/>
          <w:sz w:val="24"/>
          <w:szCs w:val="24"/>
        </w:rPr>
      </w:pPr>
      <w:r w:rsidRPr="00666454">
        <w:rPr>
          <w:rFonts w:ascii="Garamond" w:hAnsi="Garamond"/>
          <w:b/>
          <w:bCs/>
          <w:sz w:val="24"/>
          <w:szCs w:val="24"/>
        </w:rPr>
        <w:t>Amendment in Dispute Resolution Panel (DRP)</w:t>
      </w:r>
    </w:p>
    <w:p w14:paraId="213F7994" w14:textId="77777777" w:rsidR="00666454" w:rsidRPr="00666454" w:rsidRDefault="00666454" w:rsidP="00666454">
      <w:pPr>
        <w:pStyle w:val="ListParagraph"/>
        <w:rPr>
          <w:rFonts w:ascii="Garamond" w:hAnsi="Garamond"/>
          <w:b/>
          <w:bCs/>
          <w:sz w:val="24"/>
          <w:szCs w:val="24"/>
        </w:rPr>
      </w:pPr>
    </w:p>
    <w:p w14:paraId="376A72F0" w14:textId="77777777" w:rsidR="00666454" w:rsidRDefault="00666454" w:rsidP="00666454">
      <w:pPr>
        <w:pStyle w:val="ListParagraph"/>
        <w:numPr>
          <w:ilvl w:val="0"/>
          <w:numId w:val="97"/>
        </w:numPr>
        <w:rPr>
          <w:rFonts w:ascii="Garamond" w:hAnsi="Garamond"/>
          <w:sz w:val="24"/>
          <w:szCs w:val="24"/>
        </w:rPr>
      </w:pPr>
      <w:r>
        <w:rPr>
          <w:rFonts w:ascii="Garamond" w:hAnsi="Garamond"/>
          <w:sz w:val="24"/>
          <w:szCs w:val="24"/>
        </w:rPr>
        <w:t xml:space="preserve">It is proposed that the provision of section 144C of the act </w:t>
      </w:r>
      <w:r w:rsidRPr="002B6EDA">
        <w:rPr>
          <w:rFonts w:ascii="Garamond" w:hAnsi="Garamond"/>
          <w:sz w:val="24"/>
          <w:szCs w:val="24"/>
        </w:rPr>
        <w:t>include cases, where the AO proposes to make any variation which is</w:t>
      </w:r>
      <w:r>
        <w:rPr>
          <w:rFonts w:ascii="Garamond" w:hAnsi="Garamond"/>
          <w:sz w:val="24"/>
          <w:szCs w:val="24"/>
        </w:rPr>
        <w:t xml:space="preserve"> </w:t>
      </w:r>
      <w:r w:rsidRPr="002B6EDA">
        <w:rPr>
          <w:rFonts w:ascii="Garamond" w:hAnsi="Garamond"/>
          <w:sz w:val="24"/>
          <w:szCs w:val="24"/>
        </w:rPr>
        <w:t xml:space="preserve">prejudicial to the interest of the </w:t>
      </w:r>
      <w:proofErr w:type="spellStart"/>
      <w:r w:rsidRPr="002B6EDA">
        <w:rPr>
          <w:rFonts w:ascii="Garamond" w:hAnsi="Garamond"/>
          <w:sz w:val="24"/>
          <w:szCs w:val="24"/>
        </w:rPr>
        <w:t>assessee</w:t>
      </w:r>
      <w:proofErr w:type="spellEnd"/>
      <w:r w:rsidRPr="002B6EDA">
        <w:rPr>
          <w:rFonts w:ascii="Garamond" w:hAnsi="Garamond"/>
          <w:sz w:val="24"/>
          <w:szCs w:val="24"/>
        </w:rPr>
        <w:t>,</w:t>
      </w:r>
      <w:r>
        <w:rPr>
          <w:rFonts w:ascii="Garamond" w:hAnsi="Garamond"/>
          <w:sz w:val="24"/>
          <w:szCs w:val="24"/>
        </w:rPr>
        <w:t xml:space="preserve"> </w:t>
      </w:r>
      <w:r w:rsidRPr="00666454">
        <w:rPr>
          <w:rFonts w:ascii="Garamond" w:hAnsi="Garamond"/>
          <w:sz w:val="24"/>
          <w:szCs w:val="24"/>
        </w:rPr>
        <w:t>within the ambit of section 144C</w:t>
      </w:r>
      <w:r>
        <w:rPr>
          <w:rFonts w:ascii="Garamond" w:hAnsi="Garamond"/>
          <w:sz w:val="24"/>
          <w:szCs w:val="24"/>
        </w:rPr>
        <w:t>.</w:t>
      </w:r>
    </w:p>
    <w:p w14:paraId="09C843CC" w14:textId="77777777" w:rsidR="00666454" w:rsidRPr="00666454" w:rsidRDefault="00666454" w:rsidP="00666454">
      <w:pPr>
        <w:pStyle w:val="ListParagraph"/>
        <w:rPr>
          <w:rFonts w:ascii="Garamond" w:hAnsi="Garamond"/>
          <w:sz w:val="24"/>
          <w:szCs w:val="24"/>
        </w:rPr>
      </w:pPr>
    </w:p>
    <w:p w14:paraId="6B067593" w14:textId="2B692620" w:rsidR="00666454" w:rsidRPr="00666454" w:rsidRDefault="00666454" w:rsidP="00666454">
      <w:pPr>
        <w:pStyle w:val="ListParagraph"/>
        <w:numPr>
          <w:ilvl w:val="0"/>
          <w:numId w:val="97"/>
        </w:numPr>
        <w:rPr>
          <w:rFonts w:ascii="Garamond" w:hAnsi="Garamond"/>
          <w:sz w:val="24"/>
          <w:szCs w:val="24"/>
        </w:rPr>
      </w:pPr>
      <w:r w:rsidRPr="002B6EDA">
        <w:rPr>
          <w:rFonts w:ascii="Garamond" w:hAnsi="Garamond"/>
          <w:sz w:val="24"/>
          <w:szCs w:val="24"/>
        </w:rPr>
        <w:t xml:space="preserve">expand the scope of the said section by defining eligible </w:t>
      </w:r>
      <w:proofErr w:type="spellStart"/>
      <w:r w:rsidRPr="002B6EDA">
        <w:rPr>
          <w:rFonts w:ascii="Garamond" w:hAnsi="Garamond"/>
          <w:sz w:val="24"/>
          <w:szCs w:val="24"/>
        </w:rPr>
        <w:t>assessee</w:t>
      </w:r>
      <w:proofErr w:type="spellEnd"/>
      <w:r w:rsidRPr="002B6EDA">
        <w:rPr>
          <w:rFonts w:ascii="Garamond" w:hAnsi="Garamond"/>
          <w:sz w:val="24"/>
          <w:szCs w:val="24"/>
        </w:rPr>
        <w:t xml:space="preserve"> as a non-resident not being a company, or a</w:t>
      </w:r>
      <w:r>
        <w:rPr>
          <w:rFonts w:ascii="Garamond" w:hAnsi="Garamond"/>
          <w:sz w:val="24"/>
          <w:szCs w:val="24"/>
        </w:rPr>
        <w:t xml:space="preserve"> </w:t>
      </w:r>
      <w:r w:rsidRPr="00666454">
        <w:rPr>
          <w:rFonts w:ascii="Garamond" w:hAnsi="Garamond"/>
          <w:sz w:val="24"/>
          <w:szCs w:val="24"/>
        </w:rPr>
        <w:t>foreign company.</w:t>
      </w:r>
    </w:p>
    <w:p w14:paraId="71D98275" w14:textId="77777777" w:rsidR="00666454" w:rsidRPr="00666454" w:rsidRDefault="00666454" w:rsidP="00666454">
      <w:pPr>
        <w:ind w:left="720"/>
        <w:rPr>
          <w:rFonts w:ascii="Garamond" w:hAnsi="Garamond"/>
        </w:rPr>
      </w:pPr>
      <w:r w:rsidRPr="00666454">
        <w:rPr>
          <w:rFonts w:ascii="Garamond" w:hAnsi="Garamond"/>
        </w:rPr>
        <w:t xml:space="preserve">This amendment will take effect from 1st April, 2020. Thus, if the AO proposes to make any variation after this date, in case of eligible </w:t>
      </w:r>
      <w:proofErr w:type="spellStart"/>
      <w:r w:rsidRPr="00666454">
        <w:rPr>
          <w:rFonts w:ascii="Garamond" w:hAnsi="Garamond"/>
        </w:rPr>
        <w:t>assessee</w:t>
      </w:r>
      <w:proofErr w:type="spellEnd"/>
      <w:r w:rsidRPr="00666454">
        <w:rPr>
          <w:rFonts w:ascii="Garamond" w:hAnsi="Garamond"/>
        </w:rPr>
        <w:t xml:space="preserve">, which is prejudicial to the interest of the </w:t>
      </w:r>
      <w:proofErr w:type="spellStart"/>
      <w:r w:rsidRPr="00666454">
        <w:rPr>
          <w:rFonts w:ascii="Garamond" w:hAnsi="Garamond"/>
        </w:rPr>
        <w:t>assessee</w:t>
      </w:r>
      <w:proofErr w:type="spellEnd"/>
      <w:r w:rsidRPr="00666454">
        <w:rPr>
          <w:rFonts w:ascii="Garamond" w:hAnsi="Garamond"/>
        </w:rPr>
        <w:t>, the above provision shall be applicable.</w:t>
      </w:r>
    </w:p>
    <w:p w14:paraId="406EBEA9" w14:textId="77777777" w:rsidR="00666454" w:rsidRPr="00666454" w:rsidRDefault="00666454" w:rsidP="00666454">
      <w:pPr>
        <w:pStyle w:val="ListParagraph"/>
        <w:rPr>
          <w:rFonts w:ascii="Garamond" w:hAnsi="Garamond"/>
          <w:sz w:val="24"/>
          <w:szCs w:val="24"/>
        </w:rPr>
      </w:pPr>
    </w:p>
    <w:p w14:paraId="7395327B" w14:textId="7BE856EA" w:rsidR="00666454" w:rsidRPr="00666454" w:rsidRDefault="00666454" w:rsidP="00666454">
      <w:pPr>
        <w:pStyle w:val="ListParagraph"/>
        <w:numPr>
          <w:ilvl w:val="0"/>
          <w:numId w:val="44"/>
        </w:numPr>
        <w:rPr>
          <w:rFonts w:ascii="Garamond" w:hAnsi="Garamond"/>
          <w:b/>
          <w:bCs/>
          <w:sz w:val="24"/>
          <w:szCs w:val="24"/>
        </w:rPr>
      </w:pPr>
      <w:r w:rsidRPr="00666454">
        <w:rPr>
          <w:rFonts w:ascii="Garamond" w:hAnsi="Garamond"/>
          <w:b/>
          <w:bCs/>
          <w:sz w:val="24"/>
          <w:szCs w:val="24"/>
        </w:rPr>
        <w:t>Provision for e-appeal</w:t>
      </w:r>
    </w:p>
    <w:p w14:paraId="3DBE97C3" w14:textId="77777777" w:rsidR="00666454" w:rsidRDefault="00666454" w:rsidP="00666454">
      <w:pPr>
        <w:pStyle w:val="ListParagraph"/>
        <w:rPr>
          <w:rFonts w:ascii="Garamond" w:hAnsi="Garamond"/>
        </w:rPr>
      </w:pPr>
    </w:p>
    <w:p w14:paraId="53D0F013" w14:textId="77777777" w:rsidR="00666454" w:rsidRDefault="00666454" w:rsidP="00666454">
      <w:pPr>
        <w:pStyle w:val="ListParagraph"/>
        <w:numPr>
          <w:ilvl w:val="0"/>
          <w:numId w:val="98"/>
        </w:numPr>
        <w:rPr>
          <w:rFonts w:ascii="Garamond" w:hAnsi="Garamond"/>
        </w:rPr>
      </w:pPr>
      <w:r w:rsidRPr="00666454">
        <w:rPr>
          <w:rFonts w:ascii="Garamond" w:hAnsi="Garamond"/>
          <w:sz w:val="24"/>
          <w:szCs w:val="24"/>
        </w:rPr>
        <w:t>It is Proposed to insert sub-section (6A) in section 250 of the Act to Empowering Central Government to notify an e-appeal scheme for disposal of appeal so as to impart greater efficiency, transparency and accountability</w:t>
      </w:r>
      <w:r>
        <w:rPr>
          <w:rFonts w:ascii="Garamond" w:hAnsi="Garamond"/>
        </w:rPr>
        <w:t>.</w:t>
      </w:r>
    </w:p>
    <w:p w14:paraId="1196F9BF" w14:textId="77777777" w:rsidR="00666454" w:rsidRDefault="00666454" w:rsidP="00666454">
      <w:pPr>
        <w:pStyle w:val="ListParagraph"/>
        <w:ind w:left="1080"/>
        <w:rPr>
          <w:rFonts w:ascii="Garamond" w:hAnsi="Garamond"/>
        </w:rPr>
      </w:pPr>
    </w:p>
    <w:p w14:paraId="67F7DCFD" w14:textId="77777777" w:rsidR="00666454" w:rsidRPr="00666454" w:rsidRDefault="00666454" w:rsidP="00666454">
      <w:pPr>
        <w:pStyle w:val="ListParagraph"/>
        <w:numPr>
          <w:ilvl w:val="0"/>
          <w:numId w:val="98"/>
        </w:numPr>
        <w:rPr>
          <w:rFonts w:ascii="Garamond" w:hAnsi="Garamond"/>
          <w:sz w:val="24"/>
          <w:szCs w:val="24"/>
        </w:rPr>
      </w:pPr>
      <w:r w:rsidRPr="00666454">
        <w:rPr>
          <w:rFonts w:ascii="Garamond" w:hAnsi="Garamond"/>
          <w:sz w:val="24"/>
          <w:szCs w:val="24"/>
        </w:rPr>
        <w:t>Eliminating the interface between the Commissioner (Appeals) and the appellant in the course of appellate proceedings to the extent technologically feasible.</w:t>
      </w:r>
    </w:p>
    <w:p w14:paraId="2AE5D67D" w14:textId="77777777" w:rsidR="00666454" w:rsidRPr="00666454" w:rsidRDefault="00666454" w:rsidP="00666454">
      <w:pPr>
        <w:pStyle w:val="ListParagraph"/>
        <w:rPr>
          <w:rFonts w:ascii="Garamond" w:hAnsi="Garamond"/>
        </w:rPr>
      </w:pPr>
    </w:p>
    <w:p w14:paraId="4E62478F" w14:textId="77777777" w:rsidR="00666454" w:rsidRPr="00666454" w:rsidRDefault="00666454" w:rsidP="00666454">
      <w:pPr>
        <w:pStyle w:val="ListParagraph"/>
        <w:numPr>
          <w:ilvl w:val="0"/>
          <w:numId w:val="98"/>
        </w:numPr>
        <w:rPr>
          <w:rFonts w:ascii="Garamond" w:hAnsi="Garamond"/>
          <w:sz w:val="24"/>
          <w:szCs w:val="24"/>
        </w:rPr>
      </w:pPr>
      <w:r w:rsidRPr="00666454">
        <w:rPr>
          <w:rFonts w:ascii="Garamond" w:hAnsi="Garamond"/>
          <w:sz w:val="24"/>
          <w:szCs w:val="24"/>
        </w:rPr>
        <w:t>Optimizing utilization of the resources through economies of scale and functional specialisation.</w:t>
      </w:r>
    </w:p>
    <w:p w14:paraId="2B602419" w14:textId="77777777" w:rsidR="00666454" w:rsidRPr="00666454" w:rsidRDefault="00666454" w:rsidP="00666454">
      <w:pPr>
        <w:pStyle w:val="ListParagraph"/>
        <w:rPr>
          <w:rFonts w:ascii="Garamond" w:hAnsi="Garamond"/>
        </w:rPr>
      </w:pPr>
    </w:p>
    <w:p w14:paraId="2255A32F" w14:textId="77777777" w:rsidR="00666454" w:rsidRDefault="00666454" w:rsidP="00666454">
      <w:pPr>
        <w:pStyle w:val="ListParagraph"/>
        <w:numPr>
          <w:ilvl w:val="0"/>
          <w:numId w:val="98"/>
        </w:numPr>
        <w:rPr>
          <w:rFonts w:ascii="Garamond" w:hAnsi="Garamond"/>
          <w:sz w:val="24"/>
          <w:szCs w:val="24"/>
        </w:rPr>
      </w:pPr>
      <w:r w:rsidRPr="00666454">
        <w:rPr>
          <w:rFonts w:ascii="Garamond" w:hAnsi="Garamond"/>
          <w:sz w:val="24"/>
          <w:szCs w:val="24"/>
        </w:rPr>
        <w:t>Introducing an appellate system with dynamic jurisdiction in which appeal shall be disposed of by one or more Commissioner (Appeals).</w:t>
      </w:r>
    </w:p>
    <w:p w14:paraId="4A61FC38" w14:textId="77777777" w:rsidR="00666454" w:rsidRPr="00666454" w:rsidRDefault="00666454" w:rsidP="00666454">
      <w:pPr>
        <w:pStyle w:val="ListParagraph"/>
        <w:rPr>
          <w:rFonts w:ascii="Garamond" w:hAnsi="Garamond"/>
          <w:sz w:val="24"/>
          <w:szCs w:val="24"/>
        </w:rPr>
      </w:pPr>
    </w:p>
    <w:p w14:paraId="76AC1166" w14:textId="3270F78B" w:rsidR="00666454" w:rsidRDefault="00666454" w:rsidP="00666454">
      <w:pPr>
        <w:ind w:left="720"/>
        <w:rPr>
          <w:rFonts w:ascii="Garamond" w:hAnsi="Garamond"/>
        </w:rPr>
      </w:pPr>
      <w:r w:rsidRPr="00666454">
        <w:rPr>
          <w:rFonts w:ascii="Garamond" w:hAnsi="Garamond"/>
        </w:rPr>
        <w:lastRenderedPageBreak/>
        <w:t>Such directions are to be issued on or before 31st March 2022. It is proposed that every</w:t>
      </w:r>
      <w:r>
        <w:rPr>
          <w:rFonts w:ascii="Garamond" w:hAnsi="Garamond"/>
        </w:rPr>
        <w:t xml:space="preserve"> </w:t>
      </w:r>
      <w:r w:rsidRPr="00666454">
        <w:rPr>
          <w:rFonts w:ascii="Garamond" w:hAnsi="Garamond"/>
        </w:rPr>
        <w:t>notification issued shall be required to be laid before each House of Parliament.</w:t>
      </w:r>
      <w:r>
        <w:rPr>
          <w:rFonts w:ascii="Garamond" w:hAnsi="Garamond"/>
        </w:rPr>
        <w:t xml:space="preserve"> </w:t>
      </w:r>
      <w:r w:rsidRPr="00666454">
        <w:rPr>
          <w:rFonts w:ascii="Garamond" w:hAnsi="Garamond"/>
        </w:rPr>
        <w:t>This amendment will take effect from 1st April, 2020.</w:t>
      </w:r>
    </w:p>
    <w:p w14:paraId="422461A7" w14:textId="77777777" w:rsidR="00666454" w:rsidRPr="00666454" w:rsidRDefault="00666454" w:rsidP="00666454">
      <w:pPr>
        <w:ind w:left="720"/>
        <w:rPr>
          <w:rFonts w:ascii="Garamond" w:hAnsi="Garamond"/>
        </w:rPr>
      </w:pPr>
    </w:p>
    <w:p w14:paraId="08C31737" w14:textId="32D55628" w:rsidR="00666454" w:rsidRPr="00666454" w:rsidRDefault="00666454" w:rsidP="00666454">
      <w:pPr>
        <w:pStyle w:val="ListParagraph"/>
        <w:numPr>
          <w:ilvl w:val="0"/>
          <w:numId w:val="44"/>
        </w:numPr>
        <w:rPr>
          <w:rFonts w:ascii="Garamond" w:hAnsi="Garamond"/>
          <w:b/>
          <w:bCs/>
        </w:rPr>
      </w:pPr>
      <w:r w:rsidRPr="00666454">
        <w:rPr>
          <w:rFonts w:ascii="Garamond" w:hAnsi="Garamond"/>
          <w:b/>
          <w:bCs/>
          <w:sz w:val="24"/>
          <w:szCs w:val="24"/>
        </w:rPr>
        <w:t>Providing check on survey operations under section 133A of the Act</w:t>
      </w:r>
    </w:p>
    <w:p w14:paraId="3F5E60C3" w14:textId="77777777" w:rsidR="00666454" w:rsidRDefault="00666454" w:rsidP="00666454">
      <w:pPr>
        <w:pStyle w:val="ListParagraph"/>
        <w:rPr>
          <w:rFonts w:ascii="Garamond" w:hAnsi="Garamond"/>
        </w:rPr>
      </w:pPr>
    </w:p>
    <w:p w14:paraId="22B2F321" w14:textId="77777777" w:rsidR="00666454" w:rsidRPr="00666454" w:rsidRDefault="00666454" w:rsidP="00666454">
      <w:pPr>
        <w:pStyle w:val="ListParagraph"/>
        <w:numPr>
          <w:ilvl w:val="0"/>
          <w:numId w:val="99"/>
        </w:numPr>
        <w:rPr>
          <w:rFonts w:ascii="Garamond" w:eastAsia="Times New Roman" w:hAnsi="Garamond"/>
          <w:sz w:val="24"/>
          <w:szCs w:val="24"/>
          <w:lang w:val="en-IN"/>
        </w:rPr>
      </w:pPr>
      <w:r w:rsidRPr="00666454">
        <w:rPr>
          <w:rFonts w:ascii="Garamond" w:eastAsia="Times New Roman" w:hAnsi="Garamond"/>
          <w:sz w:val="24"/>
          <w:szCs w:val="24"/>
          <w:lang w:val="en-IN"/>
        </w:rPr>
        <w:t>It is proposed that in a case where the information has been received from the prescribed authority, no income-tax authority below the rank of Joint Director or Joint Commissioner, shall conduct any survey under the said section without prior approval of the Joint Director or the Joint Commissioner, as the case may be; and</w:t>
      </w:r>
    </w:p>
    <w:p w14:paraId="46260E1B" w14:textId="77777777" w:rsidR="00666454" w:rsidRPr="00666454" w:rsidRDefault="00666454" w:rsidP="00666454">
      <w:pPr>
        <w:pStyle w:val="ListParagraph"/>
        <w:ind w:left="1080"/>
        <w:rPr>
          <w:rFonts w:ascii="Garamond" w:eastAsia="Times New Roman" w:hAnsi="Garamond"/>
          <w:sz w:val="24"/>
          <w:szCs w:val="24"/>
          <w:lang w:val="en-IN"/>
        </w:rPr>
      </w:pPr>
    </w:p>
    <w:p w14:paraId="3CF808D6" w14:textId="77777777" w:rsidR="00666454" w:rsidRPr="00666454" w:rsidRDefault="00666454" w:rsidP="00666454">
      <w:pPr>
        <w:pStyle w:val="ListParagraph"/>
        <w:numPr>
          <w:ilvl w:val="0"/>
          <w:numId w:val="99"/>
        </w:numPr>
        <w:rPr>
          <w:rFonts w:ascii="Garamond" w:hAnsi="Garamond"/>
        </w:rPr>
      </w:pPr>
      <w:r w:rsidRPr="00666454">
        <w:rPr>
          <w:rFonts w:ascii="Garamond" w:eastAsia="Times New Roman" w:hAnsi="Garamond"/>
          <w:sz w:val="24"/>
          <w:szCs w:val="24"/>
          <w:lang w:val="en-IN"/>
        </w:rPr>
        <w:t>in any other case, no income-tax authority below the rank of Commissioner or Director, shall conduct any survey under the said section without prior approval of the Commissioner or the Director, as the case may be.</w:t>
      </w:r>
    </w:p>
    <w:p w14:paraId="1277CA38" w14:textId="77777777" w:rsidR="00666454" w:rsidRPr="00666454" w:rsidRDefault="00666454" w:rsidP="00666454">
      <w:pPr>
        <w:ind w:left="720"/>
        <w:rPr>
          <w:rFonts w:ascii="Garamond" w:hAnsi="Garamond"/>
        </w:rPr>
      </w:pPr>
      <w:r w:rsidRPr="00666454">
        <w:rPr>
          <w:rFonts w:ascii="Garamond" w:hAnsi="Garamond"/>
        </w:rPr>
        <w:t>This amendment will take effect from 1st April, 2020.</w:t>
      </w:r>
    </w:p>
    <w:p w14:paraId="18957CF8" w14:textId="77777777" w:rsidR="00666454" w:rsidRDefault="00666454" w:rsidP="00666454">
      <w:pPr>
        <w:pStyle w:val="ListParagraph"/>
        <w:rPr>
          <w:rFonts w:ascii="Garamond" w:hAnsi="Garamond"/>
        </w:rPr>
      </w:pPr>
    </w:p>
    <w:p w14:paraId="39E7F988" w14:textId="5E70F5EB" w:rsidR="00666454" w:rsidRPr="00666454" w:rsidRDefault="00666454" w:rsidP="00666454">
      <w:pPr>
        <w:pStyle w:val="ListParagraph"/>
        <w:numPr>
          <w:ilvl w:val="0"/>
          <w:numId w:val="44"/>
        </w:numPr>
        <w:rPr>
          <w:rFonts w:ascii="Garamond" w:hAnsi="Garamond"/>
          <w:b/>
          <w:bCs/>
        </w:rPr>
      </w:pPr>
      <w:r w:rsidRPr="00666454">
        <w:rPr>
          <w:rFonts w:ascii="Garamond" w:eastAsia="Times New Roman" w:hAnsi="Garamond"/>
          <w:b/>
          <w:bCs/>
          <w:sz w:val="24"/>
          <w:szCs w:val="24"/>
          <w:lang w:val="en-IN"/>
        </w:rPr>
        <w:t>Clarity on stay by the Income Tax Appellate Tribunal (ITAT)</w:t>
      </w:r>
      <w:r>
        <w:rPr>
          <w:rFonts w:ascii="Garamond" w:eastAsia="Times New Roman" w:hAnsi="Garamond"/>
          <w:b/>
          <w:bCs/>
          <w:sz w:val="24"/>
          <w:szCs w:val="24"/>
          <w:lang w:val="en-IN"/>
        </w:rPr>
        <w:t xml:space="preserve"> - </w:t>
      </w:r>
      <w:r w:rsidRPr="00666454">
        <w:rPr>
          <w:rFonts w:ascii="Garamond" w:hAnsi="Garamond"/>
          <w:b/>
          <w:bCs/>
        </w:rPr>
        <w:t>No stay by ITAT unless 20% of the disputed tax is deposited</w:t>
      </w:r>
    </w:p>
    <w:p w14:paraId="135C9C2B" w14:textId="77777777" w:rsidR="00666454" w:rsidRDefault="00666454" w:rsidP="00666454">
      <w:pPr>
        <w:pStyle w:val="ListParagraph"/>
        <w:rPr>
          <w:rFonts w:ascii="Garamond" w:hAnsi="Garamond"/>
        </w:rPr>
      </w:pPr>
    </w:p>
    <w:p w14:paraId="42466F25" w14:textId="42A67E05" w:rsidR="00666454" w:rsidRDefault="00666454" w:rsidP="00666454">
      <w:pPr>
        <w:pStyle w:val="ListParagraph"/>
        <w:rPr>
          <w:rFonts w:ascii="Garamond" w:hAnsi="Garamond"/>
          <w:sz w:val="24"/>
          <w:szCs w:val="24"/>
        </w:rPr>
      </w:pPr>
      <w:r w:rsidRPr="00666454">
        <w:rPr>
          <w:rFonts w:ascii="Garamond" w:hAnsi="Garamond"/>
          <w:sz w:val="24"/>
          <w:szCs w:val="24"/>
        </w:rPr>
        <w:t xml:space="preserve">It is proposed to provide that stay under the first proviso to section 254(2A) shouldn’t be provided by ITAT unless </w:t>
      </w:r>
      <w:proofErr w:type="spellStart"/>
      <w:r w:rsidRPr="00666454">
        <w:rPr>
          <w:rFonts w:ascii="Garamond" w:hAnsi="Garamond"/>
          <w:sz w:val="24"/>
          <w:szCs w:val="24"/>
        </w:rPr>
        <w:t>assessee</w:t>
      </w:r>
      <w:proofErr w:type="spellEnd"/>
      <w:r w:rsidRPr="00666454">
        <w:rPr>
          <w:rFonts w:ascii="Garamond" w:hAnsi="Garamond"/>
          <w:sz w:val="24"/>
          <w:szCs w:val="24"/>
        </w:rPr>
        <w:t xml:space="preserve"> deposits or furnish security for </w:t>
      </w:r>
      <w:proofErr w:type="spellStart"/>
      <w:r w:rsidRPr="00666454">
        <w:rPr>
          <w:rFonts w:ascii="Garamond" w:hAnsi="Garamond"/>
          <w:sz w:val="24"/>
          <w:szCs w:val="24"/>
        </w:rPr>
        <w:t>atleast</w:t>
      </w:r>
      <w:proofErr w:type="spellEnd"/>
      <w:r w:rsidRPr="00666454">
        <w:rPr>
          <w:rFonts w:ascii="Garamond" w:hAnsi="Garamond"/>
          <w:sz w:val="24"/>
          <w:szCs w:val="24"/>
        </w:rPr>
        <w:t xml:space="preserve"> 20% of the amount of tax, interest, fee, penalty, or any other sum payable under the provisions of this Act.</w:t>
      </w:r>
    </w:p>
    <w:p w14:paraId="083D6820" w14:textId="36D05317" w:rsidR="00666454" w:rsidRDefault="00666454" w:rsidP="00666454">
      <w:pPr>
        <w:pStyle w:val="ListParagraph"/>
        <w:rPr>
          <w:rFonts w:ascii="Garamond" w:hAnsi="Garamond"/>
          <w:sz w:val="24"/>
          <w:szCs w:val="24"/>
        </w:rPr>
      </w:pPr>
    </w:p>
    <w:p w14:paraId="71106D6C" w14:textId="679819E5" w:rsidR="00666454" w:rsidRPr="00666454" w:rsidRDefault="00666454" w:rsidP="00666454">
      <w:pPr>
        <w:pStyle w:val="ListParagraph"/>
        <w:rPr>
          <w:rFonts w:ascii="Garamond" w:hAnsi="Garamond"/>
          <w:sz w:val="24"/>
          <w:szCs w:val="24"/>
          <w:lang w:val="en-IN"/>
        </w:rPr>
      </w:pPr>
      <w:r w:rsidRPr="00666454">
        <w:rPr>
          <w:rFonts w:ascii="Garamond" w:hAnsi="Garamond"/>
          <w:sz w:val="24"/>
          <w:szCs w:val="24"/>
          <w:lang w:val="en-IN"/>
        </w:rPr>
        <w:t xml:space="preserve">Further stay under second provision to section 254(2A) can only be granted on an application made by the </w:t>
      </w:r>
      <w:proofErr w:type="spellStart"/>
      <w:r w:rsidRPr="00666454">
        <w:rPr>
          <w:rFonts w:ascii="Garamond" w:hAnsi="Garamond"/>
          <w:sz w:val="24"/>
          <w:szCs w:val="24"/>
          <w:lang w:val="en-IN"/>
        </w:rPr>
        <w:t>assessee</w:t>
      </w:r>
      <w:proofErr w:type="spellEnd"/>
      <w:r w:rsidRPr="00666454">
        <w:rPr>
          <w:rFonts w:ascii="Garamond" w:hAnsi="Garamond"/>
          <w:sz w:val="24"/>
          <w:szCs w:val="24"/>
          <w:lang w:val="en-IN"/>
        </w:rPr>
        <w:t xml:space="preserve">, if the delay in not disposing of the appeal is not attributable to the </w:t>
      </w:r>
      <w:proofErr w:type="spellStart"/>
      <w:r w:rsidRPr="00666454">
        <w:rPr>
          <w:rFonts w:ascii="Garamond" w:hAnsi="Garamond"/>
          <w:sz w:val="24"/>
          <w:szCs w:val="24"/>
          <w:lang w:val="en-IN"/>
        </w:rPr>
        <w:t>assessee</w:t>
      </w:r>
      <w:proofErr w:type="spellEnd"/>
      <w:r w:rsidRPr="00666454">
        <w:rPr>
          <w:rFonts w:ascii="Garamond" w:hAnsi="Garamond"/>
          <w:sz w:val="24"/>
          <w:szCs w:val="24"/>
          <w:lang w:val="en-IN"/>
        </w:rPr>
        <w:t xml:space="preserve"> and the </w:t>
      </w:r>
      <w:proofErr w:type="spellStart"/>
      <w:r w:rsidRPr="00666454">
        <w:rPr>
          <w:rFonts w:ascii="Garamond" w:hAnsi="Garamond"/>
          <w:sz w:val="24"/>
          <w:szCs w:val="24"/>
          <w:lang w:val="en-IN"/>
        </w:rPr>
        <w:t>assessee</w:t>
      </w:r>
      <w:proofErr w:type="spellEnd"/>
      <w:r w:rsidRPr="00666454">
        <w:rPr>
          <w:rFonts w:ascii="Garamond" w:hAnsi="Garamond"/>
          <w:sz w:val="24"/>
          <w:szCs w:val="24"/>
          <w:lang w:val="en-IN"/>
        </w:rPr>
        <w:t xml:space="preserve"> has deposited 20% of the amount of tax, interest, fee, penalty, or any other sum payable under the provisions of this Act. The total stay granted by ITAT cannot exceed 365 days.</w:t>
      </w:r>
    </w:p>
    <w:p w14:paraId="64B6EE7D" w14:textId="77777777" w:rsidR="00666454" w:rsidRDefault="00666454" w:rsidP="00666454">
      <w:pPr>
        <w:pStyle w:val="ListParagraph"/>
        <w:rPr>
          <w:rFonts w:ascii="Garamond" w:hAnsi="Garamond"/>
        </w:rPr>
      </w:pPr>
    </w:p>
    <w:p w14:paraId="3D92C543" w14:textId="630BC70C" w:rsidR="00666454" w:rsidRPr="00666454" w:rsidRDefault="00666454" w:rsidP="00666454">
      <w:pPr>
        <w:pStyle w:val="ListParagraph"/>
        <w:numPr>
          <w:ilvl w:val="0"/>
          <w:numId w:val="44"/>
        </w:numPr>
        <w:rPr>
          <w:rFonts w:ascii="Garamond" w:eastAsia="Times New Roman" w:hAnsi="Garamond"/>
          <w:b/>
          <w:bCs/>
          <w:sz w:val="24"/>
          <w:szCs w:val="24"/>
          <w:lang w:val="en-IN"/>
        </w:rPr>
      </w:pPr>
      <w:r w:rsidRPr="00666454">
        <w:rPr>
          <w:rFonts w:ascii="Garamond" w:eastAsia="Times New Roman" w:hAnsi="Garamond"/>
          <w:b/>
          <w:bCs/>
          <w:sz w:val="24"/>
          <w:szCs w:val="24"/>
          <w:lang w:val="en-IN"/>
        </w:rPr>
        <w:t>Provision for e-penalty</w:t>
      </w:r>
    </w:p>
    <w:p w14:paraId="35F72C91" w14:textId="77777777" w:rsidR="00666454" w:rsidRPr="00666454" w:rsidRDefault="00666454" w:rsidP="00666454">
      <w:pPr>
        <w:ind w:left="720"/>
        <w:rPr>
          <w:rFonts w:ascii="Garamond" w:hAnsi="Garamond"/>
        </w:rPr>
      </w:pPr>
      <w:r w:rsidRPr="00666454">
        <w:rPr>
          <w:rFonts w:ascii="Garamond" w:hAnsi="Garamond"/>
        </w:rPr>
        <w:t xml:space="preserve">The Central Government may notify an e-scheme for the purposes of imposing penalty so as to impart greater efficiency, transparency and accountability. In this scheme the interface between the Assessing Officer and the </w:t>
      </w:r>
      <w:proofErr w:type="spellStart"/>
      <w:r w:rsidRPr="00666454">
        <w:rPr>
          <w:rFonts w:ascii="Garamond" w:hAnsi="Garamond"/>
        </w:rPr>
        <w:t>assessee</w:t>
      </w:r>
      <w:proofErr w:type="spellEnd"/>
      <w:r w:rsidRPr="00666454">
        <w:rPr>
          <w:rFonts w:ascii="Garamond" w:hAnsi="Garamond"/>
        </w:rPr>
        <w:t xml:space="preserve"> in the course of proceedings shall be eliminated to the extent it is feasible technically.</w:t>
      </w:r>
    </w:p>
    <w:p w14:paraId="01841738" w14:textId="437B69D4" w:rsidR="00666454" w:rsidRDefault="00666454" w:rsidP="004C6C79">
      <w:pPr>
        <w:rPr>
          <w:rFonts w:ascii="Garamond" w:hAnsi="Garamond"/>
        </w:rPr>
      </w:pPr>
    </w:p>
    <w:p w14:paraId="18B87477" w14:textId="101E87B9" w:rsidR="00666454" w:rsidRPr="00CC6D22" w:rsidRDefault="00CC6D22" w:rsidP="00CC6D22">
      <w:pPr>
        <w:pStyle w:val="ListParagraph"/>
        <w:numPr>
          <w:ilvl w:val="0"/>
          <w:numId w:val="44"/>
        </w:numPr>
        <w:rPr>
          <w:rFonts w:ascii="Garamond" w:hAnsi="Garamond"/>
          <w:b/>
          <w:bCs/>
          <w:sz w:val="24"/>
          <w:szCs w:val="24"/>
          <w:lang w:eastAsia="en-GB"/>
        </w:rPr>
      </w:pPr>
      <w:r w:rsidRPr="00CC6D22">
        <w:rPr>
          <w:rFonts w:ascii="Garamond" w:hAnsi="Garamond"/>
          <w:b/>
          <w:bCs/>
          <w:sz w:val="24"/>
          <w:szCs w:val="24"/>
        </w:rPr>
        <w:t xml:space="preserve">Insolvency Professionals can act as “authorised representative” </w:t>
      </w:r>
    </w:p>
    <w:p w14:paraId="4A5268A5" w14:textId="77777777" w:rsidR="00CC6D22" w:rsidRPr="00CC6D22" w:rsidRDefault="00CC6D22" w:rsidP="00CC6D22">
      <w:pPr>
        <w:ind w:left="720"/>
        <w:rPr>
          <w:rFonts w:ascii="Garamond" w:hAnsi="Garamond"/>
        </w:rPr>
      </w:pPr>
      <w:r w:rsidRPr="00CC6D22">
        <w:rPr>
          <w:rFonts w:ascii="Garamond" w:hAnsi="Garamond"/>
        </w:rPr>
        <w:t xml:space="preserve">Section 288 is proposed to be amended to provide that Insolvency Professional can appear before any Income-tax Authority or the Appellate Tribunal on behalf of an </w:t>
      </w:r>
      <w:proofErr w:type="spellStart"/>
      <w:r w:rsidRPr="00CC6D22">
        <w:rPr>
          <w:rFonts w:ascii="Garamond" w:hAnsi="Garamond"/>
        </w:rPr>
        <w:t>assessee</w:t>
      </w:r>
      <w:proofErr w:type="spellEnd"/>
      <w:r w:rsidRPr="00CC6D22">
        <w:rPr>
          <w:rFonts w:ascii="Garamond" w:hAnsi="Garamond"/>
        </w:rPr>
        <w:t xml:space="preserve"> as its “authorised representative”</w:t>
      </w:r>
    </w:p>
    <w:p w14:paraId="7097C37B" w14:textId="09332658" w:rsidR="00666454" w:rsidRDefault="00666454" w:rsidP="004C6C79">
      <w:pPr>
        <w:rPr>
          <w:rFonts w:ascii="Garamond" w:hAnsi="Garamond"/>
        </w:rPr>
      </w:pPr>
    </w:p>
    <w:p w14:paraId="0A52BDBD" w14:textId="23459EE1" w:rsidR="00666454" w:rsidRDefault="00666454" w:rsidP="004C6C79">
      <w:pPr>
        <w:rPr>
          <w:rFonts w:ascii="Garamond" w:hAnsi="Garamond"/>
        </w:rPr>
      </w:pPr>
    </w:p>
    <w:p w14:paraId="64CC0908" w14:textId="36C233C5" w:rsidR="00CC6D22" w:rsidRPr="00CC6D22" w:rsidRDefault="00CC6D22" w:rsidP="00CC6D22">
      <w:pPr>
        <w:pStyle w:val="ListParagraph"/>
        <w:numPr>
          <w:ilvl w:val="0"/>
          <w:numId w:val="44"/>
        </w:numPr>
        <w:rPr>
          <w:rFonts w:ascii="Garamond" w:eastAsia="Times New Roman" w:hAnsi="Garamond"/>
          <w:b/>
          <w:bCs/>
          <w:sz w:val="24"/>
          <w:szCs w:val="24"/>
          <w:lang w:val="en-IN"/>
        </w:rPr>
      </w:pPr>
      <w:r w:rsidRPr="004E2A93">
        <w:rPr>
          <w:rFonts w:ascii="Garamond" w:eastAsia="Times New Roman" w:hAnsi="Garamond"/>
          <w:b/>
          <w:bCs/>
          <w:sz w:val="24"/>
          <w:szCs w:val="24"/>
          <w:lang w:val="en-IN"/>
        </w:rPr>
        <w:t>Penalty for fake invoice</w:t>
      </w:r>
    </w:p>
    <w:p w14:paraId="02836575" w14:textId="77777777" w:rsidR="00CC6D22" w:rsidRPr="00CC6D22" w:rsidRDefault="00CC6D22" w:rsidP="00CC6D22">
      <w:pPr>
        <w:ind w:left="720"/>
        <w:rPr>
          <w:rFonts w:ascii="Garamond" w:hAnsi="Garamond"/>
        </w:rPr>
      </w:pPr>
      <w:r w:rsidRPr="00CC6D22">
        <w:rPr>
          <w:rFonts w:ascii="Garamond" w:hAnsi="Garamond"/>
        </w:rPr>
        <w:t xml:space="preserve">It is proposed to introduce a new provision in the Act to provide for a levy of penalty on a person, if it is found </w:t>
      </w:r>
      <w:r w:rsidRPr="004E2A93">
        <w:rPr>
          <w:rFonts w:ascii="Garamond" w:hAnsi="Garamond"/>
        </w:rPr>
        <w:t>during any proceeding under the Act that in the books of accounts maintained by him there is a (i) false entry or (ii) any entry relevant for computation of total income of such person has been omitted to evade tax liability. The penalty payable by such person shall be equal to the aggregate amount of false entries or omitted entry. It is also propose to provide that any other person, who causes in any manner a person to make or cause to make a false entry or omits or causes to omit any entry, shall also pay by way of penalty a sum which is equal to the aggregate amounts of such false entries or omitted entry. The false entries is proposed to include use or intention to use</w:t>
      </w:r>
      <w:r w:rsidRPr="00CC6D22">
        <w:rPr>
          <w:rFonts w:ascii="Garamond" w:hAnsi="Garamond"/>
        </w:rPr>
        <w:t>;</w:t>
      </w:r>
    </w:p>
    <w:p w14:paraId="05D7DC0D" w14:textId="77777777" w:rsidR="00CC6D22" w:rsidRDefault="00CC6D22" w:rsidP="004E2A93">
      <w:pPr>
        <w:pStyle w:val="ListParagraph"/>
        <w:ind w:left="1440"/>
        <w:rPr>
          <w:rFonts w:ascii="Garamond" w:eastAsia="Times New Roman" w:hAnsi="Garamond"/>
          <w:sz w:val="24"/>
          <w:szCs w:val="24"/>
          <w:lang w:val="en-IN"/>
        </w:rPr>
      </w:pPr>
    </w:p>
    <w:p w14:paraId="45218816" w14:textId="77777777" w:rsidR="00CC6D22" w:rsidRDefault="00CC6D22" w:rsidP="004E2A93">
      <w:pPr>
        <w:pStyle w:val="ListParagraph"/>
        <w:numPr>
          <w:ilvl w:val="0"/>
          <w:numId w:val="106"/>
        </w:numPr>
        <w:rPr>
          <w:rFonts w:ascii="Garamond" w:eastAsia="Times New Roman" w:hAnsi="Garamond"/>
          <w:sz w:val="24"/>
          <w:szCs w:val="24"/>
          <w:lang w:val="en-IN"/>
        </w:rPr>
      </w:pPr>
      <w:r>
        <w:rPr>
          <w:rFonts w:ascii="Garamond" w:eastAsia="Times New Roman" w:hAnsi="Garamond"/>
          <w:sz w:val="24"/>
          <w:szCs w:val="24"/>
          <w:lang w:val="en-IN"/>
        </w:rPr>
        <w:t>F</w:t>
      </w:r>
      <w:r w:rsidRPr="006C4A45">
        <w:rPr>
          <w:rFonts w:ascii="Garamond" w:eastAsia="Times New Roman" w:hAnsi="Garamond"/>
          <w:sz w:val="24"/>
          <w:szCs w:val="24"/>
          <w:lang w:val="en-IN"/>
        </w:rPr>
        <w:t>orged or falsified documents such as a false invoice or, in general, a false piece of documentary evidence; or</w:t>
      </w:r>
    </w:p>
    <w:p w14:paraId="326E88A7" w14:textId="77777777" w:rsidR="00CC6D22" w:rsidRPr="004E2A93" w:rsidRDefault="00CC6D22" w:rsidP="004E2A93">
      <w:pPr>
        <w:pStyle w:val="ListParagraph"/>
        <w:rPr>
          <w:rFonts w:ascii="Garamond" w:eastAsia="Times New Roman" w:hAnsi="Garamond"/>
          <w:sz w:val="24"/>
          <w:szCs w:val="24"/>
          <w:lang w:val="en-IN"/>
        </w:rPr>
      </w:pPr>
    </w:p>
    <w:p w14:paraId="557D42F6" w14:textId="77777777" w:rsidR="00CC6D22" w:rsidRDefault="00CC6D22" w:rsidP="00CC6D22">
      <w:pPr>
        <w:pStyle w:val="ListParagraph"/>
        <w:numPr>
          <w:ilvl w:val="0"/>
          <w:numId w:val="106"/>
        </w:numPr>
        <w:rPr>
          <w:rFonts w:ascii="Garamond" w:eastAsia="Times New Roman" w:hAnsi="Garamond"/>
          <w:sz w:val="24"/>
          <w:szCs w:val="24"/>
          <w:lang w:val="en-IN"/>
        </w:rPr>
      </w:pPr>
      <w:r w:rsidRPr="006C4A45">
        <w:rPr>
          <w:rFonts w:ascii="Garamond" w:eastAsia="Times New Roman" w:hAnsi="Garamond"/>
          <w:sz w:val="24"/>
          <w:szCs w:val="24"/>
          <w:lang w:val="en-IN"/>
        </w:rPr>
        <w:t>invoice in respect of supply or receipt of goods or services or both issued by the person or any other person without</w:t>
      </w:r>
      <w:r>
        <w:rPr>
          <w:rFonts w:ascii="Garamond" w:eastAsia="Times New Roman" w:hAnsi="Garamond"/>
          <w:sz w:val="24"/>
          <w:szCs w:val="24"/>
          <w:lang w:val="en-IN"/>
        </w:rPr>
        <w:t xml:space="preserve"> </w:t>
      </w:r>
      <w:r w:rsidRPr="004E2A93">
        <w:rPr>
          <w:rFonts w:ascii="Garamond" w:eastAsia="Times New Roman" w:hAnsi="Garamond"/>
          <w:sz w:val="24"/>
          <w:szCs w:val="24"/>
          <w:lang w:val="en-IN"/>
        </w:rPr>
        <w:t>actual supply or receipt of such goods or services or both; or</w:t>
      </w:r>
    </w:p>
    <w:p w14:paraId="417EBE78" w14:textId="77777777" w:rsidR="00CC6D22" w:rsidRPr="004E2A93" w:rsidRDefault="00CC6D22" w:rsidP="004E2A93">
      <w:pPr>
        <w:pStyle w:val="ListParagraph"/>
        <w:rPr>
          <w:rFonts w:ascii="Garamond" w:eastAsia="Times New Roman" w:hAnsi="Garamond"/>
          <w:sz w:val="24"/>
          <w:szCs w:val="24"/>
          <w:lang w:val="en-IN"/>
        </w:rPr>
      </w:pPr>
    </w:p>
    <w:p w14:paraId="365DD909" w14:textId="77777777" w:rsidR="00CC6D22" w:rsidRDefault="00CC6D22" w:rsidP="00CC6D22">
      <w:pPr>
        <w:pStyle w:val="ListParagraph"/>
        <w:numPr>
          <w:ilvl w:val="0"/>
          <w:numId w:val="106"/>
        </w:numPr>
        <w:rPr>
          <w:rFonts w:ascii="Garamond" w:eastAsia="Times New Roman" w:hAnsi="Garamond"/>
          <w:sz w:val="24"/>
          <w:szCs w:val="24"/>
          <w:lang w:val="en-IN"/>
        </w:rPr>
      </w:pPr>
      <w:r w:rsidRPr="006C4A45">
        <w:rPr>
          <w:rFonts w:ascii="Garamond" w:eastAsia="Times New Roman" w:hAnsi="Garamond"/>
          <w:sz w:val="24"/>
          <w:szCs w:val="24"/>
          <w:lang w:val="en-IN"/>
        </w:rPr>
        <w:t>invoice in respect of supply or receipt of goods or services or both to or from a person who do not exist.</w:t>
      </w:r>
    </w:p>
    <w:p w14:paraId="495C0722" w14:textId="77777777" w:rsidR="00CC6D22" w:rsidRPr="004E2A93" w:rsidRDefault="00CC6D22" w:rsidP="004E2A93">
      <w:pPr>
        <w:pStyle w:val="ListParagraph"/>
        <w:rPr>
          <w:rFonts w:ascii="Garamond" w:eastAsia="Times New Roman" w:hAnsi="Garamond"/>
          <w:sz w:val="24"/>
          <w:szCs w:val="24"/>
          <w:lang w:val="en-IN"/>
        </w:rPr>
      </w:pPr>
    </w:p>
    <w:p w14:paraId="6A8A8D86" w14:textId="77777777" w:rsidR="00CC6D22" w:rsidRDefault="00CC6D22" w:rsidP="00CC6D22">
      <w:pPr>
        <w:ind w:left="720"/>
        <w:rPr>
          <w:rFonts w:ascii="Garamond" w:hAnsi="Garamond"/>
        </w:rPr>
      </w:pPr>
      <w:r w:rsidRPr="004E2A93">
        <w:rPr>
          <w:rFonts w:ascii="Garamond" w:hAnsi="Garamond"/>
        </w:rPr>
        <w:t>This amendment will take effect from 1st April, 2020.</w:t>
      </w:r>
    </w:p>
    <w:p w14:paraId="40ECDF73" w14:textId="5A452414" w:rsidR="00666454" w:rsidRDefault="00666454" w:rsidP="004C6C79">
      <w:pPr>
        <w:rPr>
          <w:rFonts w:ascii="Garamond" w:hAnsi="Garamond"/>
        </w:rPr>
      </w:pPr>
    </w:p>
    <w:p w14:paraId="29860349" w14:textId="1538D034" w:rsidR="00666454" w:rsidRDefault="00666454" w:rsidP="004C6C79">
      <w:pPr>
        <w:rPr>
          <w:rFonts w:ascii="Garamond" w:hAnsi="Garamond"/>
        </w:rPr>
      </w:pPr>
    </w:p>
    <w:p w14:paraId="3F9815B6" w14:textId="4885B125" w:rsidR="00666454" w:rsidRDefault="00666454" w:rsidP="004C6C79">
      <w:pPr>
        <w:rPr>
          <w:rFonts w:ascii="Garamond" w:hAnsi="Garamond"/>
        </w:rPr>
      </w:pPr>
    </w:p>
    <w:p w14:paraId="4BE9C3F7" w14:textId="620FA74E" w:rsidR="00666454" w:rsidRDefault="00666454" w:rsidP="004C6C79">
      <w:pPr>
        <w:rPr>
          <w:rFonts w:ascii="Garamond" w:hAnsi="Garamond"/>
        </w:rPr>
      </w:pPr>
    </w:p>
    <w:p w14:paraId="242155D3" w14:textId="2DE64D48" w:rsidR="00666454" w:rsidRDefault="00666454" w:rsidP="004C6C79">
      <w:pPr>
        <w:rPr>
          <w:rFonts w:ascii="Garamond" w:hAnsi="Garamond"/>
        </w:rPr>
      </w:pPr>
    </w:p>
    <w:p w14:paraId="772F7D86" w14:textId="78EFF19E" w:rsidR="00666454" w:rsidRDefault="00666454" w:rsidP="004C6C79">
      <w:pPr>
        <w:rPr>
          <w:rFonts w:ascii="Garamond" w:hAnsi="Garamond"/>
        </w:rPr>
      </w:pPr>
    </w:p>
    <w:p w14:paraId="28153D9A" w14:textId="51E8F285" w:rsidR="005F3CF5" w:rsidRDefault="005F3CF5" w:rsidP="004C6C79">
      <w:pPr>
        <w:rPr>
          <w:rFonts w:ascii="Garamond" w:hAnsi="Garamond"/>
        </w:rPr>
      </w:pPr>
    </w:p>
    <w:p w14:paraId="70ACAD48" w14:textId="2B80A29C" w:rsidR="005F3CF5" w:rsidRDefault="005F3CF5" w:rsidP="004C6C79">
      <w:pPr>
        <w:rPr>
          <w:rFonts w:ascii="Garamond" w:hAnsi="Garamond"/>
        </w:rPr>
      </w:pPr>
    </w:p>
    <w:p w14:paraId="00EB1377" w14:textId="55567912" w:rsidR="005F3CF5" w:rsidRDefault="005F3CF5" w:rsidP="004C6C79">
      <w:pPr>
        <w:rPr>
          <w:rFonts w:ascii="Garamond" w:hAnsi="Garamond"/>
        </w:rPr>
      </w:pPr>
    </w:p>
    <w:p w14:paraId="716F9442" w14:textId="6097A2C8" w:rsidR="005F3CF5" w:rsidRDefault="005F3CF5" w:rsidP="004C6C79">
      <w:pPr>
        <w:rPr>
          <w:rFonts w:ascii="Garamond" w:hAnsi="Garamond"/>
        </w:rPr>
      </w:pPr>
    </w:p>
    <w:p w14:paraId="344CC7C5" w14:textId="0098A6BD" w:rsidR="005F3CF5" w:rsidRDefault="005F3CF5" w:rsidP="004C6C79">
      <w:pPr>
        <w:rPr>
          <w:rFonts w:ascii="Garamond" w:hAnsi="Garamond"/>
        </w:rPr>
      </w:pPr>
    </w:p>
    <w:p w14:paraId="7B414FC9" w14:textId="139EDBE4" w:rsidR="005F3CF5" w:rsidRDefault="005F3CF5" w:rsidP="004C6C79">
      <w:pPr>
        <w:rPr>
          <w:rFonts w:ascii="Garamond" w:hAnsi="Garamond"/>
        </w:rPr>
      </w:pPr>
    </w:p>
    <w:p w14:paraId="5066813C" w14:textId="0778B89C" w:rsidR="005F3CF5" w:rsidRDefault="005F3CF5" w:rsidP="004C6C79">
      <w:pPr>
        <w:rPr>
          <w:rFonts w:ascii="Garamond" w:hAnsi="Garamond"/>
        </w:rPr>
      </w:pPr>
    </w:p>
    <w:p w14:paraId="3D4EFC08" w14:textId="1A27A410" w:rsidR="005F3CF5" w:rsidRDefault="005F3CF5" w:rsidP="004C6C79">
      <w:pPr>
        <w:rPr>
          <w:rFonts w:ascii="Garamond" w:hAnsi="Garamond"/>
        </w:rPr>
      </w:pPr>
    </w:p>
    <w:p w14:paraId="13B8BDF4" w14:textId="315BE45A" w:rsidR="005F3CF5" w:rsidRDefault="005F3CF5" w:rsidP="004C6C79">
      <w:pPr>
        <w:rPr>
          <w:rFonts w:ascii="Garamond" w:hAnsi="Garamond"/>
        </w:rPr>
      </w:pPr>
    </w:p>
    <w:p w14:paraId="2D5418B4" w14:textId="0E934165" w:rsidR="005F3CF5" w:rsidRPr="005F3CF5" w:rsidRDefault="00C93CB6" w:rsidP="005F3CF5">
      <w:pPr>
        <w:pStyle w:val="Heading1"/>
        <w:shd w:val="clear" w:color="auto" w:fill="D9D9D9" w:themeFill="background1" w:themeFillShade="D9"/>
        <w:rPr>
          <w:rFonts w:ascii="Garamond" w:hAnsi="Garamond"/>
          <w:i w:val="0"/>
          <w:sz w:val="28"/>
          <w:szCs w:val="24"/>
        </w:rPr>
      </w:pPr>
      <w:bookmarkStart w:id="10" w:name="_Toc32423692"/>
      <w:r>
        <w:rPr>
          <w:rFonts w:ascii="Garamond" w:hAnsi="Garamond"/>
          <w:i w:val="0"/>
          <w:sz w:val="28"/>
          <w:szCs w:val="24"/>
        </w:rPr>
        <w:lastRenderedPageBreak/>
        <w:t>Others</w:t>
      </w:r>
      <w:bookmarkEnd w:id="10"/>
    </w:p>
    <w:p w14:paraId="54211025" w14:textId="10DF6007" w:rsidR="005F3CF5" w:rsidRPr="005F3CF5" w:rsidRDefault="005F3CF5" w:rsidP="005F3CF5">
      <w:pPr>
        <w:pStyle w:val="ListParagraph"/>
        <w:numPr>
          <w:ilvl w:val="0"/>
          <w:numId w:val="44"/>
        </w:numPr>
        <w:rPr>
          <w:rFonts w:ascii="Garamond" w:hAnsi="Garamond"/>
          <w:b/>
          <w:bCs/>
          <w:sz w:val="24"/>
          <w:szCs w:val="24"/>
          <w:lang w:val="en-IN"/>
        </w:rPr>
      </w:pPr>
      <w:r w:rsidRPr="005F3CF5">
        <w:rPr>
          <w:rFonts w:ascii="Garamond" w:hAnsi="Garamond"/>
          <w:b/>
          <w:bCs/>
          <w:sz w:val="24"/>
          <w:szCs w:val="24"/>
          <w:lang w:val="en-IN"/>
        </w:rPr>
        <w:t>Modification in conditions for offshore funds’ exemption from “business connection”</w:t>
      </w:r>
    </w:p>
    <w:p w14:paraId="09702BC5" w14:textId="6E3EB6BA" w:rsidR="005F3CF5" w:rsidRDefault="005F3CF5" w:rsidP="005F3CF5">
      <w:pPr>
        <w:ind w:left="720"/>
        <w:rPr>
          <w:rFonts w:ascii="Garamond" w:eastAsia="Arial" w:hAnsi="Garamond"/>
        </w:rPr>
      </w:pPr>
      <w:r w:rsidRPr="005F3CF5">
        <w:rPr>
          <w:rFonts w:ascii="Garamond" w:eastAsia="Arial" w:hAnsi="Garamond"/>
        </w:rPr>
        <w:t>Section 9A of the Act provides for a special regime in respect of offshore funds by providing them exemption from creating a “business connection” in India on fulfilment of certain conditions. It has been proposed that certain conditions for offshore funds shall be relaxed.</w:t>
      </w:r>
    </w:p>
    <w:p w14:paraId="46FF4FF7" w14:textId="4BAB966A" w:rsidR="005F3CF5" w:rsidRDefault="005F3CF5" w:rsidP="005F3CF5">
      <w:pPr>
        <w:rPr>
          <w:rFonts w:ascii="Garamond" w:eastAsia="Arial" w:hAnsi="Garamond"/>
        </w:rPr>
      </w:pPr>
    </w:p>
    <w:p w14:paraId="39A71CFB" w14:textId="77777777" w:rsidR="005F3CF5" w:rsidRPr="00133ED9" w:rsidRDefault="005F3CF5" w:rsidP="005F3CF5">
      <w:pPr>
        <w:pStyle w:val="ListParagraph"/>
        <w:numPr>
          <w:ilvl w:val="0"/>
          <w:numId w:val="44"/>
        </w:numPr>
        <w:rPr>
          <w:rFonts w:ascii="Garamond" w:hAnsi="Garamond"/>
          <w:b/>
          <w:bCs/>
          <w:sz w:val="24"/>
          <w:szCs w:val="24"/>
        </w:rPr>
      </w:pPr>
      <w:r w:rsidRPr="00133ED9">
        <w:rPr>
          <w:rFonts w:ascii="Garamond" w:hAnsi="Garamond"/>
          <w:b/>
          <w:bCs/>
          <w:sz w:val="24"/>
          <w:szCs w:val="24"/>
        </w:rPr>
        <w:t>Excluding interest paid or payable to Permanent Establishment of a non-resident Bank for the purpose of disallowance of interest under section 94B.</w:t>
      </w:r>
    </w:p>
    <w:p w14:paraId="5855733A" w14:textId="2BAEBB0A" w:rsidR="005F3CF5" w:rsidRPr="005F3CF5" w:rsidRDefault="005F3CF5" w:rsidP="005F3CF5">
      <w:pPr>
        <w:ind w:left="720"/>
        <w:rPr>
          <w:rFonts w:ascii="Garamond" w:hAnsi="Garamond"/>
        </w:rPr>
      </w:pPr>
      <w:r w:rsidRPr="005F3CF5">
        <w:rPr>
          <w:rFonts w:ascii="Garamond" w:hAnsi="Garamond"/>
        </w:rPr>
        <w:t>It is, therefore, proposed to amend section 94B of the Act so as to provide that provisions of interest limitation would not apply to interest paid in respect of a debt issued by a lender which is a PE of a non-resident, being a person engaged in the business of banking, in India.</w:t>
      </w:r>
      <w:r>
        <w:rPr>
          <w:rFonts w:ascii="Garamond" w:hAnsi="Garamond"/>
        </w:rPr>
        <w:t xml:space="preserve"> </w:t>
      </w:r>
      <w:r w:rsidRPr="00133ED9">
        <w:rPr>
          <w:rFonts w:ascii="Garamond" w:hAnsi="Garamond"/>
        </w:rPr>
        <w:t>This amendment will take effect from 1st April, 2021 and will, accordingly, apply in relation to the assessment year 2021-22 and subsequent assessment years.</w:t>
      </w:r>
    </w:p>
    <w:p w14:paraId="123A5D95" w14:textId="3CD9912B" w:rsidR="00816E24" w:rsidRPr="005F3CF5" w:rsidRDefault="00816E24" w:rsidP="00816E24">
      <w:pPr>
        <w:pStyle w:val="ListParagraph"/>
        <w:numPr>
          <w:ilvl w:val="0"/>
          <w:numId w:val="44"/>
        </w:numPr>
        <w:rPr>
          <w:rFonts w:ascii="Garamond" w:hAnsi="Garamond"/>
          <w:b/>
          <w:bCs/>
          <w:sz w:val="24"/>
          <w:szCs w:val="24"/>
        </w:rPr>
      </w:pPr>
      <w:r w:rsidRPr="005F3CF5">
        <w:rPr>
          <w:rFonts w:ascii="Garamond" w:hAnsi="Garamond"/>
          <w:b/>
          <w:bCs/>
          <w:sz w:val="24"/>
          <w:szCs w:val="24"/>
        </w:rPr>
        <w:t>Modification of the definition of “business trust”</w:t>
      </w:r>
    </w:p>
    <w:p w14:paraId="62E19A6A" w14:textId="77777777" w:rsidR="00D852DA" w:rsidRDefault="00D852DA" w:rsidP="00D852DA">
      <w:pPr>
        <w:pStyle w:val="ListParagraph"/>
        <w:ind w:left="1080"/>
        <w:rPr>
          <w:rFonts w:ascii="Garamond" w:hAnsi="Garamond"/>
          <w:sz w:val="24"/>
          <w:szCs w:val="24"/>
        </w:rPr>
      </w:pPr>
    </w:p>
    <w:p w14:paraId="01A2ECDA" w14:textId="74685DC1" w:rsidR="00816E24" w:rsidRDefault="00816E24" w:rsidP="00816E24">
      <w:pPr>
        <w:pStyle w:val="ListParagraph"/>
        <w:numPr>
          <w:ilvl w:val="0"/>
          <w:numId w:val="85"/>
        </w:numPr>
        <w:rPr>
          <w:rFonts w:ascii="Garamond" w:hAnsi="Garamond"/>
          <w:sz w:val="24"/>
          <w:szCs w:val="24"/>
        </w:rPr>
      </w:pPr>
      <w:r w:rsidRPr="00816E24">
        <w:rPr>
          <w:rFonts w:ascii="Garamond" w:hAnsi="Garamond"/>
          <w:sz w:val="24"/>
          <w:szCs w:val="24"/>
        </w:rPr>
        <w:t>Section 115UA of the Act provides for a taxation regime applicable to business trusts.  Under the said regime, the total income of the trust, excluding capital gains income is charged at the maximum marginal rate. Further, the income by way of interest and rent, received by the business trust from a Special Purpose Vehicle (SPV) is accorded pass through treatment i.e. there is no taxation of such interest or rental income in the hands of the trust and no withholding tax at the level of SPV. The business trusts are also required to furnish return of income and adhere to other reporting requirements</w:t>
      </w:r>
    </w:p>
    <w:p w14:paraId="510CD586" w14:textId="77777777" w:rsidR="00D852DA" w:rsidRDefault="00D852DA" w:rsidP="00D852DA">
      <w:pPr>
        <w:pStyle w:val="ListParagraph"/>
        <w:ind w:left="1080"/>
        <w:rPr>
          <w:rFonts w:ascii="Garamond" w:hAnsi="Garamond"/>
          <w:sz w:val="24"/>
          <w:szCs w:val="24"/>
        </w:rPr>
      </w:pPr>
    </w:p>
    <w:p w14:paraId="72DC430D" w14:textId="2E0D589A" w:rsidR="00816E24" w:rsidRDefault="00816E24" w:rsidP="00816E24">
      <w:pPr>
        <w:pStyle w:val="ListParagraph"/>
        <w:numPr>
          <w:ilvl w:val="0"/>
          <w:numId w:val="85"/>
        </w:numPr>
        <w:rPr>
          <w:rFonts w:ascii="Garamond" w:hAnsi="Garamond"/>
          <w:sz w:val="24"/>
          <w:szCs w:val="24"/>
        </w:rPr>
      </w:pPr>
      <w:r w:rsidRPr="00816E24">
        <w:rPr>
          <w:rFonts w:ascii="Garamond" w:hAnsi="Garamond"/>
          <w:sz w:val="24"/>
          <w:szCs w:val="24"/>
        </w:rPr>
        <w:t>Therefore, it is proposed to amend clause (13A) of section 2 of the Act to modify the definition of “business trust” so as to do away with the requirement of the units of business trust to be listed on a recognised stock exchange.</w:t>
      </w:r>
    </w:p>
    <w:p w14:paraId="539937B9" w14:textId="77777777" w:rsidR="00D852DA" w:rsidRDefault="00D852DA" w:rsidP="00D852DA">
      <w:pPr>
        <w:pStyle w:val="ListParagraph"/>
        <w:ind w:left="1080"/>
        <w:rPr>
          <w:rFonts w:ascii="Garamond" w:hAnsi="Garamond"/>
          <w:sz w:val="24"/>
          <w:szCs w:val="24"/>
        </w:rPr>
      </w:pPr>
    </w:p>
    <w:p w14:paraId="0EF436FA" w14:textId="03EDC488" w:rsidR="00816E24" w:rsidRDefault="00816E24" w:rsidP="00816E24">
      <w:pPr>
        <w:pStyle w:val="ListParagraph"/>
        <w:numPr>
          <w:ilvl w:val="0"/>
          <w:numId w:val="85"/>
        </w:numPr>
        <w:rPr>
          <w:rFonts w:ascii="Garamond" w:hAnsi="Garamond"/>
          <w:sz w:val="24"/>
          <w:szCs w:val="24"/>
        </w:rPr>
      </w:pPr>
      <w:r w:rsidRPr="00816E24">
        <w:rPr>
          <w:rFonts w:ascii="Garamond" w:hAnsi="Garamond"/>
          <w:sz w:val="24"/>
          <w:szCs w:val="24"/>
        </w:rPr>
        <w:t>This amendment will take effect from 1st April, 2021 and will, accordingly, apply in relation to the assessment year  2021-22 and subsequent assessment years</w:t>
      </w:r>
    </w:p>
    <w:p w14:paraId="1E50751C" w14:textId="1954548F" w:rsidR="00816E24" w:rsidRDefault="00816E24" w:rsidP="00DC15B7">
      <w:pPr>
        <w:pStyle w:val="ListParagraph"/>
        <w:ind w:left="1080"/>
        <w:rPr>
          <w:rFonts w:ascii="Garamond" w:hAnsi="Garamond"/>
          <w:sz w:val="24"/>
          <w:szCs w:val="24"/>
        </w:rPr>
      </w:pPr>
    </w:p>
    <w:p w14:paraId="5D3DA33F" w14:textId="00047F39" w:rsidR="00DC15B7" w:rsidRPr="00DC15B7" w:rsidRDefault="00DC15B7" w:rsidP="00DC15B7">
      <w:pPr>
        <w:pStyle w:val="ListParagraph"/>
        <w:numPr>
          <w:ilvl w:val="0"/>
          <w:numId w:val="44"/>
        </w:numPr>
        <w:rPr>
          <w:rFonts w:ascii="Garamond" w:hAnsi="Garamond"/>
          <w:b/>
          <w:bCs/>
          <w:sz w:val="24"/>
          <w:szCs w:val="24"/>
        </w:rPr>
      </w:pPr>
      <w:r w:rsidRPr="00DC15B7">
        <w:rPr>
          <w:rFonts w:ascii="Garamond" w:hAnsi="Garamond"/>
          <w:b/>
          <w:bCs/>
          <w:sz w:val="24"/>
          <w:szCs w:val="24"/>
        </w:rPr>
        <w:t>Expanding the eligibility criteria for appointment of member of Adjudicating Authority under the Prohibition of Benami Property Transaction Act, 1988</w:t>
      </w:r>
    </w:p>
    <w:p w14:paraId="20AC7FA1" w14:textId="77777777" w:rsidR="00DC15B7" w:rsidRDefault="00DC15B7" w:rsidP="00DC15B7">
      <w:pPr>
        <w:pStyle w:val="ListParagraph"/>
        <w:rPr>
          <w:rFonts w:ascii="Garamond" w:hAnsi="Garamond"/>
          <w:sz w:val="24"/>
          <w:szCs w:val="24"/>
        </w:rPr>
      </w:pPr>
    </w:p>
    <w:p w14:paraId="14A911DE" w14:textId="77777777" w:rsidR="00DC15B7" w:rsidRPr="00DC15B7" w:rsidRDefault="00DC15B7" w:rsidP="00DC15B7">
      <w:pPr>
        <w:pStyle w:val="ListParagraph"/>
        <w:numPr>
          <w:ilvl w:val="0"/>
          <w:numId w:val="112"/>
        </w:numPr>
        <w:rPr>
          <w:rFonts w:ascii="Garamond" w:hAnsi="Garamond"/>
          <w:sz w:val="24"/>
          <w:szCs w:val="24"/>
        </w:rPr>
      </w:pPr>
      <w:r w:rsidRPr="00AD5C64">
        <w:rPr>
          <w:rFonts w:ascii="Garamond" w:hAnsi="Garamond"/>
          <w:sz w:val="24"/>
          <w:szCs w:val="24"/>
        </w:rPr>
        <w:lastRenderedPageBreak/>
        <w:t>The existing provisions of section 9 of the PBPT Act, inter-alia, provides that, a member of the Indian Revenue Service</w:t>
      </w:r>
      <w:r>
        <w:rPr>
          <w:rFonts w:ascii="Garamond" w:hAnsi="Garamond"/>
          <w:sz w:val="24"/>
          <w:szCs w:val="24"/>
        </w:rPr>
        <w:t xml:space="preserve"> </w:t>
      </w:r>
      <w:r w:rsidRPr="00DC15B7">
        <w:rPr>
          <w:rFonts w:ascii="Garamond" w:hAnsi="Garamond"/>
          <w:sz w:val="24"/>
          <w:szCs w:val="24"/>
        </w:rPr>
        <w:t>who has held the post of Commissioner of Income-tax or equivalent post in that Service; or a member of the Indian Legal Service who has held the post of Joint Secretary or equivalent post in that Service is qualified for appointment as a Member of</w:t>
      </w:r>
      <w:r>
        <w:rPr>
          <w:rFonts w:ascii="Garamond" w:hAnsi="Garamond"/>
          <w:sz w:val="24"/>
          <w:szCs w:val="24"/>
        </w:rPr>
        <w:t xml:space="preserve"> </w:t>
      </w:r>
      <w:r w:rsidRPr="00DC15B7">
        <w:rPr>
          <w:rFonts w:ascii="Garamond" w:hAnsi="Garamond"/>
          <w:sz w:val="24"/>
          <w:szCs w:val="24"/>
        </w:rPr>
        <w:t>the Adjudicating Authority. It is proposed to amend the said section so as to provide that a person who is qualified for appointment as District Judge</w:t>
      </w:r>
      <w:r>
        <w:rPr>
          <w:rFonts w:ascii="Garamond" w:hAnsi="Garamond"/>
          <w:sz w:val="24"/>
          <w:szCs w:val="24"/>
        </w:rPr>
        <w:t xml:space="preserve"> </w:t>
      </w:r>
      <w:r w:rsidRPr="00DC15B7">
        <w:rPr>
          <w:rFonts w:ascii="Garamond" w:hAnsi="Garamond"/>
          <w:sz w:val="24"/>
          <w:szCs w:val="24"/>
        </w:rPr>
        <w:t>shall also be eligible for the appointment as a</w:t>
      </w:r>
      <w:r>
        <w:rPr>
          <w:rFonts w:ascii="Garamond" w:hAnsi="Garamond"/>
          <w:sz w:val="24"/>
          <w:szCs w:val="24"/>
        </w:rPr>
        <w:t xml:space="preserve"> </w:t>
      </w:r>
      <w:r w:rsidRPr="00DC15B7">
        <w:rPr>
          <w:rFonts w:ascii="Garamond" w:hAnsi="Garamond"/>
          <w:sz w:val="24"/>
          <w:szCs w:val="24"/>
        </w:rPr>
        <w:t>Member of the Adjudicating Authority.</w:t>
      </w:r>
    </w:p>
    <w:p w14:paraId="351F24FA" w14:textId="77777777" w:rsidR="00DC15B7" w:rsidRPr="00DC15B7" w:rsidRDefault="00DC15B7" w:rsidP="00DC15B7">
      <w:pPr>
        <w:ind w:left="720"/>
        <w:rPr>
          <w:rFonts w:ascii="Garamond" w:hAnsi="Garamond"/>
        </w:rPr>
      </w:pPr>
      <w:r w:rsidRPr="00DC15B7">
        <w:rPr>
          <w:rFonts w:ascii="Garamond" w:hAnsi="Garamond"/>
        </w:rPr>
        <w:t>This amendment will take effect from 1st April, 2020.</w:t>
      </w:r>
    </w:p>
    <w:p w14:paraId="533CC425" w14:textId="77777777" w:rsidR="00DC15B7" w:rsidRDefault="00DC15B7" w:rsidP="00407EAE">
      <w:pPr>
        <w:pStyle w:val="ListParagraph"/>
        <w:ind w:left="1080"/>
        <w:rPr>
          <w:rFonts w:ascii="Garamond" w:hAnsi="Garamond"/>
          <w:sz w:val="24"/>
          <w:szCs w:val="24"/>
        </w:rPr>
      </w:pPr>
    </w:p>
    <w:p w14:paraId="3782229E" w14:textId="77777777" w:rsidR="00345B12" w:rsidRDefault="00345B12" w:rsidP="00407EAE">
      <w:pPr>
        <w:pStyle w:val="ListParagraph"/>
        <w:ind w:left="1080"/>
        <w:rPr>
          <w:rFonts w:ascii="Garamond" w:hAnsi="Garamond"/>
          <w:sz w:val="24"/>
          <w:szCs w:val="24"/>
        </w:rPr>
      </w:pPr>
    </w:p>
    <w:p w14:paraId="3D86F6CE" w14:textId="3B01984F" w:rsidR="009F7086" w:rsidRPr="005F3CF5" w:rsidRDefault="00C93CB6" w:rsidP="009F7086">
      <w:pPr>
        <w:pStyle w:val="Heading1"/>
        <w:shd w:val="clear" w:color="auto" w:fill="D9D9D9" w:themeFill="background1" w:themeFillShade="D9"/>
        <w:rPr>
          <w:rFonts w:ascii="Garamond" w:hAnsi="Garamond"/>
          <w:i w:val="0"/>
          <w:sz w:val="28"/>
          <w:szCs w:val="24"/>
        </w:rPr>
      </w:pPr>
      <w:bookmarkStart w:id="11" w:name="_Toc32423693"/>
      <w:r>
        <w:rPr>
          <w:rFonts w:ascii="Garamond" w:hAnsi="Garamond"/>
          <w:i w:val="0"/>
          <w:sz w:val="28"/>
          <w:szCs w:val="24"/>
        </w:rPr>
        <w:lastRenderedPageBreak/>
        <w:t>Transfer Pricing</w:t>
      </w:r>
      <w:bookmarkEnd w:id="11"/>
    </w:p>
    <w:p w14:paraId="35C11322" w14:textId="50BFC97A" w:rsidR="009F7086" w:rsidRPr="009F7086" w:rsidRDefault="009F7086" w:rsidP="009F7086">
      <w:pPr>
        <w:pStyle w:val="ListParagraph"/>
        <w:numPr>
          <w:ilvl w:val="0"/>
          <w:numId w:val="44"/>
        </w:numPr>
        <w:rPr>
          <w:rFonts w:ascii="Garamond" w:hAnsi="Garamond"/>
          <w:b/>
          <w:bCs/>
          <w:sz w:val="24"/>
          <w:szCs w:val="24"/>
        </w:rPr>
      </w:pPr>
      <w:r>
        <w:rPr>
          <w:rFonts w:ascii="Garamond" w:hAnsi="Garamond"/>
          <w:b/>
          <w:bCs/>
          <w:sz w:val="24"/>
          <w:szCs w:val="24"/>
        </w:rPr>
        <w:t>Permanent Establishment (PE) Attribution</w:t>
      </w:r>
    </w:p>
    <w:p w14:paraId="4B07D359" w14:textId="77777777" w:rsidR="009F7086" w:rsidRPr="00816E24" w:rsidRDefault="009F7086" w:rsidP="009F7086">
      <w:pPr>
        <w:pStyle w:val="ListParagraph"/>
        <w:numPr>
          <w:ilvl w:val="0"/>
          <w:numId w:val="84"/>
        </w:numPr>
        <w:rPr>
          <w:rFonts w:ascii="Garamond" w:hAnsi="Garamond"/>
          <w:sz w:val="24"/>
          <w:szCs w:val="24"/>
        </w:rPr>
      </w:pPr>
      <w:r w:rsidRPr="00816E24">
        <w:rPr>
          <w:rFonts w:ascii="Garamond" w:hAnsi="Garamond"/>
          <w:sz w:val="24"/>
          <w:szCs w:val="24"/>
        </w:rPr>
        <w:t xml:space="preserve">Section 92CB of the Act empowers the Central Board of Direct Taxes (Board) for making safe harbour rules (SHR) to which the determination of the arm's length price (ALP) under section 92C or section 92CA of the Act shall be subject to. As per Explanation to said section the term “safe harbour” means circumstances in which the Income-tax Authority shall accept the transfer price declared by the </w:t>
      </w:r>
      <w:proofErr w:type="spellStart"/>
      <w:r w:rsidRPr="00816E24">
        <w:rPr>
          <w:rFonts w:ascii="Garamond" w:hAnsi="Garamond"/>
          <w:sz w:val="24"/>
          <w:szCs w:val="24"/>
        </w:rPr>
        <w:t>assessee</w:t>
      </w:r>
      <w:proofErr w:type="spellEnd"/>
      <w:r w:rsidRPr="00816E24">
        <w:rPr>
          <w:rFonts w:ascii="Garamond" w:hAnsi="Garamond"/>
          <w:sz w:val="24"/>
          <w:szCs w:val="24"/>
        </w:rPr>
        <w:t xml:space="preserve">. This section was inserted in the Act to reduce the number of transfer pricing audits and prolonged disputes especially in case of relatively smaller </w:t>
      </w:r>
      <w:proofErr w:type="spellStart"/>
      <w:r w:rsidRPr="00816E24">
        <w:rPr>
          <w:rFonts w:ascii="Garamond" w:hAnsi="Garamond"/>
          <w:sz w:val="24"/>
          <w:szCs w:val="24"/>
        </w:rPr>
        <w:t>assessees</w:t>
      </w:r>
      <w:proofErr w:type="spellEnd"/>
      <w:r w:rsidRPr="00816E24">
        <w:rPr>
          <w:rFonts w:ascii="Garamond" w:hAnsi="Garamond"/>
          <w:sz w:val="24"/>
          <w:szCs w:val="24"/>
        </w:rPr>
        <w:t>. Besides reduction of disputes, the SHR provides certainty as well.</w:t>
      </w:r>
    </w:p>
    <w:p w14:paraId="4F385EBF" w14:textId="77777777" w:rsidR="009F7086" w:rsidRDefault="009F7086" w:rsidP="009F7086">
      <w:pPr>
        <w:pStyle w:val="ListParagraph"/>
        <w:ind w:left="1080"/>
        <w:rPr>
          <w:rFonts w:ascii="Garamond" w:hAnsi="Garamond"/>
          <w:sz w:val="24"/>
          <w:szCs w:val="24"/>
        </w:rPr>
      </w:pPr>
    </w:p>
    <w:p w14:paraId="0643C890" w14:textId="06ED0DD5" w:rsidR="009F7086" w:rsidRPr="009F7086" w:rsidRDefault="009F7086" w:rsidP="009F7086">
      <w:pPr>
        <w:pStyle w:val="ListParagraph"/>
        <w:numPr>
          <w:ilvl w:val="0"/>
          <w:numId w:val="84"/>
        </w:numPr>
        <w:rPr>
          <w:rFonts w:ascii="Garamond" w:hAnsi="Garamond"/>
          <w:sz w:val="24"/>
          <w:szCs w:val="24"/>
        </w:rPr>
      </w:pPr>
      <w:r w:rsidRPr="00816E24">
        <w:rPr>
          <w:rFonts w:ascii="Garamond" w:hAnsi="Garamond"/>
          <w:sz w:val="24"/>
          <w:szCs w:val="24"/>
        </w:rPr>
        <w:t>I</w:t>
      </w:r>
      <w:r w:rsidRPr="009F7086">
        <w:rPr>
          <w:rFonts w:ascii="Garamond" w:hAnsi="Garamond"/>
          <w:sz w:val="24"/>
          <w:szCs w:val="24"/>
        </w:rPr>
        <w:t>n view of the above, it is proposed to amend section 92CB and section 92CC of the Act to cover determination of attribution to PE within the scope of SHR and APA.</w:t>
      </w:r>
    </w:p>
    <w:p w14:paraId="16A144C4" w14:textId="77777777" w:rsidR="009F7086" w:rsidRDefault="009F7086" w:rsidP="009F7086">
      <w:pPr>
        <w:pStyle w:val="ListParagraph"/>
        <w:ind w:left="1080"/>
        <w:rPr>
          <w:rFonts w:ascii="Garamond" w:hAnsi="Garamond"/>
          <w:sz w:val="24"/>
          <w:szCs w:val="24"/>
        </w:rPr>
      </w:pPr>
    </w:p>
    <w:p w14:paraId="7171FDDF" w14:textId="4097B255" w:rsidR="009F7086" w:rsidRPr="00816E24" w:rsidRDefault="009F7086" w:rsidP="009F7086">
      <w:pPr>
        <w:pStyle w:val="ListParagraph"/>
        <w:numPr>
          <w:ilvl w:val="0"/>
          <w:numId w:val="84"/>
        </w:numPr>
        <w:rPr>
          <w:rFonts w:ascii="Garamond" w:hAnsi="Garamond"/>
          <w:sz w:val="24"/>
          <w:szCs w:val="24"/>
        </w:rPr>
      </w:pPr>
      <w:r w:rsidRPr="00816E24">
        <w:rPr>
          <w:rFonts w:ascii="Garamond" w:hAnsi="Garamond"/>
          <w:sz w:val="24"/>
          <w:szCs w:val="24"/>
        </w:rPr>
        <w:t>With respect to section 92CB, the amendment will take effect from 1st April, 2020 and will, accordingly, apply in relation to the assessment year 2020-21 and subsequent assessment years.</w:t>
      </w:r>
    </w:p>
    <w:p w14:paraId="4B5A8B70" w14:textId="77777777" w:rsidR="009F7086" w:rsidRDefault="009F7086" w:rsidP="009F7086">
      <w:pPr>
        <w:pStyle w:val="ListParagraph"/>
        <w:ind w:left="1080"/>
        <w:rPr>
          <w:rFonts w:ascii="Garamond" w:hAnsi="Garamond"/>
          <w:sz w:val="24"/>
          <w:szCs w:val="24"/>
        </w:rPr>
      </w:pPr>
    </w:p>
    <w:p w14:paraId="3E9F240E" w14:textId="773EE72D" w:rsidR="00D852DA" w:rsidRDefault="009F7086" w:rsidP="00D852DA">
      <w:pPr>
        <w:pStyle w:val="ListParagraph"/>
        <w:numPr>
          <w:ilvl w:val="0"/>
          <w:numId w:val="84"/>
        </w:numPr>
        <w:rPr>
          <w:rFonts w:ascii="Garamond" w:hAnsi="Garamond"/>
          <w:sz w:val="24"/>
          <w:szCs w:val="24"/>
        </w:rPr>
      </w:pPr>
      <w:r w:rsidRPr="00816E24">
        <w:rPr>
          <w:rFonts w:ascii="Garamond" w:hAnsi="Garamond"/>
          <w:sz w:val="24"/>
          <w:szCs w:val="24"/>
        </w:rPr>
        <w:t>With respect to section 92CC, the amendment will take effect from 1st April, 2020 and therefore will apply to an APA entered into on or after 1st April, 2020.</w:t>
      </w:r>
    </w:p>
    <w:p w14:paraId="4337ABA6" w14:textId="77777777" w:rsidR="00D852DA" w:rsidRPr="00D852DA" w:rsidRDefault="00D852DA" w:rsidP="00D852DA">
      <w:pPr>
        <w:rPr>
          <w:rFonts w:ascii="Garamond" w:hAnsi="Garamond"/>
        </w:rPr>
      </w:pPr>
    </w:p>
    <w:p w14:paraId="089113B2" w14:textId="77777777" w:rsidR="00444D7C" w:rsidRPr="00444D7C" w:rsidRDefault="00444D7C" w:rsidP="00444D7C">
      <w:pPr>
        <w:pStyle w:val="ListParagraph"/>
        <w:numPr>
          <w:ilvl w:val="0"/>
          <w:numId w:val="44"/>
        </w:numPr>
        <w:rPr>
          <w:rFonts w:ascii="Garamond" w:hAnsi="Garamond"/>
          <w:b/>
          <w:bCs/>
          <w:sz w:val="24"/>
          <w:szCs w:val="24"/>
        </w:rPr>
      </w:pPr>
      <w:r w:rsidRPr="00444D7C">
        <w:rPr>
          <w:rFonts w:ascii="Garamond" w:hAnsi="Garamond"/>
          <w:b/>
          <w:bCs/>
          <w:sz w:val="24"/>
          <w:szCs w:val="24"/>
        </w:rPr>
        <w:t>Deferral of ‘significant economic presence’ (SEP) provisions</w:t>
      </w:r>
    </w:p>
    <w:p w14:paraId="2A73F9C9" w14:textId="4318D369" w:rsidR="00444D7C" w:rsidRDefault="00444D7C" w:rsidP="00444D7C">
      <w:pPr>
        <w:ind w:firstLine="720"/>
        <w:rPr>
          <w:rFonts w:ascii="Garamond" w:hAnsi="Garamond"/>
        </w:rPr>
      </w:pPr>
      <w:r w:rsidRPr="00444D7C">
        <w:rPr>
          <w:rFonts w:ascii="Garamond" w:hAnsi="Garamond"/>
        </w:rPr>
        <w:t>Applicability of the SEP provisions deferred to AY 2022-23 since OECD is expected to finalise the BEPS 2.0 report by end of 2020</w:t>
      </w:r>
    </w:p>
    <w:p w14:paraId="2A734035" w14:textId="2272FBA9" w:rsidR="00444D7C" w:rsidRDefault="00444D7C" w:rsidP="00444D7C">
      <w:pPr>
        <w:ind w:firstLine="720"/>
        <w:rPr>
          <w:rFonts w:ascii="Garamond" w:hAnsi="Garamond"/>
        </w:rPr>
      </w:pPr>
    </w:p>
    <w:p w14:paraId="5E687F8E" w14:textId="77777777" w:rsidR="00E44B98" w:rsidRPr="00E44B98" w:rsidRDefault="00E44B98" w:rsidP="00E44B98">
      <w:pPr>
        <w:pStyle w:val="ListParagraph"/>
        <w:numPr>
          <w:ilvl w:val="0"/>
          <w:numId w:val="44"/>
        </w:numPr>
        <w:rPr>
          <w:rFonts w:ascii="Garamond" w:hAnsi="Garamond"/>
          <w:b/>
          <w:bCs/>
          <w:sz w:val="24"/>
          <w:szCs w:val="24"/>
        </w:rPr>
      </w:pPr>
      <w:r w:rsidRPr="00E44B98">
        <w:rPr>
          <w:rFonts w:ascii="Garamond" w:hAnsi="Garamond"/>
          <w:b/>
          <w:bCs/>
          <w:sz w:val="24"/>
          <w:szCs w:val="24"/>
        </w:rPr>
        <w:t>Due Date for filing of transfer pricing report in Form 3CEB</w:t>
      </w:r>
    </w:p>
    <w:p w14:paraId="302D4408" w14:textId="3CB3ECFE" w:rsidR="00444D7C" w:rsidRPr="00444D7C" w:rsidRDefault="00E44B98" w:rsidP="00E44B98">
      <w:pPr>
        <w:ind w:firstLine="720"/>
        <w:rPr>
          <w:rFonts w:ascii="Garamond" w:hAnsi="Garamond"/>
        </w:rPr>
      </w:pPr>
      <w:r w:rsidRPr="00E44B98">
        <w:rPr>
          <w:rFonts w:ascii="Garamond" w:hAnsi="Garamond"/>
        </w:rPr>
        <w:t>Due date for filing of Form 3CEB advanced by one month to 31 October of the relevant A</w:t>
      </w:r>
      <w:r>
        <w:rPr>
          <w:rFonts w:ascii="Garamond" w:hAnsi="Garamond"/>
        </w:rPr>
        <w:t>ssessment Year</w:t>
      </w:r>
    </w:p>
    <w:p w14:paraId="75BA28E9" w14:textId="77777777" w:rsidR="00345B12" w:rsidRPr="00444D7C" w:rsidRDefault="00345B12" w:rsidP="00444D7C">
      <w:pPr>
        <w:rPr>
          <w:rFonts w:ascii="Garamond" w:hAnsi="Garamond"/>
        </w:rPr>
      </w:pPr>
    </w:p>
    <w:p w14:paraId="02D989FC" w14:textId="6E8F35F3" w:rsidR="00816E24" w:rsidRPr="00E44B98" w:rsidRDefault="00816E24" w:rsidP="00E44B98">
      <w:pPr>
        <w:rPr>
          <w:rFonts w:ascii="Garamond" w:hAnsi="Garamond"/>
        </w:rPr>
      </w:pPr>
    </w:p>
    <w:p w14:paraId="113CE1D6" w14:textId="611407FB" w:rsidR="00BF2068" w:rsidRDefault="00BF2068" w:rsidP="00BF2068">
      <w:pPr>
        <w:ind w:left="720"/>
        <w:rPr>
          <w:rFonts w:ascii="Garamond" w:hAnsi="Garamond"/>
        </w:rPr>
      </w:pPr>
    </w:p>
    <w:p w14:paraId="097B0FBD" w14:textId="7E79D072" w:rsidR="000E1218" w:rsidRDefault="000E1218" w:rsidP="000E1218">
      <w:pPr>
        <w:pStyle w:val="ListParagraph"/>
        <w:rPr>
          <w:rFonts w:ascii="Garamond" w:hAnsi="Garamond"/>
        </w:rPr>
      </w:pPr>
    </w:p>
    <w:p w14:paraId="625FE4ED" w14:textId="45842DA2" w:rsidR="00935AE3" w:rsidRDefault="00935AE3" w:rsidP="000E1218">
      <w:pPr>
        <w:pStyle w:val="ListParagraph"/>
        <w:rPr>
          <w:rFonts w:ascii="Garamond" w:hAnsi="Garamond"/>
        </w:rPr>
      </w:pPr>
    </w:p>
    <w:p w14:paraId="2E29AE4D" w14:textId="6305B9E0" w:rsidR="00935AE3" w:rsidRDefault="00935AE3" w:rsidP="000E1218">
      <w:pPr>
        <w:pStyle w:val="ListParagraph"/>
        <w:rPr>
          <w:rFonts w:ascii="Garamond" w:hAnsi="Garamond"/>
        </w:rPr>
      </w:pPr>
    </w:p>
    <w:p w14:paraId="621C397C" w14:textId="557297E9" w:rsidR="00B96096" w:rsidRPr="00134265" w:rsidRDefault="00B96096" w:rsidP="00134265">
      <w:pPr>
        <w:pStyle w:val="Heading1"/>
        <w:shd w:val="clear" w:color="auto" w:fill="D9D9D9" w:themeFill="background1" w:themeFillShade="D9"/>
        <w:rPr>
          <w:rFonts w:ascii="Garamond" w:hAnsi="Garamond"/>
          <w:i w:val="0"/>
          <w:sz w:val="28"/>
          <w:szCs w:val="24"/>
        </w:rPr>
      </w:pPr>
      <w:bookmarkStart w:id="12" w:name="_Toc495505211"/>
      <w:bookmarkStart w:id="13" w:name="_Toc495509255"/>
      <w:bookmarkStart w:id="14" w:name="_Toc274033059"/>
      <w:bookmarkStart w:id="15" w:name="_Toc294169384"/>
      <w:bookmarkStart w:id="16" w:name="_Toc32423694"/>
      <w:bookmarkEnd w:id="3"/>
      <w:bookmarkEnd w:id="4"/>
      <w:r w:rsidRPr="00134265">
        <w:rPr>
          <w:rFonts w:ascii="Garamond" w:hAnsi="Garamond"/>
          <w:i w:val="0"/>
          <w:sz w:val="28"/>
          <w:szCs w:val="24"/>
        </w:rPr>
        <w:lastRenderedPageBreak/>
        <w:t>Ind</w:t>
      </w:r>
      <w:r w:rsidR="00B37953" w:rsidRPr="00134265">
        <w:rPr>
          <w:rFonts w:ascii="Garamond" w:hAnsi="Garamond"/>
          <w:i w:val="0"/>
          <w:sz w:val="28"/>
          <w:szCs w:val="24"/>
        </w:rPr>
        <w:t xml:space="preserve">irect </w:t>
      </w:r>
      <w:bookmarkEnd w:id="12"/>
      <w:bookmarkEnd w:id="13"/>
      <w:r w:rsidR="00B37953" w:rsidRPr="00134265">
        <w:rPr>
          <w:rFonts w:ascii="Garamond" w:hAnsi="Garamond"/>
          <w:i w:val="0"/>
          <w:sz w:val="28"/>
          <w:szCs w:val="24"/>
        </w:rPr>
        <w:t>Taxes</w:t>
      </w:r>
      <w:bookmarkEnd w:id="16"/>
    </w:p>
    <w:p w14:paraId="740CE4EF" w14:textId="65B927C6" w:rsidR="003E1331" w:rsidRPr="003E1331" w:rsidRDefault="003E1331" w:rsidP="003E1331">
      <w:pPr>
        <w:pStyle w:val="ListParagraph"/>
        <w:numPr>
          <w:ilvl w:val="0"/>
          <w:numId w:val="121"/>
        </w:numPr>
        <w:rPr>
          <w:rFonts w:ascii="Garamond" w:hAnsi="Garamond"/>
          <w:b/>
          <w:bCs/>
          <w:sz w:val="24"/>
          <w:szCs w:val="24"/>
        </w:rPr>
      </w:pPr>
      <w:r w:rsidRPr="003E1331">
        <w:rPr>
          <w:rFonts w:ascii="Garamond" w:hAnsi="Garamond"/>
          <w:b/>
          <w:bCs/>
          <w:sz w:val="24"/>
          <w:szCs w:val="24"/>
        </w:rPr>
        <w:t>Customs Duty</w:t>
      </w:r>
    </w:p>
    <w:p w14:paraId="09A04BF9" w14:textId="2A5529A6" w:rsidR="003E1331" w:rsidRPr="007F2DE3" w:rsidRDefault="003E1331" w:rsidP="007F2DE3">
      <w:pPr>
        <w:pStyle w:val="ListParagraph"/>
        <w:numPr>
          <w:ilvl w:val="1"/>
          <w:numId w:val="121"/>
        </w:numPr>
        <w:rPr>
          <w:rFonts w:ascii="Garamond" w:hAnsi="Garamond"/>
          <w:sz w:val="24"/>
          <w:szCs w:val="24"/>
        </w:rPr>
      </w:pPr>
      <w:r w:rsidRPr="003E1331">
        <w:rPr>
          <w:rFonts w:ascii="Garamond" w:hAnsi="Garamond"/>
          <w:sz w:val="24"/>
          <w:szCs w:val="24"/>
        </w:rPr>
        <w:t>BCD maintained at 10%.</w:t>
      </w:r>
    </w:p>
    <w:p w14:paraId="499EE75B" w14:textId="77777777" w:rsidR="00D852DA" w:rsidRDefault="00D852DA" w:rsidP="00D852DA">
      <w:pPr>
        <w:pStyle w:val="ListParagraph"/>
        <w:ind w:left="1440"/>
        <w:rPr>
          <w:rFonts w:ascii="Garamond" w:hAnsi="Garamond"/>
          <w:sz w:val="24"/>
          <w:szCs w:val="24"/>
          <w:lang w:val="en-IN"/>
        </w:rPr>
      </w:pPr>
    </w:p>
    <w:p w14:paraId="3C92D441" w14:textId="37FB9564" w:rsidR="008B02AA" w:rsidRPr="008B02AA" w:rsidRDefault="003E1331" w:rsidP="008B02AA">
      <w:pPr>
        <w:pStyle w:val="ListParagraph"/>
        <w:numPr>
          <w:ilvl w:val="1"/>
          <w:numId w:val="121"/>
        </w:numPr>
        <w:rPr>
          <w:rFonts w:ascii="Garamond" w:hAnsi="Garamond"/>
          <w:sz w:val="24"/>
          <w:szCs w:val="24"/>
          <w:lang w:val="en-IN"/>
        </w:rPr>
      </w:pPr>
      <w:r w:rsidRPr="003E1331">
        <w:rPr>
          <w:rFonts w:ascii="Garamond" w:hAnsi="Garamond"/>
          <w:sz w:val="24"/>
          <w:szCs w:val="24"/>
          <w:lang w:val="en-IN"/>
        </w:rPr>
        <w:t>Detailed process laid down to test compliance with Rules of Origin (ROO) under Preferential Trade Agreements</w:t>
      </w:r>
    </w:p>
    <w:p w14:paraId="40170896" w14:textId="2403B065" w:rsidR="003E1331" w:rsidRPr="007F2DE3" w:rsidRDefault="003E1331" w:rsidP="008B02AA">
      <w:pPr>
        <w:pStyle w:val="ListParagraph"/>
        <w:numPr>
          <w:ilvl w:val="2"/>
          <w:numId w:val="121"/>
        </w:numPr>
        <w:rPr>
          <w:rFonts w:ascii="Garamond" w:hAnsi="Garamond"/>
          <w:sz w:val="24"/>
          <w:szCs w:val="24"/>
        </w:rPr>
      </w:pPr>
      <w:r w:rsidRPr="003E1331">
        <w:rPr>
          <w:rFonts w:ascii="Garamond" w:hAnsi="Garamond"/>
          <w:sz w:val="24"/>
          <w:szCs w:val="24"/>
        </w:rPr>
        <w:t>Reliance on certificate of origin issued by notified authorities in exporting country no longer sufficient; importer to provide declaration of compliance, maintain proper records, and provide data to prove compliance with ROO</w:t>
      </w:r>
    </w:p>
    <w:p w14:paraId="1866CEA0" w14:textId="77777777" w:rsidR="003E1331" w:rsidRPr="007F2DE3" w:rsidRDefault="003E1331" w:rsidP="008B02AA">
      <w:pPr>
        <w:pStyle w:val="ListParagraph"/>
        <w:numPr>
          <w:ilvl w:val="2"/>
          <w:numId w:val="121"/>
        </w:numPr>
        <w:rPr>
          <w:rFonts w:ascii="Garamond" w:hAnsi="Garamond"/>
          <w:sz w:val="24"/>
          <w:szCs w:val="24"/>
        </w:rPr>
      </w:pPr>
      <w:r w:rsidRPr="003E1331">
        <w:rPr>
          <w:rFonts w:ascii="Garamond" w:hAnsi="Garamond"/>
          <w:sz w:val="24"/>
          <w:szCs w:val="24"/>
        </w:rPr>
        <w:t>Preferential trade benefits may be disallowed or temporarily suspended in case importer fails to provide requisite information for verification</w:t>
      </w:r>
    </w:p>
    <w:p w14:paraId="53D33AC8" w14:textId="3B1187DF" w:rsidR="003E1331" w:rsidRPr="007F2DE3" w:rsidRDefault="003E1331" w:rsidP="008B02AA">
      <w:pPr>
        <w:pStyle w:val="ListParagraph"/>
        <w:numPr>
          <w:ilvl w:val="2"/>
          <w:numId w:val="121"/>
        </w:numPr>
        <w:rPr>
          <w:rFonts w:ascii="Garamond" w:hAnsi="Garamond"/>
          <w:sz w:val="24"/>
          <w:szCs w:val="24"/>
        </w:rPr>
      </w:pPr>
      <w:r w:rsidRPr="003E1331">
        <w:rPr>
          <w:rFonts w:ascii="Garamond" w:hAnsi="Garamond"/>
          <w:sz w:val="24"/>
          <w:szCs w:val="24"/>
        </w:rPr>
        <w:t>In case of suspension, goods may be released subject to furnishing of security or payment of differential duty in prescribed manner</w:t>
      </w:r>
    </w:p>
    <w:p w14:paraId="5C2B15B4" w14:textId="77777777" w:rsidR="00D852DA" w:rsidRDefault="00D852DA" w:rsidP="00D852DA">
      <w:pPr>
        <w:pStyle w:val="ListParagraph"/>
        <w:ind w:left="1440"/>
        <w:rPr>
          <w:rFonts w:ascii="Garamond" w:hAnsi="Garamond"/>
          <w:sz w:val="24"/>
          <w:szCs w:val="24"/>
          <w:lang w:val="en-IN"/>
        </w:rPr>
      </w:pPr>
    </w:p>
    <w:p w14:paraId="2A96553F" w14:textId="701E7994" w:rsidR="003E1331" w:rsidRPr="007F2DE3" w:rsidRDefault="008B02AA" w:rsidP="007F2DE3">
      <w:pPr>
        <w:pStyle w:val="ListParagraph"/>
        <w:numPr>
          <w:ilvl w:val="1"/>
          <w:numId w:val="121"/>
        </w:numPr>
        <w:rPr>
          <w:rFonts w:ascii="Garamond" w:hAnsi="Garamond"/>
          <w:sz w:val="24"/>
          <w:szCs w:val="24"/>
          <w:lang w:val="en-IN"/>
        </w:rPr>
      </w:pPr>
      <w:r w:rsidRPr="008B02AA">
        <w:rPr>
          <w:rFonts w:ascii="Garamond" w:hAnsi="Garamond"/>
          <w:sz w:val="24"/>
          <w:szCs w:val="24"/>
          <w:lang w:val="en-IN"/>
        </w:rPr>
        <w:t>Power to prohibit import or export of goods for “prevention of injury to the economy of the country” was previously restricted to gold and silver; now extended to ‘all goods’</w:t>
      </w:r>
    </w:p>
    <w:p w14:paraId="3CE2A2B0" w14:textId="77777777" w:rsidR="00D852DA" w:rsidRDefault="00D852DA" w:rsidP="00D852DA">
      <w:pPr>
        <w:pStyle w:val="ListParagraph"/>
        <w:ind w:left="1440"/>
        <w:rPr>
          <w:rFonts w:ascii="Garamond" w:hAnsi="Garamond"/>
          <w:sz w:val="24"/>
          <w:szCs w:val="24"/>
        </w:rPr>
      </w:pPr>
    </w:p>
    <w:p w14:paraId="2AA53AB9" w14:textId="7BEC8CCE" w:rsidR="008B02AA" w:rsidRPr="008B02AA" w:rsidRDefault="008B02AA" w:rsidP="007F2DE3">
      <w:pPr>
        <w:pStyle w:val="ListParagraph"/>
        <w:numPr>
          <w:ilvl w:val="1"/>
          <w:numId w:val="121"/>
        </w:numPr>
        <w:rPr>
          <w:rFonts w:ascii="Garamond" w:hAnsi="Garamond"/>
          <w:sz w:val="24"/>
          <w:szCs w:val="24"/>
        </w:rPr>
      </w:pPr>
      <w:r w:rsidRPr="008B02AA">
        <w:rPr>
          <w:rFonts w:ascii="Garamond" w:hAnsi="Garamond"/>
          <w:sz w:val="24"/>
          <w:szCs w:val="24"/>
        </w:rPr>
        <w:t xml:space="preserve">Amendments made in safeguard provisions related to protection against surge in quantity of import of any article or under such conditions that causes serious injury to the domestic industry </w:t>
      </w:r>
    </w:p>
    <w:p w14:paraId="2EE1B164" w14:textId="77777777" w:rsidR="008B02AA" w:rsidRPr="008B02AA" w:rsidRDefault="008B02AA" w:rsidP="007F2DE3">
      <w:pPr>
        <w:pStyle w:val="ListParagraph"/>
        <w:numPr>
          <w:ilvl w:val="2"/>
          <w:numId w:val="121"/>
        </w:numPr>
        <w:rPr>
          <w:rFonts w:ascii="Garamond" w:hAnsi="Garamond"/>
          <w:sz w:val="24"/>
          <w:szCs w:val="24"/>
        </w:rPr>
      </w:pPr>
      <w:r w:rsidRPr="008B02AA">
        <w:rPr>
          <w:rFonts w:ascii="Garamond" w:hAnsi="Garamond"/>
          <w:sz w:val="24"/>
          <w:szCs w:val="24"/>
        </w:rPr>
        <w:t>Measures to now include application of a tariff rate quota, in addition to imposition of a safeguard duty</w:t>
      </w:r>
    </w:p>
    <w:p w14:paraId="3EA1C34C" w14:textId="77777777" w:rsidR="008B02AA" w:rsidRPr="008B02AA" w:rsidRDefault="008B02AA" w:rsidP="007F2DE3">
      <w:pPr>
        <w:pStyle w:val="ListParagraph"/>
        <w:numPr>
          <w:ilvl w:val="2"/>
          <w:numId w:val="121"/>
        </w:numPr>
        <w:rPr>
          <w:rFonts w:ascii="Garamond" w:hAnsi="Garamond"/>
          <w:sz w:val="24"/>
          <w:szCs w:val="24"/>
        </w:rPr>
      </w:pPr>
      <w:r w:rsidRPr="008B02AA">
        <w:rPr>
          <w:rFonts w:ascii="Garamond" w:hAnsi="Garamond"/>
          <w:sz w:val="24"/>
          <w:szCs w:val="24"/>
        </w:rPr>
        <w:t>Tariff rate quota measures, where used, shall not be fixed below the average level of imports in last 3 representative years unless deemed necessary</w:t>
      </w:r>
    </w:p>
    <w:p w14:paraId="47071B00" w14:textId="77777777" w:rsidR="00D852DA" w:rsidRDefault="00D852DA" w:rsidP="00D852DA">
      <w:pPr>
        <w:pStyle w:val="ListParagraph"/>
        <w:ind w:left="1440"/>
        <w:rPr>
          <w:rFonts w:ascii="Garamond" w:hAnsi="Garamond"/>
          <w:sz w:val="24"/>
          <w:szCs w:val="24"/>
        </w:rPr>
      </w:pPr>
    </w:p>
    <w:p w14:paraId="2AE3CBFE" w14:textId="5D880A7C" w:rsidR="008B02AA" w:rsidRPr="008B02AA" w:rsidRDefault="008B02AA" w:rsidP="007F2DE3">
      <w:pPr>
        <w:pStyle w:val="ListParagraph"/>
        <w:numPr>
          <w:ilvl w:val="1"/>
          <w:numId w:val="121"/>
        </w:numPr>
        <w:rPr>
          <w:rFonts w:ascii="Garamond" w:hAnsi="Garamond"/>
          <w:sz w:val="24"/>
          <w:szCs w:val="24"/>
        </w:rPr>
      </w:pPr>
      <w:r w:rsidRPr="008B02AA">
        <w:rPr>
          <w:rFonts w:ascii="Garamond" w:hAnsi="Garamond"/>
          <w:sz w:val="24"/>
          <w:szCs w:val="24"/>
        </w:rPr>
        <w:t xml:space="preserve">Anti-dumping rules made more comprehensive and wider in scope to strengthen the anti-circumvention measures </w:t>
      </w:r>
    </w:p>
    <w:p w14:paraId="01573D59" w14:textId="77777777" w:rsidR="00D852DA" w:rsidRDefault="00D852DA" w:rsidP="00D852DA">
      <w:pPr>
        <w:pStyle w:val="ListParagraph"/>
        <w:ind w:left="1440"/>
        <w:rPr>
          <w:rFonts w:ascii="Garamond" w:hAnsi="Garamond"/>
          <w:sz w:val="24"/>
          <w:szCs w:val="24"/>
        </w:rPr>
      </w:pPr>
    </w:p>
    <w:p w14:paraId="3DAE893F" w14:textId="76A3B4AD" w:rsidR="008B02AA" w:rsidRPr="007F2DE3" w:rsidRDefault="008B02AA" w:rsidP="007F2DE3">
      <w:pPr>
        <w:pStyle w:val="ListParagraph"/>
        <w:numPr>
          <w:ilvl w:val="1"/>
          <w:numId w:val="121"/>
        </w:numPr>
        <w:rPr>
          <w:rFonts w:ascii="Garamond" w:hAnsi="Garamond"/>
          <w:sz w:val="24"/>
          <w:szCs w:val="24"/>
        </w:rPr>
      </w:pPr>
      <w:r w:rsidRPr="008B02AA">
        <w:rPr>
          <w:rFonts w:ascii="Garamond" w:hAnsi="Garamond"/>
          <w:sz w:val="24"/>
          <w:szCs w:val="24"/>
        </w:rPr>
        <w:t>Amendments made to rules related to countervailing duty on subsidized articles to enable investigation into cases of circumvention of such duties</w:t>
      </w:r>
    </w:p>
    <w:p w14:paraId="4995FFD6" w14:textId="77777777" w:rsidR="00D852DA" w:rsidRPr="00D852DA" w:rsidRDefault="00D852DA" w:rsidP="00D852DA">
      <w:pPr>
        <w:pStyle w:val="ListParagraph"/>
        <w:ind w:left="1440"/>
        <w:rPr>
          <w:rFonts w:ascii="Garamond" w:hAnsi="Garamond"/>
          <w:sz w:val="24"/>
          <w:szCs w:val="24"/>
        </w:rPr>
      </w:pPr>
    </w:p>
    <w:p w14:paraId="1E0F7874" w14:textId="0AD93369" w:rsidR="008B02AA" w:rsidRPr="007F2DE3" w:rsidRDefault="008B02AA" w:rsidP="007F2DE3">
      <w:pPr>
        <w:pStyle w:val="ListParagraph"/>
        <w:numPr>
          <w:ilvl w:val="1"/>
          <w:numId w:val="121"/>
        </w:numPr>
        <w:rPr>
          <w:rFonts w:ascii="Garamond" w:hAnsi="Garamond"/>
          <w:sz w:val="24"/>
          <w:szCs w:val="24"/>
        </w:rPr>
      </w:pPr>
      <w:r w:rsidRPr="008B02AA">
        <w:rPr>
          <w:rFonts w:ascii="Garamond" w:hAnsi="Garamond"/>
          <w:sz w:val="24"/>
          <w:szCs w:val="24"/>
          <w:lang w:val="en-IN"/>
        </w:rPr>
        <w:t>Health cess of 5% imposed with effect from 2 February 2020 on import of various medical devices falling under CTH 9018, 9019, 9020, 9021 and 9022</w:t>
      </w:r>
      <w:r w:rsidRPr="007F2DE3">
        <w:rPr>
          <w:rFonts w:ascii="Garamond" w:hAnsi="Garamond"/>
          <w:sz w:val="24"/>
          <w:szCs w:val="24"/>
          <w:lang w:val="en-IN"/>
        </w:rPr>
        <w:t xml:space="preserve">. </w:t>
      </w:r>
      <w:r w:rsidRPr="007F2DE3">
        <w:rPr>
          <w:rFonts w:ascii="Garamond" w:hAnsi="Garamond"/>
          <w:sz w:val="24"/>
          <w:szCs w:val="24"/>
        </w:rPr>
        <w:t>To be levied as duty of Customs</w:t>
      </w:r>
    </w:p>
    <w:p w14:paraId="6CD5AF73" w14:textId="77777777" w:rsidR="00D852DA" w:rsidRDefault="00D852DA" w:rsidP="00D852DA">
      <w:pPr>
        <w:pStyle w:val="ListParagraph"/>
        <w:ind w:left="1440"/>
        <w:rPr>
          <w:rFonts w:ascii="Garamond" w:hAnsi="Garamond"/>
          <w:sz w:val="24"/>
          <w:szCs w:val="24"/>
        </w:rPr>
      </w:pPr>
    </w:p>
    <w:p w14:paraId="70103237" w14:textId="1A849F08" w:rsidR="008B02AA" w:rsidRPr="008B02AA" w:rsidRDefault="008B02AA" w:rsidP="007F2DE3">
      <w:pPr>
        <w:pStyle w:val="ListParagraph"/>
        <w:numPr>
          <w:ilvl w:val="1"/>
          <w:numId w:val="121"/>
        </w:numPr>
        <w:rPr>
          <w:rFonts w:ascii="Garamond" w:hAnsi="Garamond"/>
          <w:sz w:val="24"/>
          <w:szCs w:val="24"/>
        </w:rPr>
      </w:pPr>
      <w:r w:rsidRPr="008B02AA">
        <w:rPr>
          <w:rFonts w:ascii="Garamond" w:hAnsi="Garamond"/>
          <w:sz w:val="24"/>
          <w:szCs w:val="24"/>
        </w:rPr>
        <w:t>Social Welfare Surcharge exempted on certain goods</w:t>
      </w:r>
    </w:p>
    <w:p w14:paraId="53EAA4C1" w14:textId="54D3C404" w:rsidR="008B02AA" w:rsidRPr="007F2DE3" w:rsidRDefault="008B02AA" w:rsidP="007F2DE3">
      <w:pPr>
        <w:pStyle w:val="ListParagraph"/>
        <w:numPr>
          <w:ilvl w:val="2"/>
          <w:numId w:val="121"/>
        </w:numPr>
        <w:rPr>
          <w:rFonts w:ascii="Garamond" w:hAnsi="Garamond"/>
          <w:sz w:val="24"/>
          <w:szCs w:val="24"/>
        </w:rPr>
      </w:pPr>
      <w:r w:rsidRPr="008B02AA">
        <w:rPr>
          <w:rFonts w:ascii="Garamond" w:hAnsi="Garamond"/>
          <w:sz w:val="24"/>
          <w:szCs w:val="24"/>
        </w:rPr>
        <w:t>including all commercial vehicles (including electrical vehicles), if imported in CBU</w:t>
      </w:r>
    </w:p>
    <w:p w14:paraId="6CA288DA" w14:textId="77777777" w:rsidR="008B02AA" w:rsidRPr="008B02AA" w:rsidRDefault="008B02AA" w:rsidP="007F2DE3">
      <w:pPr>
        <w:pStyle w:val="ListParagraph"/>
        <w:numPr>
          <w:ilvl w:val="1"/>
          <w:numId w:val="121"/>
        </w:numPr>
        <w:rPr>
          <w:rFonts w:ascii="Garamond" w:hAnsi="Garamond"/>
          <w:sz w:val="24"/>
          <w:szCs w:val="24"/>
          <w:lang w:val="en-IN"/>
        </w:rPr>
      </w:pPr>
      <w:r w:rsidRPr="008B02AA">
        <w:rPr>
          <w:rFonts w:ascii="Garamond" w:hAnsi="Garamond"/>
          <w:sz w:val="24"/>
          <w:szCs w:val="24"/>
          <w:lang w:val="en-IN"/>
        </w:rPr>
        <w:lastRenderedPageBreak/>
        <w:t>Social Welfare Surcharge exemption withdrawn in case of certain goods covered under Chapter 84 and Chapter 85</w:t>
      </w:r>
    </w:p>
    <w:p w14:paraId="3609660A" w14:textId="77777777" w:rsidR="00D852DA" w:rsidRDefault="00D852DA" w:rsidP="00D852DA">
      <w:pPr>
        <w:pStyle w:val="ListParagraph"/>
        <w:ind w:left="1440"/>
        <w:rPr>
          <w:rFonts w:ascii="Garamond" w:hAnsi="Garamond"/>
          <w:sz w:val="24"/>
          <w:szCs w:val="24"/>
          <w:lang w:val="en-IN"/>
        </w:rPr>
      </w:pPr>
    </w:p>
    <w:p w14:paraId="7D229998" w14:textId="5CB8BBCC" w:rsidR="008B02AA" w:rsidRPr="007F2DE3" w:rsidRDefault="008B02AA" w:rsidP="007F2DE3">
      <w:pPr>
        <w:pStyle w:val="ListParagraph"/>
        <w:numPr>
          <w:ilvl w:val="1"/>
          <w:numId w:val="121"/>
        </w:numPr>
        <w:rPr>
          <w:rFonts w:ascii="Garamond" w:hAnsi="Garamond"/>
          <w:sz w:val="24"/>
          <w:szCs w:val="24"/>
          <w:lang w:val="en-IN"/>
        </w:rPr>
      </w:pPr>
      <w:r w:rsidRPr="008B02AA">
        <w:rPr>
          <w:rFonts w:ascii="Garamond" w:hAnsi="Garamond"/>
          <w:sz w:val="24"/>
          <w:szCs w:val="24"/>
          <w:lang w:val="en-IN"/>
        </w:rPr>
        <w:t>Amendments introduced to Customs Tariff Act, to enable application of safeguard measures including tariff rate quota, in order to curb increased quantity of imports of goods which causes or threatens to clause serious injury to domestic industry</w:t>
      </w:r>
    </w:p>
    <w:p w14:paraId="0654947D" w14:textId="77777777" w:rsidR="00D852DA" w:rsidRDefault="00D852DA" w:rsidP="00D852DA">
      <w:pPr>
        <w:pStyle w:val="ListParagraph"/>
        <w:ind w:left="1440"/>
        <w:rPr>
          <w:rFonts w:ascii="Garamond" w:hAnsi="Garamond"/>
          <w:sz w:val="24"/>
          <w:szCs w:val="24"/>
        </w:rPr>
      </w:pPr>
    </w:p>
    <w:p w14:paraId="50F598BF" w14:textId="219C5AD0" w:rsidR="007F2DE3" w:rsidRPr="007F2DE3" w:rsidRDefault="007F2DE3" w:rsidP="007F2DE3">
      <w:pPr>
        <w:pStyle w:val="ListParagraph"/>
        <w:numPr>
          <w:ilvl w:val="1"/>
          <w:numId w:val="121"/>
        </w:numPr>
        <w:rPr>
          <w:rFonts w:ascii="Garamond" w:hAnsi="Garamond"/>
          <w:sz w:val="24"/>
          <w:szCs w:val="24"/>
        </w:rPr>
      </w:pPr>
      <w:r w:rsidRPr="007F2DE3">
        <w:rPr>
          <w:rFonts w:ascii="Garamond" w:hAnsi="Garamond"/>
          <w:sz w:val="24"/>
          <w:szCs w:val="24"/>
        </w:rPr>
        <w:t xml:space="preserve">Electric motor vehicles to attract higher duties for CBU, SKD and CKD </w:t>
      </w:r>
      <w:proofErr w:type="spellStart"/>
      <w:r w:rsidRPr="007F2DE3">
        <w:rPr>
          <w:rFonts w:ascii="Garamond" w:hAnsi="Garamond"/>
          <w:sz w:val="24"/>
          <w:szCs w:val="24"/>
        </w:rPr>
        <w:t>wef</w:t>
      </w:r>
      <w:proofErr w:type="spellEnd"/>
      <w:r w:rsidRPr="007F2DE3">
        <w:rPr>
          <w:rFonts w:ascii="Garamond" w:hAnsi="Garamond"/>
          <w:sz w:val="24"/>
          <w:szCs w:val="24"/>
        </w:rPr>
        <w:t xml:space="preserve"> 1 April 2020</w:t>
      </w:r>
    </w:p>
    <w:p w14:paraId="766BD6B1" w14:textId="77777777" w:rsidR="00D852DA" w:rsidRDefault="00D852DA" w:rsidP="00D852DA">
      <w:pPr>
        <w:pStyle w:val="ListParagraph"/>
        <w:ind w:left="1440"/>
        <w:rPr>
          <w:rFonts w:ascii="Garamond" w:hAnsi="Garamond"/>
          <w:sz w:val="24"/>
          <w:szCs w:val="24"/>
        </w:rPr>
      </w:pPr>
    </w:p>
    <w:p w14:paraId="1FEE262D" w14:textId="75D1385A" w:rsidR="007F2DE3" w:rsidRPr="007F2DE3" w:rsidRDefault="007F2DE3" w:rsidP="007F2DE3">
      <w:pPr>
        <w:pStyle w:val="ListParagraph"/>
        <w:numPr>
          <w:ilvl w:val="1"/>
          <w:numId w:val="121"/>
        </w:numPr>
        <w:rPr>
          <w:rFonts w:ascii="Garamond" w:hAnsi="Garamond"/>
          <w:sz w:val="24"/>
          <w:szCs w:val="24"/>
        </w:rPr>
      </w:pPr>
      <w:r w:rsidRPr="007F2DE3">
        <w:rPr>
          <w:rFonts w:ascii="Garamond" w:hAnsi="Garamond"/>
          <w:sz w:val="24"/>
          <w:szCs w:val="24"/>
        </w:rPr>
        <w:t xml:space="preserve">BCD increased on dairy products </w:t>
      </w:r>
    </w:p>
    <w:p w14:paraId="18E350C9" w14:textId="77777777" w:rsidR="00D852DA" w:rsidRDefault="00D852DA" w:rsidP="00D852DA">
      <w:pPr>
        <w:pStyle w:val="ListParagraph"/>
        <w:ind w:left="1440"/>
        <w:rPr>
          <w:rFonts w:ascii="Garamond" w:hAnsi="Garamond"/>
          <w:sz w:val="24"/>
          <w:szCs w:val="24"/>
        </w:rPr>
      </w:pPr>
    </w:p>
    <w:p w14:paraId="61AEAC38" w14:textId="22184A33" w:rsidR="007F2DE3" w:rsidRPr="007F2DE3" w:rsidRDefault="007F2DE3" w:rsidP="007F2DE3">
      <w:pPr>
        <w:pStyle w:val="ListParagraph"/>
        <w:numPr>
          <w:ilvl w:val="1"/>
          <w:numId w:val="121"/>
        </w:numPr>
        <w:rPr>
          <w:rFonts w:ascii="Garamond" w:hAnsi="Garamond"/>
          <w:sz w:val="24"/>
          <w:szCs w:val="24"/>
        </w:rPr>
      </w:pPr>
      <w:r w:rsidRPr="007F2DE3">
        <w:rPr>
          <w:rFonts w:ascii="Garamond" w:hAnsi="Garamond"/>
          <w:sz w:val="24"/>
          <w:szCs w:val="24"/>
        </w:rPr>
        <w:t>Imported toys, dolls to attract 60% BCD</w:t>
      </w:r>
    </w:p>
    <w:p w14:paraId="616C936B" w14:textId="77777777" w:rsidR="00D852DA" w:rsidRDefault="00D852DA" w:rsidP="00D852DA">
      <w:pPr>
        <w:pStyle w:val="ListParagraph"/>
        <w:ind w:left="1440"/>
        <w:rPr>
          <w:rFonts w:ascii="Garamond" w:hAnsi="Garamond"/>
          <w:sz w:val="24"/>
          <w:szCs w:val="24"/>
        </w:rPr>
      </w:pPr>
    </w:p>
    <w:p w14:paraId="2C0A3A28" w14:textId="639EE2B8" w:rsidR="007F2DE3" w:rsidRPr="007F2DE3" w:rsidRDefault="007F2DE3" w:rsidP="007F2DE3">
      <w:pPr>
        <w:pStyle w:val="ListParagraph"/>
        <w:numPr>
          <w:ilvl w:val="1"/>
          <w:numId w:val="121"/>
        </w:numPr>
        <w:rPr>
          <w:rFonts w:ascii="Garamond" w:hAnsi="Garamond"/>
          <w:sz w:val="24"/>
          <w:szCs w:val="24"/>
        </w:rPr>
      </w:pPr>
      <w:r w:rsidRPr="007F2DE3">
        <w:rPr>
          <w:rFonts w:ascii="Garamond" w:hAnsi="Garamond"/>
          <w:sz w:val="24"/>
          <w:szCs w:val="24"/>
        </w:rPr>
        <w:t>Furniture from 20% to 25%</w:t>
      </w:r>
    </w:p>
    <w:p w14:paraId="15CCD0B1" w14:textId="77777777" w:rsidR="00D852DA" w:rsidRDefault="00D852DA" w:rsidP="00D852DA">
      <w:pPr>
        <w:pStyle w:val="ListParagraph"/>
        <w:ind w:left="1440"/>
        <w:rPr>
          <w:rFonts w:ascii="Garamond" w:hAnsi="Garamond"/>
          <w:sz w:val="24"/>
          <w:szCs w:val="24"/>
        </w:rPr>
      </w:pPr>
    </w:p>
    <w:p w14:paraId="36FD6F07" w14:textId="582157E1" w:rsidR="008B02AA" w:rsidRPr="00D852DA" w:rsidRDefault="007F2DE3" w:rsidP="00D852DA">
      <w:pPr>
        <w:pStyle w:val="ListParagraph"/>
        <w:numPr>
          <w:ilvl w:val="1"/>
          <w:numId w:val="121"/>
        </w:numPr>
        <w:rPr>
          <w:rFonts w:ascii="Garamond" w:hAnsi="Garamond"/>
          <w:sz w:val="24"/>
          <w:szCs w:val="24"/>
        </w:rPr>
      </w:pPr>
      <w:r w:rsidRPr="007F2DE3">
        <w:rPr>
          <w:rFonts w:ascii="Garamond" w:hAnsi="Garamond"/>
          <w:sz w:val="24"/>
          <w:szCs w:val="24"/>
        </w:rPr>
        <w:t>Exemptions withdrawn/ rates revised for parts and components of products, including for mobile phones, refrigerators, air conditioners, printers etc</w:t>
      </w:r>
    </w:p>
    <w:p w14:paraId="5B13A485" w14:textId="33992514" w:rsidR="008B02AA" w:rsidRPr="007F2DE3" w:rsidRDefault="008B02AA" w:rsidP="008B02AA">
      <w:pPr>
        <w:pStyle w:val="ListParagraph"/>
        <w:numPr>
          <w:ilvl w:val="0"/>
          <w:numId w:val="121"/>
        </w:numPr>
        <w:rPr>
          <w:rFonts w:ascii="Garamond" w:hAnsi="Garamond"/>
          <w:b/>
          <w:bCs/>
          <w:sz w:val="24"/>
          <w:szCs w:val="24"/>
        </w:rPr>
      </w:pPr>
      <w:r w:rsidRPr="007F2DE3">
        <w:rPr>
          <w:rFonts w:ascii="Garamond" w:hAnsi="Garamond"/>
          <w:b/>
          <w:bCs/>
          <w:sz w:val="24"/>
          <w:szCs w:val="24"/>
        </w:rPr>
        <w:t>GST</w:t>
      </w:r>
    </w:p>
    <w:p w14:paraId="3D34AC40" w14:textId="77777777" w:rsidR="008B02AA" w:rsidRPr="008B02AA" w:rsidRDefault="008B02AA" w:rsidP="008B02AA">
      <w:pPr>
        <w:pStyle w:val="ListParagraph"/>
        <w:numPr>
          <w:ilvl w:val="1"/>
          <w:numId w:val="121"/>
        </w:numPr>
        <w:rPr>
          <w:rFonts w:ascii="Garamond" w:hAnsi="Garamond"/>
          <w:sz w:val="24"/>
          <w:szCs w:val="24"/>
          <w:lang w:val="en-IN"/>
        </w:rPr>
      </w:pPr>
      <w:r w:rsidRPr="008B02AA">
        <w:rPr>
          <w:rFonts w:ascii="Garamond" w:hAnsi="Garamond"/>
          <w:sz w:val="24"/>
          <w:szCs w:val="24"/>
          <w:lang w:val="en-IN"/>
        </w:rPr>
        <w:t xml:space="preserve">Enabling provisions inserted for cancellation of voluntary registrations by GST authorities </w:t>
      </w:r>
    </w:p>
    <w:p w14:paraId="1C0A864E" w14:textId="77777777" w:rsidR="00D852DA" w:rsidRDefault="00D852DA" w:rsidP="00D852DA">
      <w:pPr>
        <w:pStyle w:val="ListParagraph"/>
        <w:ind w:left="1440"/>
        <w:rPr>
          <w:rFonts w:ascii="Garamond" w:hAnsi="Garamond"/>
          <w:sz w:val="24"/>
          <w:szCs w:val="24"/>
          <w:lang w:val="en-IN"/>
        </w:rPr>
      </w:pPr>
    </w:p>
    <w:p w14:paraId="4D4D9AB6" w14:textId="12352649" w:rsidR="008B02AA" w:rsidRPr="008B02AA" w:rsidRDefault="008B02AA" w:rsidP="008B02AA">
      <w:pPr>
        <w:pStyle w:val="ListParagraph"/>
        <w:numPr>
          <w:ilvl w:val="1"/>
          <w:numId w:val="121"/>
        </w:numPr>
        <w:rPr>
          <w:rFonts w:ascii="Garamond" w:hAnsi="Garamond"/>
          <w:sz w:val="24"/>
          <w:szCs w:val="24"/>
          <w:lang w:val="en-IN"/>
        </w:rPr>
      </w:pPr>
      <w:r w:rsidRPr="008B02AA">
        <w:rPr>
          <w:rFonts w:ascii="Garamond" w:hAnsi="Garamond"/>
          <w:sz w:val="24"/>
          <w:szCs w:val="24"/>
          <w:lang w:val="en-IN"/>
        </w:rPr>
        <w:t>Delay in application for revocation of cancellation of registrations can be condoned for a cumulative period of 60 days</w:t>
      </w:r>
    </w:p>
    <w:p w14:paraId="1DEF83C0" w14:textId="77777777" w:rsidR="00D852DA" w:rsidRDefault="00D852DA" w:rsidP="00D852DA">
      <w:pPr>
        <w:pStyle w:val="ListParagraph"/>
        <w:ind w:left="1440"/>
        <w:rPr>
          <w:rFonts w:ascii="Garamond" w:hAnsi="Garamond"/>
          <w:sz w:val="24"/>
          <w:szCs w:val="24"/>
          <w:lang w:val="en-IN"/>
        </w:rPr>
      </w:pPr>
    </w:p>
    <w:p w14:paraId="50D71B3D" w14:textId="5D5195DF" w:rsidR="008B02AA" w:rsidRPr="008B02AA" w:rsidRDefault="008B02AA" w:rsidP="008B02AA">
      <w:pPr>
        <w:pStyle w:val="ListParagraph"/>
        <w:numPr>
          <w:ilvl w:val="1"/>
          <w:numId w:val="121"/>
        </w:numPr>
        <w:rPr>
          <w:rFonts w:ascii="Garamond" w:hAnsi="Garamond"/>
          <w:sz w:val="24"/>
          <w:szCs w:val="24"/>
          <w:lang w:val="en-IN"/>
        </w:rPr>
      </w:pPr>
      <w:r w:rsidRPr="008B02AA">
        <w:rPr>
          <w:rFonts w:ascii="Garamond" w:hAnsi="Garamond"/>
          <w:sz w:val="24"/>
          <w:szCs w:val="24"/>
          <w:lang w:val="en-IN"/>
        </w:rPr>
        <w:t>Removal of difficulty orders can now be issued up to 30 June 202</w:t>
      </w:r>
      <w:r w:rsidRPr="007F2DE3">
        <w:rPr>
          <w:rFonts w:ascii="Garamond" w:hAnsi="Garamond"/>
          <w:sz w:val="24"/>
          <w:szCs w:val="24"/>
          <w:lang w:val="en-IN"/>
        </w:rPr>
        <w:t>2</w:t>
      </w:r>
    </w:p>
    <w:p w14:paraId="3462816A" w14:textId="77777777" w:rsidR="00D852DA" w:rsidRDefault="00D852DA" w:rsidP="00D852DA">
      <w:pPr>
        <w:pStyle w:val="ListParagraph"/>
        <w:ind w:left="1440"/>
        <w:rPr>
          <w:rFonts w:ascii="Garamond" w:hAnsi="Garamond"/>
          <w:sz w:val="24"/>
          <w:szCs w:val="24"/>
          <w:lang w:val="en-IN"/>
        </w:rPr>
      </w:pPr>
    </w:p>
    <w:p w14:paraId="053D2388" w14:textId="089E1A45" w:rsidR="008B02AA" w:rsidRPr="008B02AA" w:rsidRDefault="008B02AA" w:rsidP="008B02AA">
      <w:pPr>
        <w:pStyle w:val="ListParagraph"/>
        <w:numPr>
          <w:ilvl w:val="1"/>
          <w:numId w:val="121"/>
        </w:numPr>
        <w:rPr>
          <w:rFonts w:ascii="Garamond" w:hAnsi="Garamond"/>
          <w:sz w:val="24"/>
          <w:szCs w:val="24"/>
          <w:lang w:val="en-IN"/>
        </w:rPr>
      </w:pPr>
      <w:r w:rsidRPr="008B02AA">
        <w:rPr>
          <w:rFonts w:ascii="Garamond" w:hAnsi="Garamond"/>
          <w:sz w:val="24"/>
          <w:szCs w:val="24"/>
          <w:lang w:val="en-IN"/>
        </w:rPr>
        <w:t xml:space="preserve">Eligibility criteria under composition scheme to apply equally for goods as well as services </w:t>
      </w:r>
    </w:p>
    <w:p w14:paraId="4FB0D7E7" w14:textId="77777777" w:rsidR="00D852DA" w:rsidRDefault="00D852DA" w:rsidP="00D852DA">
      <w:pPr>
        <w:pStyle w:val="ListParagraph"/>
        <w:ind w:left="1440"/>
        <w:rPr>
          <w:rFonts w:ascii="Garamond" w:hAnsi="Garamond"/>
          <w:sz w:val="24"/>
          <w:szCs w:val="24"/>
          <w:lang w:val="en-IN"/>
        </w:rPr>
      </w:pPr>
    </w:p>
    <w:p w14:paraId="20A7C760" w14:textId="420B89C3" w:rsidR="008B02AA" w:rsidRPr="007F2DE3" w:rsidRDefault="008B02AA" w:rsidP="008B02AA">
      <w:pPr>
        <w:pStyle w:val="ListParagraph"/>
        <w:numPr>
          <w:ilvl w:val="1"/>
          <w:numId w:val="121"/>
        </w:numPr>
        <w:rPr>
          <w:rFonts w:ascii="Garamond" w:hAnsi="Garamond"/>
          <w:sz w:val="24"/>
          <w:szCs w:val="24"/>
          <w:lang w:val="en-IN"/>
        </w:rPr>
      </w:pPr>
      <w:r w:rsidRPr="008B02AA">
        <w:rPr>
          <w:rFonts w:ascii="Garamond" w:hAnsi="Garamond"/>
          <w:sz w:val="24"/>
          <w:szCs w:val="24"/>
          <w:lang w:val="en-IN"/>
        </w:rPr>
        <w:t>100% penalty to be imposed on persons retaining benefit of certain transactions and at whose instance such transactions are conducted</w:t>
      </w:r>
      <w:r w:rsidR="007F2DE3" w:rsidRPr="007F2DE3">
        <w:rPr>
          <w:rFonts w:ascii="Garamond" w:hAnsi="Garamond"/>
          <w:sz w:val="24"/>
          <w:szCs w:val="24"/>
          <w:lang w:val="en-IN"/>
        </w:rPr>
        <w:t xml:space="preserve"> </w:t>
      </w:r>
      <w:r w:rsidRPr="008B02AA">
        <w:rPr>
          <w:rFonts w:ascii="Garamond" w:hAnsi="Garamond"/>
          <w:sz w:val="24"/>
          <w:szCs w:val="24"/>
          <w:lang w:val="en-IN"/>
        </w:rPr>
        <w:t xml:space="preserve">supplies without or with false invoices, invoices in violation of provisions of GST laws, supplies without provision of goods or services, etc. </w:t>
      </w:r>
    </w:p>
    <w:p w14:paraId="0E55DC17" w14:textId="77777777" w:rsidR="007F2DE3" w:rsidRPr="007F2DE3" w:rsidRDefault="007F2DE3" w:rsidP="007F2DE3">
      <w:pPr>
        <w:pStyle w:val="ListParagraph"/>
        <w:rPr>
          <w:rFonts w:ascii="Garamond" w:hAnsi="Garamond"/>
          <w:sz w:val="24"/>
          <w:szCs w:val="24"/>
        </w:rPr>
      </w:pPr>
    </w:p>
    <w:p w14:paraId="75C50792" w14:textId="01755BF8" w:rsidR="007F2DE3" w:rsidRPr="007F2DE3" w:rsidRDefault="007F2DE3" w:rsidP="007F2DE3">
      <w:pPr>
        <w:pStyle w:val="ListParagraph"/>
        <w:numPr>
          <w:ilvl w:val="0"/>
          <w:numId w:val="121"/>
        </w:numPr>
        <w:rPr>
          <w:rFonts w:ascii="Garamond" w:hAnsi="Garamond"/>
          <w:b/>
          <w:bCs/>
          <w:sz w:val="24"/>
          <w:szCs w:val="24"/>
        </w:rPr>
      </w:pPr>
      <w:r w:rsidRPr="007F2DE3">
        <w:rPr>
          <w:rFonts w:ascii="Garamond" w:hAnsi="Garamond"/>
          <w:b/>
          <w:bCs/>
          <w:sz w:val="24"/>
          <w:szCs w:val="24"/>
        </w:rPr>
        <w:t>GST compliances</w:t>
      </w:r>
    </w:p>
    <w:p w14:paraId="55E53399" w14:textId="77777777" w:rsidR="007F2DE3" w:rsidRPr="007F2DE3" w:rsidRDefault="007F2DE3" w:rsidP="007F2DE3">
      <w:pPr>
        <w:pStyle w:val="ListParagraph"/>
        <w:numPr>
          <w:ilvl w:val="1"/>
          <w:numId w:val="121"/>
        </w:numPr>
        <w:rPr>
          <w:rFonts w:ascii="Garamond" w:hAnsi="Garamond"/>
          <w:sz w:val="24"/>
          <w:szCs w:val="24"/>
        </w:rPr>
      </w:pPr>
      <w:r w:rsidRPr="007F2DE3">
        <w:rPr>
          <w:rFonts w:ascii="Garamond" w:hAnsi="Garamond"/>
          <w:sz w:val="24"/>
          <w:szCs w:val="24"/>
        </w:rPr>
        <w:t>Introduction of new return regime with effect from 1 April 2020, reiterated</w:t>
      </w:r>
    </w:p>
    <w:p w14:paraId="230CBE2C" w14:textId="77777777" w:rsidR="007F2DE3" w:rsidRPr="007F2DE3" w:rsidRDefault="007F2DE3" w:rsidP="007F2DE3">
      <w:pPr>
        <w:pStyle w:val="ListParagraph"/>
        <w:numPr>
          <w:ilvl w:val="1"/>
          <w:numId w:val="121"/>
        </w:numPr>
        <w:rPr>
          <w:rFonts w:ascii="Garamond" w:hAnsi="Garamond"/>
          <w:sz w:val="24"/>
          <w:szCs w:val="24"/>
        </w:rPr>
      </w:pPr>
      <w:r w:rsidRPr="007F2DE3">
        <w:rPr>
          <w:rFonts w:ascii="Garamond" w:hAnsi="Garamond"/>
          <w:sz w:val="24"/>
          <w:szCs w:val="24"/>
        </w:rPr>
        <w:t>E-invoicing regime proposed to be implemented in a phased manner</w:t>
      </w:r>
    </w:p>
    <w:p w14:paraId="4FC2D831" w14:textId="77777777" w:rsidR="007F2DE3" w:rsidRPr="008B02AA" w:rsidRDefault="007F2DE3" w:rsidP="007F2DE3">
      <w:pPr>
        <w:pStyle w:val="ListParagraph"/>
        <w:ind w:left="1440"/>
        <w:rPr>
          <w:rFonts w:ascii="Garamond" w:hAnsi="Garamond"/>
          <w:lang w:val="en-IN"/>
        </w:rPr>
      </w:pPr>
    </w:p>
    <w:p w14:paraId="15303953" w14:textId="77777777" w:rsidR="008B02AA" w:rsidRPr="008B02AA" w:rsidRDefault="008B02AA" w:rsidP="007F2DE3">
      <w:pPr>
        <w:pStyle w:val="ListParagraph"/>
        <w:ind w:left="1440"/>
        <w:rPr>
          <w:rFonts w:ascii="Garamond" w:hAnsi="Garamond"/>
          <w:b/>
          <w:bCs/>
          <w:sz w:val="24"/>
          <w:szCs w:val="24"/>
        </w:rPr>
      </w:pPr>
    </w:p>
    <w:p w14:paraId="6C600B58" w14:textId="78542E68" w:rsidR="008B02AA" w:rsidRPr="008B02AA" w:rsidRDefault="008B02AA" w:rsidP="008B02AA">
      <w:pPr>
        <w:rPr>
          <w:rFonts w:ascii="Garamond" w:eastAsia="Arial" w:hAnsi="Garamond"/>
        </w:rPr>
      </w:pPr>
    </w:p>
    <w:bookmarkEnd w:id="14"/>
    <w:bookmarkEnd w:id="15"/>
    <w:p w14:paraId="3FBE06E8" w14:textId="77777777" w:rsidR="006F1702" w:rsidRPr="00FC4580" w:rsidRDefault="006F1702" w:rsidP="00556DAB">
      <w:pPr>
        <w:pBdr>
          <w:bottom w:val="single" w:sz="4" w:space="1" w:color="auto"/>
        </w:pBdr>
        <w:jc w:val="both"/>
        <w:rPr>
          <w:rFonts w:ascii="Garamond" w:hAnsi="Garamond"/>
          <w:b/>
        </w:rPr>
      </w:pPr>
    </w:p>
    <w:p w14:paraId="1CD8CDC7" w14:textId="0FC62675" w:rsidR="00556DAB" w:rsidRPr="00FC4580" w:rsidRDefault="00556DAB" w:rsidP="00556DAB">
      <w:pPr>
        <w:pBdr>
          <w:bottom w:val="single" w:sz="4" w:space="1" w:color="auto"/>
        </w:pBdr>
        <w:jc w:val="both"/>
        <w:rPr>
          <w:rFonts w:ascii="Garamond" w:hAnsi="Garamond"/>
          <w:b/>
        </w:rPr>
      </w:pPr>
      <w:r w:rsidRPr="00FC4580">
        <w:rPr>
          <w:rFonts w:ascii="Garamond" w:hAnsi="Garamond"/>
          <w:b/>
        </w:rPr>
        <w:t xml:space="preserve">Notes </w:t>
      </w:r>
    </w:p>
    <w:p w14:paraId="445B0177" w14:textId="77777777" w:rsidR="00556DAB" w:rsidRPr="00FC4580" w:rsidRDefault="00556DAB" w:rsidP="00556DAB">
      <w:pPr>
        <w:rPr>
          <w:rFonts w:ascii="Garamond" w:hAnsi="Garamond"/>
        </w:rPr>
      </w:pPr>
    </w:p>
    <w:p w14:paraId="72541894" w14:textId="77777777" w:rsidR="00556DAB" w:rsidRPr="00FC4580" w:rsidRDefault="00556DAB" w:rsidP="00556DAB">
      <w:pPr>
        <w:rPr>
          <w:rFonts w:ascii="Garamond" w:hAnsi="Garamond"/>
        </w:rPr>
      </w:pPr>
    </w:p>
    <w:p w14:paraId="1F3FEA9E" w14:textId="50BEB435" w:rsidR="00375A41" w:rsidRPr="00FC4580" w:rsidRDefault="00375A41">
      <w:pPr>
        <w:rPr>
          <w:rFonts w:ascii="Garamond" w:hAnsi="Garamond"/>
        </w:rPr>
      </w:pPr>
      <w:r w:rsidRPr="00FC4580">
        <w:rPr>
          <w:rFonts w:ascii="Garamond" w:hAnsi="Garamond"/>
        </w:rPr>
        <w:br w:type="page"/>
      </w:r>
    </w:p>
    <w:p w14:paraId="058A6FF2" w14:textId="77777777" w:rsidR="00375A41" w:rsidRPr="00FC4580" w:rsidRDefault="00375A41" w:rsidP="00375A41">
      <w:pPr>
        <w:pBdr>
          <w:bottom w:val="single" w:sz="4" w:space="1" w:color="auto"/>
        </w:pBdr>
        <w:jc w:val="both"/>
        <w:rPr>
          <w:rFonts w:ascii="Garamond" w:hAnsi="Garamond"/>
          <w:b/>
        </w:rPr>
      </w:pPr>
      <w:r w:rsidRPr="00FC4580">
        <w:rPr>
          <w:rFonts w:ascii="Garamond" w:hAnsi="Garamond"/>
          <w:b/>
        </w:rPr>
        <w:lastRenderedPageBreak/>
        <w:t xml:space="preserve">Notes </w:t>
      </w:r>
    </w:p>
    <w:sectPr w:rsidR="00375A41" w:rsidRPr="00FC4580" w:rsidSect="00FA6F31">
      <w:headerReference w:type="default" r:id="rId13"/>
      <w:headerReference w:type="first" r:id="rId14"/>
      <w:footerReference w:type="first" r:id="rId15"/>
      <w:pgSz w:w="16839" w:h="11907" w:orient="landscape" w:code="9"/>
      <w:pgMar w:top="1048" w:right="1440" w:bottom="1350" w:left="1440" w:header="562" w:footer="562"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76EC8" w14:textId="77777777" w:rsidR="0042530D" w:rsidRPr="00804733" w:rsidRDefault="0042530D">
      <w:r w:rsidRPr="00804733">
        <w:separator/>
      </w:r>
    </w:p>
    <w:p w14:paraId="7EB1ED0F" w14:textId="77777777" w:rsidR="0042530D" w:rsidRPr="00804733" w:rsidRDefault="0042530D"/>
  </w:endnote>
  <w:endnote w:type="continuationSeparator" w:id="0">
    <w:p w14:paraId="586E762D" w14:textId="77777777" w:rsidR="0042530D" w:rsidRPr="00804733" w:rsidRDefault="0042530D">
      <w:r w:rsidRPr="00804733">
        <w:continuationSeparator/>
      </w:r>
    </w:p>
    <w:p w14:paraId="20B88ACB" w14:textId="77777777" w:rsidR="0042530D" w:rsidRPr="00804733" w:rsidRDefault="004253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aramond">
    <w:altName w:val="Garamond"/>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180D6" w14:textId="77777777" w:rsidR="000C07FC" w:rsidRPr="00804733" w:rsidRDefault="000C07FC" w:rsidP="00131B01">
    <w:pPr>
      <w:pStyle w:val="Footer"/>
      <w:tabs>
        <w:tab w:val="center" w:pos="3671"/>
        <w:tab w:val="right" w:pos="7342"/>
      </w:tabs>
    </w:pPr>
    <w:r w:rsidRPr="00804733">
      <w:t>Footer text goes here</w:t>
    </w:r>
    <w:r w:rsidRPr="00804733">
      <w:tab/>
    </w:r>
    <w:r w:rsidRPr="00804733">
      <w:tab/>
      <w:t xml:space="preserve">Page </w:t>
    </w:r>
    <w:r>
      <w:rPr>
        <w:noProof/>
      </w:rPr>
      <w:fldChar w:fldCharType="begin"/>
    </w:r>
    <w:r>
      <w:rPr>
        <w:noProof/>
      </w:rPr>
      <w:instrText xml:space="preserve"> PAGE   \* MERGEFORMAT </w:instrText>
    </w:r>
    <w:r>
      <w:rPr>
        <w:noProof/>
      </w:rPr>
      <w:fldChar w:fldCharType="separate"/>
    </w:r>
    <w:r>
      <w:rPr>
        <w:noProof/>
      </w:rPr>
      <w:t>2</w:t>
    </w:r>
    <w:r>
      <w:rPr>
        <w:noProof/>
      </w:rPr>
      <w:fldChar w:fldCharType="end"/>
    </w:r>
    <w:r w:rsidRPr="00804733">
      <w:t xml:space="preserve"> of </w:t>
    </w:r>
    <w:r>
      <w:rPr>
        <w:noProof/>
      </w:rPr>
      <w:fldChar w:fldCharType="begin"/>
    </w:r>
    <w:r>
      <w:rPr>
        <w:noProof/>
      </w:rPr>
      <w:instrText xml:space="preserve"> NUMPAGES   \* MERGEFORMAT </w:instrText>
    </w:r>
    <w:r>
      <w:rPr>
        <w:noProof/>
      </w:rPr>
      <w:fldChar w:fldCharType="separate"/>
    </w:r>
    <w:r>
      <w:rPr>
        <w:noProof/>
      </w:rPr>
      <w:t>53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1F855" w14:textId="4832DDD3" w:rsidR="000C07FC" w:rsidRPr="00804733" w:rsidRDefault="000C07FC" w:rsidP="00131B01">
    <w:pPr>
      <w:pStyle w:val="Footer"/>
      <w:tabs>
        <w:tab w:val="center" w:pos="3671"/>
        <w:tab w:val="right" w:pos="7342"/>
      </w:tabs>
    </w:pPr>
    <w:r w:rsidRPr="00804733">
      <w:tab/>
    </w:r>
    <w:r w:rsidRPr="00804733">
      <w:tab/>
      <w:t xml:space="preserve">Page </w:t>
    </w:r>
    <w:r>
      <w:rPr>
        <w:noProof/>
      </w:rPr>
      <w:fldChar w:fldCharType="begin"/>
    </w:r>
    <w:r>
      <w:rPr>
        <w:noProof/>
      </w:rPr>
      <w:instrText xml:space="preserve"> PAGE   \* MERGEFORMAT </w:instrText>
    </w:r>
    <w:r>
      <w:rPr>
        <w:noProof/>
      </w:rPr>
      <w:fldChar w:fldCharType="separate"/>
    </w:r>
    <w:r>
      <w:rPr>
        <w:noProof/>
      </w:rPr>
      <w:t>2</w:t>
    </w:r>
    <w:r>
      <w:rPr>
        <w:noProof/>
      </w:rPr>
      <w:fldChar w:fldCharType="end"/>
    </w:r>
    <w:r w:rsidRPr="00804733">
      <w:t xml:space="preserve"> of </w:t>
    </w:r>
    <w:r>
      <w:rPr>
        <w:noProof/>
      </w:rPr>
      <w:fldChar w:fldCharType="begin"/>
    </w:r>
    <w:r>
      <w:rPr>
        <w:noProof/>
      </w:rPr>
      <w:instrText xml:space="preserve"> NUMPAGES   \* MERGEFORMAT </w:instrText>
    </w:r>
    <w:r>
      <w:rPr>
        <w:noProof/>
      </w:rPr>
      <w:fldChar w:fldCharType="separate"/>
    </w:r>
    <w:r>
      <w:rPr>
        <w:noProof/>
      </w:rPr>
      <w:t>18</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7DED2" w14:textId="77777777" w:rsidR="000C07FC" w:rsidRDefault="000C07FC">
    <w:pPr>
      <w:pStyle w:val="Footer"/>
    </w:pPr>
    <w:r>
      <w:t>Local disclaimer and copyright statements go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72C5F" w14:textId="77777777" w:rsidR="0042530D" w:rsidRPr="00804733" w:rsidRDefault="0042530D" w:rsidP="0049649A">
      <w:r w:rsidRPr="00804733">
        <w:separator/>
      </w:r>
    </w:p>
  </w:footnote>
  <w:footnote w:type="continuationSeparator" w:id="0">
    <w:p w14:paraId="29A017C8" w14:textId="77777777" w:rsidR="0042530D" w:rsidRPr="00804733" w:rsidRDefault="0042530D" w:rsidP="0010552A">
      <w:r w:rsidRPr="00804733">
        <w:continuationSeparator/>
      </w:r>
    </w:p>
  </w:footnote>
  <w:footnote w:type="continuationNotice" w:id="1">
    <w:p w14:paraId="5A6AF6A1" w14:textId="77777777" w:rsidR="0042530D" w:rsidRPr="00804733" w:rsidRDefault="004253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margin" w:tblpY="1248"/>
      <w:tblOverlap w:val="never"/>
      <w:tblW w:w="5000" w:type="pct"/>
      <w:tblBorders>
        <w:top w:val="single" w:sz="6" w:space="0" w:color="A32020"/>
        <w:left w:val="single" w:sz="6" w:space="0" w:color="A32020"/>
      </w:tblBorders>
      <w:tblLayout w:type="fixed"/>
      <w:tblCellMar>
        <w:left w:w="227" w:type="dxa"/>
        <w:right w:w="0" w:type="dxa"/>
      </w:tblCellMar>
      <w:tblLook w:val="04A0" w:firstRow="1" w:lastRow="0" w:firstColumn="1" w:lastColumn="0" w:noHBand="0" w:noVBand="1"/>
    </w:tblPr>
    <w:tblGrid>
      <w:gridCol w:w="13044"/>
    </w:tblGrid>
    <w:tr w:rsidR="000C07FC" w:rsidRPr="00131B01" w14:paraId="6F04A0DF" w14:textId="77777777">
      <w:trPr>
        <w:trHeight w:hRule="exact" w:val="227"/>
      </w:trPr>
      <w:tc>
        <w:tcPr>
          <w:tcW w:w="5000" w:type="pct"/>
        </w:tcPr>
        <w:p w14:paraId="11BF3298" w14:textId="77777777" w:rsidR="000C07FC" w:rsidRPr="00131B01" w:rsidRDefault="000C07FC">
          <w:pPr>
            <w:rPr>
              <w:sz w:val="14"/>
              <w:szCs w:val="14"/>
            </w:rPr>
          </w:pPr>
        </w:p>
      </w:tc>
    </w:tr>
  </w:tbl>
  <w:p w14:paraId="1F9C78EF" w14:textId="77777777" w:rsidR="000C07FC" w:rsidRPr="00804733" w:rsidRDefault="000C07FC" w:rsidP="00131B01">
    <w:pPr>
      <w:pStyle w:val="Header"/>
      <w:tabs>
        <w:tab w:val="center" w:pos="3671"/>
        <w:tab w:val="right" w:pos="7342"/>
      </w:tabs>
    </w:pPr>
    <w:r w:rsidRPr="00804733">
      <w:t>Header goes here</w:t>
    </w:r>
    <w:r w:rsidRPr="00804733">
      <w:tab/>
    </w:r>
    <w:r w:rsidRPr="00804733">
      <w:tab/>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margin" w:tblpY="1248"/>
      <w:tblOverlap w:val="never"/>
      <w:tblW w:w="5000" w:type="pct"/>
      <w:tblBorders>
        <w:top w:val="single" w:sz="6" w:space="0" w:color="A32020"/>
        <w:left w:val="single" w:sz="6" w:space="0" w:color="A32020"/>
      </w:tblBorders>
      <w:tblLayout w:type="fixed"/>
      <w:tblCellMar>
        <w:left w:w="227" w:type="dxa"/>
        <w:right w:w="0" w:type="dxa"/>
      </w:tblCellMar>
      <w:tblLook w:val="04A0" w:firstRow="1" w:lastRow="0" w:firstColumn="1" w:lastColumn="0" w:noHBand="0" w:noVBand="1"/>
    </w:tblPr>
    <w:tblGrid>
      <w:gridCol w:w="13044"/>
    </w:tblGrid>
    <w:tr w:rsidR="000C07FC" w:rsidRPr="00131B01" w14:paraId="5CDDE417" w14:textId="77777777">
      <w:trPr>
        <w:trHeight w:hRule="exact" w:val="227"/>
      </w:trPr>
      <w:tc>
        <w:tcPr>
          <w:tcW w:w="5000" w:type="pct"/>
        </w:tcPr>
        <w:p w14:paraId="1074689C" w14:textId="77777777" w:rsidR="000C07FC" w:rsidRPr="00131B01" w:rsidRDefault="000C07FC">
          <w:pPr>
            <w:rPr>
              <w:sz w:val="14"/>
              <w:szCs w:val="14"/>
            </w:rPr>
          </w:pPr>
        </w:p>
      </w:tc>
    </w:tr>
  </w:tbl>
  <w:p w14:paraId="478421C5" w14:textId="77777777" w:rsidR="000C07FC" w:rsidRPr="00804733" w:rsidRDefault="000C07FC" w:rsidP="00131B01">
    <w:pPr>
      <w:pStyle w:val="Header"/>
      <w:tabs>
        <w:tab w:val="center" w:pos="3671"/>
        <w:tab w:val="right" w:pos="7342"/>
      </w:tabs>
    </w:pPr>
    <w:r w:rsidRPr="00804733">
      <w:tab/>
    </w:r>
    <w:r w:rsidRPr="00804733">
      <w:tab/>
      <w:t>Draft</w:t>
    </w:r>
  </w:p>
  <w:p w14:paraId="33104D1F" w14:textId="77777777" w:rsidR="000C07FC" w:rsidRDefault="000C07F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004C3" w14:textId="6B61A5D3" w:rsidR="000C07FC" w:rsidRPr="00134265" w:rsidRDefault="000C07FC" w:rsidP="00B73369">
    <w:pPr>
      <w:pStyle w:val="Header"/>
      <w:tabs>
        <w:tab w:val="left" w:pos="2864"/>
      </w:tabs>
      <w:rPr>
        <w:rFonts w:ascii="Times New Roman" w:hAnsi="Times New Roman"/>
        <w:sz w:val="24"/>
        <w:szCs w:val="16"/>
      </w:rPr>
    </w:pPr>
    <w:r w:rsidRPr="00134265">
      <w:rPr>
        <w:rFonts w:ascii="Times New Roman" w:hAnsi="Times New Roman"/>
        <w:sz w:val="24"/>
        <w:szCs w:val="16"/>
      </w:rPr>
      <w:t xml:space="preserve">India | </w:t>
    </w:r>
    <w:r w:rsidR="00B73369">
      <w:rPr>
        <w:rFonts w:ascii="Times New Roman" w:hAnsi="Times New Roman"/>
        <w:sz w:val="24"/>
        <w:szCs w:val="16"/>
      </w:rPr>
      <w:t xml:space="preserve">Union </w:t>
    </w:r>
    <w:r w:rsidRPr="00134265">
      <w:rPr>
        <w:rFonts w:ascii="Times New Roman" w:hAnsi="Times New Roman"/>
        <w:sz w:val="24"/>
        <w:szCs w:val="16"/>
      </w:rPr>
      <w:t>Budget 2</w:t>
    </w:r>
    <w:r>
      <w:rPr>
        <w:rFonts w:ascii="Times New Roman" w:hAnsi="Times New Roman"/>
        <w:sz w:val="24"/>
        <w:szCs w:val="16"/>
      </w:rPr>
      <w:t>020</w:t>
    </w:r>
    <w:r w:rsidR="00B73369">
      <w:rPr>
        <w:rFonts w:ascii="Times New Roman" w:hAnsi="Times New Roman"/>
        <w:sz w:val="24"/>
        <w:szCs w:val="16"/>
      </w:rPr>
      <w:tab/>
    </w:r>
  </w:p>
  <w:p w14:paraId="3A738661" w14:textId="4DA108C6" w:rsidR="000C07FC" w:rsidRPr="006F02E4" w:rsidRDefault="000C07FC" w:rsidP="003C0EDD">
    <w:pPr>
      <w:jc w:val="center"/>
      <w:rPr>
        <w:rFonts w:ascii="Arial" w:hAnsi="Arial" w:cs="Arial"/>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margin" w:tblpY="1248"/>
      <w:tblOverlap w:val="never"/>
      <w:tblW w:w="5000" w:type="pct"/>
      <w:tblBorders>
        <w:top w:val="single" w:sz="6" w:space="0" w:color="A32020"/>
        <w:left w:val="single" w:sz="6" w:space="0" w:color="A32020"/>
      </w:tblBorders>
      <w:tblLayout w:type="fixed"/>
      <w:tblCellMar>
        <w:left w:w="227" w:type="dxa"/>
        <w:right w:w="0" w:type="dxa"/>
      </w:tblCellMar>
      <w:tblLook w:val="04A0" w:firstRow="1" w:lastRow="0" w:firstColumn="1" w:lastColumn="0" w:noHBand="0" w:noVBand="1"/>
    </w:tblPr>
    <w:tblGrid>
      <w:gridCol w:w="13044"/>
    </w:tblGrid>
    <w:tr w:rsidR="000C07FC" w:rsidRPr="00131B01" w14:paraId="57DF8C43" w14:textId="77777777">
      <w:trPr>
        <w:trHeight w:hRule="exact" w:val="227"/>
      </w:trPr>
      <w:tc>
        <w:tcPr>
          <w:tcW w:w="5000" w:type="pct"/>
        </w:tcPr>
        <w:p w14:paraId="2DB019EE" w14:textId="77777777" w:rsidR="000C07FC" w:rsidRPr="00131B01" w:rsidRDefault="000C07FC">
          <w:pPr>
            <w:rPr>
              <w:sz w:val="14"/>
              <w:szCs w:val="14"/>
            </w:rPr>
          </w:pPr>
        </w:p>
      </w:tc>
    </w:tr>
  </w:tbl>
  <w:p w14:paraId="3614C726" w14:textId="77777777" w:rsidR="000C07FC" w:rsidRDefault="000C07FC" w:rsidP="00131B01">
    <w:pPr>
      <w:pStyle w:val="Header"/>
      <w:tabs>
        <w:tab w:val="center" w:pos="4513"/>
        <w:tab w:val="right" w:pos="9027"/>
      </w:tabs>
    </w:pPr>
    <w:r>
      <w:t>Header goes here</w:t>
    </w:r>
    <w:r>
      <w:tab/>
    </w:r>
    <w:r>
      <w:tab/>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2233"/>
    <w:multiLevelType w:val="hybridMultilevel"/>
    <w:tmpl w:val="6504CFC2"/>
    <w:lvl w:ilvl="0" w:tplc="F4FE4CB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9B6926"/>
    <w:multiLevelType w:val="hybridMultilevel"/>
    <w:tmpl w:val="7C044BFC"/>
    <w:lvl w:ilvl="0" w:tplc="50C4C3BC">
      <w:start w:val="1"/>
      <w:numFmt w:val="lowerLetter"/>
      <w:pStyle w:val="ListAlpha2"/>
      <w:lvlText w:val="%1."/>
      <w:lvlJc w:val="left"/>
      <w:pPr>
        <w:ind w:left="922" w:hanging="360"/>
      </w:pPr>
      <w:rPr>
        <w:rFonts w:hint="default"/>
        <w:sz w:val="20"/>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1CC29B0"/>
    <w:multiLevelType w:val="multilevel"/>
    <w:tmpl w:val="454CCF9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decimal"/>
      <w:pStyle w:val="ListNumber3"/>
      <w:lvlText w:val="%3."/>
      <w:lvlJc w:val="left"/>
      <w:pPr>
        <w:tabs>
          <w:tab w:val="num" w:pos="1701"/>
        </w:tabs>
        <w:ind w:left="1701" w:hanging="567"/>
      </w:pPr>
      <w:rPr>
        <w:rFonts w:hint="default"/>
        <w:b w:val="0"/>
        <w:i w:val="0"/>
        <w:sz w:val="20"/>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 w15:restartNumberingAfterBreak="0">
    <w:nsid w:val="022E4264"/>
    <w:multiLevelType w:val="hybridMultilevel"/>
    <w:tmpl w:val="88106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3A0213"/>
    <w:multiLevelType w:val="multilevel"/>
    <w:tmpl w:val="25021430"/>
    <w:styleLink w:val="SmartListalpha"/>
    <w:lvl w:ilvl="0">
      <w:start w:val="1"/>
      <w:numFmt w:val="lowerLetter"/>
      <w:lvlText w:val="%1)"/>
      <w:lvlJc w:val="left"/>
      <w:pPr>
        <w:tabs>
          <w:tab w:val="num" w:pos="360"/>
        </w:tabs>
        <w:ind w:left="360" w:hanging="360"/>
      </w:pPr>
      <w:rPr>
        <w:rFonts w:ascii="Arial" w:hAnsi="Arial" w:hint="default"/>
        <w:b w:val="0"/>
        <w:i w:val="0"/>
        <w:sz w:val="22"/>
      </w:rPr>
    </w:lvl>
    <w:lvl w:ilvl="1">
      <w:start w:val="1"/>
      <w:numFmt w:val="lowerLetter"/>
      <w:lvlText w:val="%2)"/>
      <w:lvlJc w:val="left"/>
      <w:pPr>
        <w:tabs>
          <w:tab w:val="num" w:pos="720"/>
        </w:tabs>
        <w:ind w:left="720" w:hanging="360"/>
      </w:pPr>
      <w:rPr>
        <w:rFonts w:ascii="Arial" w:hAnsi="Arial" w:hint="default"/>
        <w:b w:val="0"/>
        <w:i w:val="0"/>
        <w:sz w:val="22"/>
      </w:rPr>
    </w:lvl>
    <w:lvl w:ilvl="2">
      <w:start w:val="1"/>
      <w:numFmt w:val="lowerLetter"/>
      <w:lvlText w:val="%3)"/>
      <w:lvlJc w:val="left"/>
      <w:pPr>
        <w:tabs>
          <w:tab w:val="num" w:pos="1080"/>
        </w:tabs>
        <w:ind w:left="1080" w:hanging="360"/>
      </w:pPr>
      <w:rPr>
        <w:rFonts w:ascii="Arial" w:hAnsi="Arial" w:hint="default"/>
        <w:b w:val="0"/>
        <w:i w:val="0"/>
        <w:sz w:val="22"/>
      </w:rPr>
    </w:lvl>
    <w:lvl w:ilvl="3">
      <w:start w:val="1"/>
      <w:numFmt w:val="lowerLetter"/>
      <w:lvlText w:val="%4)"/>
      <w:lvlJc w:val="left"/>
      <w:pPr>
        <w:tabs>
          <w:tab w:val="num" w:pos="1440"/>
        </w:tabs>
        <w:ind w:left="1440" w:hanging="360"/>
      </w:pPr>
      <w:rPr>
        <w:rFonts w:ascii="Arial" w:hAnsi="Arial" w:hint="default"/>
        <w:b w:val="0"/>
        <w:i w:val="0"/>
        <w:sz w:val="22"/>
      </w:rPr>
    </w:lvl>
    <w:lvl w:ilvl="4">
      <w:start w:val="1"/>
      <w:numFmt w:val="lowerLetter"/>
      <w:lvlText w:val="%5)"/>
      <w:lvlJc w:val="left"/>
      <w:pPr>
        <w:tabs>
          <w:tab w:val="num" w:pos="1800"/>
        </w:tabs>
        <w:ind w:left="1800" w:hanging="360"/>
      </w:pPr>
      <w:rPr>
        <w:rFonts w:ascii="Arial" w:hAnsi="Arial" w:hint="default"/>
        <w:b w:val="0"/>
        <w:i w:val="0"/>
        <w:sz w:val="22"/>
      </w:rPr>
    </w:lvl>
    <w:lvl w:ilvl="5">
      <w:start w:val="1"/>
      <w:numFmt w:val="lowerLetter"/>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5" w15:restartNumberingAfterBreak="0">
    <w:nsid w:val="043E7FFC"/>
    <w:multiLevelType w:val="hybridMultilevel"/>
    <w:tmpl w:val="E1C84320"/>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D30C9F"/>
    <w:multiLevelType w:val="multilevel"/>
    <w:tmpl w:val="EB7231DC"/>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lowerLetter"/>
      <w:pStyle w:val="ListAlpha4"/>
      <w:lvlText w:val="%4."/>
      <w:lvlJc w:val="left"/>
      <w:pPr>
        <w:tabs>
          <w:tab w:val="num" w:pos="2268"/>
        </w:tabs>
        <w:ind w:left="2268" w:hanging="567"/>
      </w:pPr>
      <w:rPr>
        <w:rFonts w:hint="default"/>
        <w:sz w:val="20"/>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7" w15:restartNumberingAfterBreak="0">
    <w:nsid w:val="05EC636D"/>
    <w:multiLevelType w:val="multilevel"/>
    <w:tmpl w:val="01BA893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lowerLetter"/>
      <w:pStyle w:val="ListAlpha5"/>
      <w:lvlText w:val="%5."/>
      <w:lvlJc w:val="left"/>
      <w:pPr>
        <w:tabs>
          <w:tab w:val="num" w:pos="2835"/>
        </w:tabs>
        <w:ind w:left="2835" w:hanging="567"/>
      </w:pPr>
      <w:rPr>
        <w:rFonts w:hint="default"/>
        <w:sz w:val="20"/>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8" w15:restartNumberingAfterBreak="0">
    <w:nsid w:val="06FD51BB"/>
    <w:multiLevelType w:val="multilevel"/>
    <w:tmpl w:val="052A9344"/>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lowerRoman"/>
      <w:pStyle w:val="ListRoman5"/>
      <w:lvlText w:val="%5."/>
      <w:lvlJc w:val="left"/>
      <w:pPr>
        <w:tabs>
          <w:tab w:val="num" w:pos="2835"/>
        </w:tabs>
        <w:ind w:left="2835" w:hanging="567"/>
      </w:pPr>
      <w:rPr>
        <w:rFonts w:hint="default"/>
        <w:sz w:val="20"/>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9" w15:restartNumberingAfterBreak="0">
    <w:nsid w:val="07672291"/>
    <w:multiLevelType w:val="multilevel"/>
    <w:tmpl w:val="D342381E"/>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lowerLetter"/>
      <w:pStyle w:val="ListAlpha9"/>
      <w:lvlText w:val="%9."/>
      <w:lvlJc w:val="left"/>
      <w:pPr>
        <w:tabs>
          <w:tab w:val="num" w:pos="5103"/>
        </w:tabs>
        <w:ind w:left="5103" w:hanging="567"/>
      </w:pPr>
      <w:rPr>
        <w:rFonts w:hint="default"/>
        <w:sz w:val="20"/>
      </w:rPr>
    </w:lvl>
  </w:abstractNum>
  <w:abstractNum w:abstractNumId="10" w15:restartNumberingAfterBreak="0">
    <w:nsid w:val="08746D8C"/>
    <w:multiLevelType w:val="multilevel"/>
    <w:tmpl w:val="97C0138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lowerRoman"/>
      <w:pStyle w:val="ListRoman8"/>
      <w:lvlText w:val="%8."/>
      <w:lvlJc w:val="left"/>
      <w:pPr>
        <w:tabs>
          <w:tab w:val="num" w:pos="4536"/>
        </w:tabs>
        <w:ind w:left="4536" w:hanging="567"/>
      </w:pPr>
      <w:rPr>
        <w:rFonts w:hint="default"/>
        <w:sz w:val="20"/>
      </w:rPr>
    </w:lvl>
    <w:lvl w:ilvl="8">
      <w:start w:val="1"/>
      <w:numFmt w:val="bullet"/>
      <w:lvlText w:val=""/>
      <w:lvlJc w:val="left"/>
      <w:pPr>
        <w:tabs>
          <w:tab w:val="num" w:pos="5103"/>
        </w:tabs>
        <w:ind w:left="5103" w:hanging="567"/>
      </w:pPr>
      <w:rPr>
        <w:rFonts w:ascii="Symbol" w:hAnsi="Symbol" w:hint="default"/>
      </w:rPr>
    </w:lvl>
  </w:abstractNum>
  <w:abstractNum w:abstractNumId="11" w15:restartNumberingAfterBreak="0">
    <w:nsid w:val="088F7B15"/>
    <w:multiLevelType w:val="hybridMultilevel"/>
    <w:tmpl w:val="4C026FDA"/>
    <w:lvl w:ilvl="0" w:tplc="B1720C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984408E"/>
    <w:multiLevelType w:val="multilevel"/>
    <w:tmpl w:val="4E86FA6A"/>
    <w:name w:val="PwCListNumbers1"/>
    <w:styleLink w:val="PwCListNumbers1"/>
    <w:lvl w:ilvl="0">
      <w:start w:val="1"/>
      <w:numFmt w:val="decimal"/>
      <w:pStyle w:val="ListNumb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3" w15:restartNumberingAfterBreak="0">
    <w:nsid w:val="0C426D7F"/>
    <w:multiLevelType w:val="hybridMultilevel"/>
    <w:tmpl w:val="F3A818C4"/>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D262ECF"/>
    <w:multiLevelType w:val="multilevel"/>
    <w:tmpl w:val="E1DE9F18"/>
    <w:styleLink w:val="SmartAppendices"/>
    <w:lvl w:ilvl="0">
      <w:start w:val="1"/>
      <w:numFmt w:val="upperLetter"/>
      <w:lvlText w:val="Appendix %1."/>
      <w:lvlJc w:val="left"/>
      <w:pPr>
        <w:tabs>
          <w:tab w:val="num" w:pos="2160"/>
        </w:tabs>
        <w:ind w:left="2160" w:hanging="2160"/>
      </w:pPr>
      <w:rPr>
        <w:rFonts w:ascii="Georgia" w:hAnsi="Georgia" w:hint="default"/>
        <w:b w:val="0"/>
        <w:i w:val="0"/>
        <w:color w:val="A32020"/>
        <w:sz w:val="36"/>
      </w:rPr>
    </w:lvl>
    <w:lvl w:ilvl="1">
      <w:start w:val="1"/>
      <w:numFmt w:val="upperLetter"/>
      <w:lvlText w:val="Appendix %2.%1"/>
      <w:lvlJc w:val="left"/>
      <w:pPr>
        <w:tabs>
          <w:tab w:val="num" w:pos="2880"/>
        </w:tabs>
        <w:ind w:left="2880" w:hanging="2880"/>
      </w:pPr>
      <w:rPr>
        <w:rFonts w:hint="default"/>
      </w:rPr>
    </w:lvl>
    <w:lvl w:ilvl="2">
      <w:start w:val="1"/>
      <w:numFmt w:val="upperLetter"/>
      <w:lvlText w:val="Appendix %3.%2.%1"/>
      <w:lvlJc w:val="left"/>
      <w:pPr>
        <w:tabs>
          <w:tab w:val="num" w:pos="3384"/>
        </w:tabs>
        <w:ind w:left="3384" w:hanging="3384"/>
      </w:pPr>
      <w:rPr>
        <w:rFonts w:hint="default"/>
      </w:rPr>
    </w:lvl>
    <w:lvl w:ilvl="3">
      <w:start w:val="1"/>
      <w:numFmt w:val="none"/>
      <w:lvlText w:val="%4"/>
      <w:lvlJc w:val="left"/>
      <w:pPr>
        <w:tabs>
          <w:tab w:val="num" w:pos="3384"/>
        </w:tabs>
        <w:ind w:left="3384" w:hanging="3384"/>
      </w:pPr>
      <w:rPr>
        <w:rFonts w:hint="default"/>
      </w:rPr>
    </w:lvl>
    <w:lvl w:ilvl="4">
      <w:start w:val="1"/>
      <w:numFmt w:val="none"/>
      <w:lvlText w:val="%5"/>
      <w:lvlJc w:val="left"/>
      <w:pPr>
        <w:tabs>
          <w:tab w:val="num" w:pos="3384"/>
        </w:tabs>
        <w:ind w:left="3384" w:hanging="3384"/>
      </w:pPr>
      <w:rPr>
        <w:rFonts w:hint="default"/>
      </w:rPr>
    </w:lvl>
    <w:lvl w:ilvl="5">
      <w:start w:val="1"/>
      <w:numFmt w:val="none"/>
      <w:lvlText w:val="%6"/>
      <w:lvlJc w:val="right"/>
      <w:pPr>
        <w:tabs>
          <w:tab w:val="num" w:pos="3384"/>
        </w:tabs>
        <w:ind w:left="3384" w:hanging="3384"/>
      </w:pPr>
      <w:rPr>
        <w:rFonts w:hint="default"/>
      </w:rPr>
    </w:lvl>
    <w:lvl w:ilvl="6">
      <w:start w:val="1"/>
      <w:numFmt w:val="none"/>
      <w:lvlText w:val="%7"/>
      <w:lvlJc w:val="left"/>
      <w:pPr>
        <w:tabs>
          <w:tab w:val="num" w:pos="3384"/>
        </w:tabs>
        <w:ind w:left="3384" w:hanging="3384"/>
      </w:pPr>
      <w:rPr>
        <w:rFonts w:hint="default"/>
      </w:rPr>
    </w:lvl>
    <w:lvl w:ilvl="7">
      <w:start w:val="1"/>
      <w:numFmt w:val="none"/>
      <w:lvlText w:val="%8"/>
      <w:lvlJc w:val="left"/>
      <w:pPr>
        <w:tabs>
          <w:tab w:val="num" w:pos="3384"/>
        </w:tabs>
        <w:ind w:left="3384" w:firstLine="0"/>
      </w:pPr>
      <w:rPr>
        <w:rFonts w:hint="default"/>
      </w:rPr>
    </w:lvl>
    <w:lvl w:ilvl="8">
      <w:start w:val="1"/>
      <w:numFmt w:val="none"/>
      <w:lvlText w:val="%9"/>
      <w:lvlJc w:val="right"/>
      <w:pPr>
        <w:tabs>
          <w:tab w:val="num" w:pos="3384"/>
        </w:tabs>
        <w:ind w:left="3384" w:hanging="3384"/>
      </w:pPr>
      <w:rPr>
        <w:rFonts w:hint="default"/>
      </w:rPr>
    </w:lvl>
  </w:abstractNum>
  <w:abstractNum w:abstractNumId="15" w15:restartNumberingAfterBreak="0">
    <w:nsid w:val="0F420D10"/>
    <w:multiLevelType w:val="multilevel"/>
    <w:tmpl w:val="FAF2D05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decimal"/>
      <w:pStyle w:val="ListNumber7"/>
      <w:lvlText w:val="%7."/>
      <w:lvlJc w:val="left"/>
      <w:pPr>
        <w:tabs>
          <w:tab w:val="num" w:pos="3969"/>
        </w:tabs>
        <w:ind w:left="3969" w:hanging="567"/>
      </w:pPr>
      <w:rPr>
        <w:rFonts w:hint="default"/>
        <w:sz w:val="20"/>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6" w15:restartNumberingAfterBreak="0">
    <w:nsid w:val="0FEC0556"/>
    <w:multiLevelType w:val="hybridMultilevel"/>
    <w:tmpl w:val="898A010C"/>
    <w:lvl w:ilvl="0" w:tplc="1E4CD4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3F53F99"/>
    <w:multiLevelType w:val="multilevel"/>
    <w:tmpl w:val="5622BA42"/>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decimal"/>
      <w:pStyle w:val="ListNumber4"/>
      <w:lvlText w:val="%4."/>
      <w:lvlJc w:val="left"/>
      <w:pPr>
        <w:tabs>
          <w:tab w:val="num" w:pos="2268"/>
        </w:tabs>
        <w:ind w:left="2268" w:hanging="567"/>
      </w:pPr>
      <w:rPr>
        <w:rFonts w:hint="default"/>
        <w:sz w:val="20"/>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8" w15:restartNumberingAfterBreak="0">
    <w:nsid w:val="152F5DBC"/>
    <w:multiLevelType w:val="hybridMultilevel"/>
    <w:tmpl w:val="81F87F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6446ED5"/>
    <w:multiLevelType w:val="hybridMultilevel"/>
    <w:tmpl w:val="CAD62604"/>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66849C4"/>
    <w:multiLevelType w:val="multilevel"/>
    <w:tmpl w:val="CD4C98AE"/>
    <w:name w:val="PwCListBullets12"/>
    <w:numStyleLink w:val="PwCListBullets1"/>
  </w:abstractNum>
  <w:abstractNum w:abstractNumId="21" w15:restartNumberingAfterBreak="0">
    <w:nsid w:val="16FC6636"/>
    <w:multiLevelType w:val="hybridMultilevel"/>
    <w:tmpl w:val="A294AAB8"/>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75960B7"/>
    <w:multiLevelType w:val="hybridMultilevel"/>
    <w:tmpl w:val="F0801428"/>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88C5995"/>
    <w:multiLevelType w:val="hybridMultilevel"/>
    <w:tmpl w:val="D6F8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E95546"/>
    <w:multiLevelType w:val="hybridMultilevel"/>
    <w:tmpl w:val="2C84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BDA3A0B"/>
    <w:multiLevelType w:val="hybridMultilevel"/>
    <w:tmpl w:val="D04209BE"/>
    <w:lvl w:ilvl="0" w:tplc="BC98C526">
      <w:start w:val="1"/>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BE66A88"/>
    <w:multiLevelType w:val="hybridMultilevel"/>
    <w:tmpl w:val="67EC657E"/>
    <w:lvl w:ilvl="0" w:tplc="463837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C5521A3"/>
    <w:multiLevelType w:val="hybridMultilevel"/>
    <w:tmpl w:val="CFE64E24"/>
    <w:lvl w:ilvl="0" w:tplc="AA340F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C5C227A"/>
    <w:multiLevelType w:val="multilevel"/>
    <w:tmpl w:val="102A5918"/>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decimal"/>
      <w:pStyle w:val="ListNumber5"/>
      <w:lvlText w:val="%5."/>
      <w:lvlJc w:val="left"/>
      <w:pPr>
        <w:tabs>
          <w:tab w:val="num" w:pos="2835"/>
        </w:tabs>
        <w:ind w:left="2835" w:hanging="567"/>
      </w:pPr>
      <w:rPr>
        <w:rFonts w:hint="default"/>
        <w:sz w:val="20"/>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9" w15:restartNumberingAfterBreak="0">
    <w:nsid w:val="1D6E29D9"/>
    <w:multiLevelType w:val="hybridMultilevel"/>
    <w:tmpl w:val="2446F862"/>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DCC5F70"/>
    <w:multiLevelType w:val="hybridMultilevel"/>
    <w:tmpl w:val="274CE1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1E0849F5"/>
    <w:multiLevelType w:val="multilevel"/>
    <w:tmpl w:val="4E86FA6A"/>
    <w:name w:val="PwCListNumbers12"/>
    <w:numStyleLink w:val="PwCListNumbers1"/>
  </w:abstractNum>
  <w:abstractNum w:abstractNumId="32" w15:restartNumberingAfterBreak="0">
    <w:nsid w:val="1F860876"/>
    <w:multiLevelType w:val="hybridMultilevel"/>
    <w:tmpl w:val="A106D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054722B"/>
    <w:multiLevelType w:val="hybridMultilevel"/>
    <w:tmpl w:val="E3AA763C"/>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24617AA"/>
    <w:multiLevelType w:val="multilevel"/>
    <w:tmpl w:val="5A66958E"/>
    <w:styleLink w:val="SmartNumbering"/>
    <w:lvl w:ilvl="0">
      <w:start w:val="1"/>
      <w:numFmt w:val="decimal"/>
      <w:lvlText w:val="%1."/>
      <w:lvlJc w:val="left"/>
      <w:pPr>
        <w:tabs>
          <w:tab w:val="num" w:pos="360"/>
        </w:tabs>
        <w:ind w:left="360" w:hanging="360"/>
      </w:pPr>
      <w:rPr>
        <w:rFonts w:ascii="Arial" w:hAnsi="Arial" w:hint="default"/>
        <w:b w:val="0"/>
        <w:i w:val="0"/>
        <w:sz w:val="22"/>
      </w:rPr>
    </w:lvl>
    <w:lvl w:ilvl="1">
      <w:start w:val="1"/>
      <w:numFmt w:val="decimal"/>
      <w:lvlText w:val="%2."/>
      <w:lvlJc w:val="left"/>
      <w:pPr>
        <w:tabs>
          <w:tab w:val="num" w:pos="720"/>
        </w:tabs>
        <w:ind w:left="720" w:hanging="360"/>
      </w:pPr>
      <w:rPr>
        <w:rFonts w:ascii="Arial" w:hAnsi="Arial" w:hint="default"/>
        <w:b w:val="0"/>
        <w:i w:val="0"/>
        <w:sz w:val="22"/>
      </w:rPr>
    </w:lvl>
    <w:lvl w:ilvl="2">
      <w:start w:val="1"/>
      <w:numFmt w:val="decimal"/>
      <w:lvlText w:val="%3."/>
      <w:lvlJc w:val="left"/>
      <w:pPr>
        <w:tabs>
          <w:tab w:val="num" w:pos="1080"/>
        </w:tabs>
        <w:ind w:left="1080" w:hanging="360"/>
      </w:pPr>
      <w:rPr>
        <w:rFonts w:ascii="Arial" w:hAnsi="Arial" w:hint="default"/>
        <w:b w:val="0"/>
        <w:i w:val="0"/>
        <w:sz w:val="22"/>
      </w:rPr>
    </w:lvl>
    <w:lvl w:ilvl="3">
      <w:start w:val="1"/>
      <w:numFmt w:val="decimal"/>
      <w:lvlText w:val="%4."/>
      <w:lvlJc w:val="left"/>
      <w:pPr>
        <w:tabs>
          <w:tab w:val="num" w:pos="1440"/>
        </w:tabs>
        <w:ind w:left="1440" w:hanging="360"/>
      </w:pPr>
      <w:rPr>
        <w:rFonts w:ascii="Arial" w:hAnsi="Arial" w:hint="default"/>
        <w:b w:val="0"/>
        <w:i w:val="0"/>
        <w:sz w:val="22"/>
      </w:rPr>
    </w:lvl>
    <w:lvl w:ilvl="4">
      <w:start w:val="1"/>
      <w:numFmt w:val="decimal"/>
      <w:lvlText w:val="%5."/>
      <w:lvlJc w:val="left"/>
      <w:pPr>
        <w:tabs>
          <w:tab w:val="num" w:pos="1800"/>
        </w:tabs>
        <w:ind w:left="1800" w:hanging="360"/>
      </w:pPr>
      <w:rPr>
        <w:rFonts w:ascii="Arial" w:hAnsi="Arial" w:hint="default"/>
        <w:b w:val="0"/>
        <w:i w:val="0"/>
        <w:sz w:val="22"/>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235352F8"/>
    <w:multiLevelType w:val="multilevel"/>
    <w:tmpl w:val="1DACC14C"/>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pStyle w:val="ListRoman3"/>
      <w:lvlText w:val="%3."/>
      <w:lvlJc w:val="left"/>
      <w:pPr>
        <w:tabs>
          <w:tab w:val="num" w:pos="1701"/>
        </w:tabs>
        <w:ind w:left="1701" w:hanging="567"/>
      </w:pPr>
      <w:rPr>
        <w:rFonts w:hint="default"/>
        <w:b w:val="0"/>
        <w:i w:val="0"/>
        <w:sz w:val="20"/>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6" w15:restartNumberingAfterBreak="0">
    <w:nsid w:val="243E0C1A"/>
    <w:multiLevelType w:val="hybridMultilevel"/>
    <w:tmpl w:val="52FAD722"/>
    <w:lvl w:ilvl="0" w:tplc="FA02A45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24700F8D"/>
    <w:multiLevelType w:val="hybridMultilevel"/>
    <w:tmpl w:val="3A30A870"/>
    <w:lvl w:ilvl="0" w:tplc="9B0214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24E04E68"/>
    <w:multiLevelType w:val="multilevel"/>
    <w:tmpl w:val="00C2633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lowerRoman"/>
      <w:pStyle w:val="ListRoman4"/>
      <w:lvlText w:val="%4."/>
      <w:lvlJc w:val="left"/>
      <w:pPr>
        <w:tabs>
          <w:tab w:val="num" w:pos="2268"/>
        </w:tabs>
        <w:ind w:left="2268" w:hanging="567"/>
      </w:pPr>
      <w:rPr>
        <w:rFonts w:hint="default"/>
        <w:sz w:val="20"/>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9" w15:restartNumberingAfterBreak="0">
    <w:nsid w:val="25EA3B88"/>
    <w:multiLevelType w:val="multilevel"/>
    <w:tmpl w:val="B12EE97A"/>
    <w:lvl w:ilvl="0">
      <w:start w:val="1"/>
      <w:numFmt w:val="decimal"/>
      <w:pStyle w:val="Heading1"/>
      <w:suff w:val="space"/>
      <w:lvlText w:val="%1."/>
      <w:lvlJc w:val="left"/>
      <w:pPr>
        <w:ind w:left="360" w:hanging="360"/>
      </w:pPr>
      <w:rPr>
        <w:rFonts w:hint="default"/>
        <w:color w:val="auto"/>
      </w:rPr>
    </w:lvl>
    <w:lvl w:ilvl="1">
      <w:start w:val="1"/>
      <w:numFmt w:val="decimal"/>
      <w:suff w:val="space"/>
      <w:lvlText w:val="%1.%2."/>
      <w:lvlJc w:val="left"/>
      <w:pPr>
        <w:ind w:left="810" w:hanging="360"/>
      </w:pPr>
      <w:rPr>
        <w:rFonts w:hint="default"/>
        <w:b/>
        <w:color w:val="BD582C" w:themeColor="accent2"/>
        <w:sz w:val="32"/>
        <w:szCs w:val="32"/>
      </w:rPr>
    </w:lvl>
    <w:lvl w:ilvl="2">
      <w:start w:val="1"/>
      <w:numFmt w:val="decimal"/>
      <w:pStyle w:val="Heading3"/>
      <w:suff w:val="space"/>
      <w:lvlText w:val="%1.%2.%3."/>
      <w:lvlJc w:val="left"/>
      <w:pPr>
        <w:ind w:left="360" w:hanging="360"/>
      </w:pPr>
      <w:rPr>
        <w:rFonts w:hint="default"/>
        <w:color w:val="BD582C" w:themeColor="accent2"/>
      </w:rPr>
    </w:lvl>
    <w:lvl w:ilvl="3">
      <w:start w:val="1"/>
      <w:numFmt w:val="decimal"/>
      <w:pStyle w:val="Heading4"/>
      <w:suff w:val="space"/>
      <w:lvlText w:val="%1.%2.%3.%4."/>
      <w:lvlJc w:val="left"/>
      <w:pPr>
        <w:ind w:left="360" w:hanging="360"/>
      </w:pPr>
      <w:rPr>
        <w:rFonts w:hint="default"/>
      </w:rPr>
    </w:lvl>
    <w:lvl w:ilvl="4">
      <w:start w:val="1"/>
      <w:numFmt w:val="decimal"/>
      <w:pStyle w:val="Heading5"/>
      <w:suff w:val="space"/>
      <w:lvlText w:val="%1.%2.%3.%4.%5."/>
      <w:lvlJc w:val="left"/>
      <w:pPr>
        <w:ind w:left="360" w:hanging="360"/>
      </w:pPr>
      <w:rPr>
        <w:rFonts w:hint="default"/>
      </w:rPr>
    </w:lvl>
    <w:lvl w:ilvl="5">
      <w:start w:val="1"/>
      <w:numFmt w:val="decimal"/>
      <w:pStyle w:val="Heading6"/>
      <w:suff w:val="space"/>
      <w:lvlText w:val="%1.%2.%3.%4.%5.%6."/>
      <w:lvlJc w:val="left"/>
      <w:pPr>
        <w:ind w:left="360" w:hanging="360"/>
      </w:pPr>
      <w:rPr>
        <w:rFonts w:hint="default"/>
      </w:rPr>
    </w:lvl>
    <w:lvl w:ilvl="6">
      <w:start w:val="1"/>
      <w:numFmt w:val="decimal"/>
      <w:pStyle w:val="Heading7"/>
      <w:suff w:val="space"/>
      <w:lvlText w:val="%1.%2.%3.%4.%5.%6.%7."/>
      <w:lvlJc w:val="left"/>
      <w:pPr>
        <w:ind w:left="360" w:hanging="360"/>
      </w:pPr>
      <w:rPr>
        <w:rFonts w:hint="default"/>
      </w:rPr>
    </w:lvl>
    <w:lvl w:ilvl="7">
      <w:start w:val="1"/>
      <w:numFmt w:val="decimal"/>
      <w:pStyle w:val="Heading8"/>
      <w:suff w:val="space"/>
      <w:lvlText w:val="%1.%2.%3.%4.%5.%6.%7.%8."/>
      <w:lvlJc w:val="left"/>
      <w:pPr>
        <w:ind w:left="360" w:hanging="360"/>
      </w:pPr>
      <w:rPr>
        <w:rFonts w:hint="default"/>
      </w:rPr>
    </w:lvl>
    <w:lvl w:ilvl="8">
      <w:start w:val="1"/>
      <w:numFmt w:val="decimal"/>
      <w:pStyle w:val="Heading9"/>
      <w:suff w:val="space"/>
      <w:lvlText w:val="%1.%2.%3.%4.%5.%6.%7.%8.%9."/>
      <w:lvlJc w:val="left"/>
      <w:pPr>
        <w:ind w:left="360" w:hanging="360"/>
      </w:pPr>
      <w:rPr>
        <w:rFonts w:hint="default"/>
      </w:rPr>
    </w:lvl>
  </w:abstractNum>
  <w:abstractNum w:abstractNumId="40" w15:restartNumberingAfterBreak="0">
    <w:nsid w:val="27FF108D"/>
    <w:multiLevelType w:val="hybridMultilevel"/>
    <w:tmpl w:val="53D0E4D4"/>
    <w:lvl w:ilvl="0" w:tplc="439E8B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8905486"/>
    <w:multiLevelType w:val="multilevel"/>
    <w:tmpl w:val="CD4C98AE"/>
    <w:numStyleLink w:val="PwCListBullets1"/>
  </w:abstractNum>
  <w:abstractNum w:abstractNumId="42" w15:restartNumberingAfterBreak="0">
    <w:nsid w:val="2A484347"/>
    <w:multiLevelType w:val="hybridMultilevel"/>
    <w:tmpl w:val="33C21F12"/>
    <w:lvl w:ilvl="0" w:tplc="901881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2AF771A9"/>
    <w:multiLevelType w:val="hybridMultilevel"/>
    <w:tmpl w:val="1A78AF50"/>
    <w:lvl w:ilvl="0" w:tplc="6F52147C">
      <w:start w:val="1"/>
      <w:numFmt w:val="lowerRoman"/>
      <w:lvlText w:val="(%1)"/>
      <w:lvlJc w:val="left"/>
      <w:pPr>
        <w:ind w:left="1845" w:hanging="72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4" w15:restartNumberingAfterBreak="0">
    <w:nsid w:val="2BE64428"/>
    <w:multiLevelType w:val="multilevel"/>
    <w:tmpl w:val="7CD8DC12"/>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lowerRoman"/>
      <w:pStyle w:val="ListRoman6"/>
      <w:lvlText w:val="%6."/>
      <w:lvlJc w:val="left"/>
      <w:pPr>
        <w:tabs>
          <w:tab w:val="num" w:pos="3402"/>
        </w:tabs>
        <w:ind w:left="3402" w:hanging="567"/>
      </w:pPr>
      <w:rPr>
        <w:rFonts w:hint="default"/>
        <w:sz w:val="20"/>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45" w15:restartNumberingAfterBreak="0">
    <w:nsid w:val="2D137ECF"/>
    <w:multiLevelType w:val="hybridMultilevel"/>
    <w:tmpl w:val="1D0A8938"/>
    <w:lvl w:ilvl="0" w:tplc="B2A26B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2EAF3191"/>
    <w:multiLevelType w:val="hybridMultilevel"/>
    <w:tmpl w:val="03D4454E"/>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FAA52E0"/>
    <w:multiLevelType w:val="hybridMultilevel"/>
    <w:tmpl w:val="83A01304"/>
    <w:lvl w:ilvl="0" w:tplc="5B0AF3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FDD6F24"/>
    <w:multiLevelType w:val="hybridMultilevel"/>
    <w:tmpl w:val="067890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EF7908"/>
    <w:multiLevelType w:val="multilevel"/>
    <w:tmpl w:val="4F641308"/>
    <w:styleLink w:val="SmartExhibits"/>
    <w:lvl w:ilvl="0">
      <w:start w:val="1"/>
      <w:numFmt w:val="upperLetter"/>
      <w:lvlText w:val="Exhibit %1."/>
      <w:lvlJc w:val="left"/>
      <w:pPr>
        <w:tabs>
          <w:tab w:val="num" w:pos="1728"/>
        </w:tabs>
        <w:ind w:left="1728" w:hanging="1728"/>
      </w:pPr>
      <w:rPr>
        <w:rFonts w:ascii="Arial" w:hAnsi="Arial" w:hint="default"/>
        <w:b w:val="0"/>
        <w:i w:val="0"/>
        <w:color w:val="A32020"/>
        <w:sz w:val="36"/>
      </w:rPr>
    </w:lvl>
    <w:lvl w:ilvl="1">
      <w:start w:val="1"/>
      <w:numFmt w:val="upperLetter"/>
      <w:lvlText w:val="Exhibit %2.%1"/>
      <w:lvlJc w:val="left"/>
      <w:pPr>
        <w:tabs>
          <w:tab w:val="num" w:pos="2304"/>
        </w:tabs>
        <w:ind w:left="2304" w:hanging="2304"/>
      </w:pPr>
      <w:rPr>
        <w:rFonts w:ascii="Georgia" w:hAnsi="Georgia" w:hint="default"/>
        <w:b w:val="0"/>
        <w:i w:val="0"/>
        <w:color w:val="A32020"/>
        <w:sz w:val="36"/>
      </w:rPr>
    </w:lvl>
    <w:lvl w:ilvl="2">
      <w:start w:val="1"/>
      <w:numFmt w:val="upperLetter"/>
      <w:lvlText w:val="Exhibit %3.%1.%2."/>
      <w:lvlJc w:val="left"/>
      <w:pPr>
        <w:tabs>
          <w:tab w:val="num" w:pos="3168"/>
        </w:tabs>
        <w:ind w:left="3168" w:hanging="3168"/>
      </w:pPr>
      <w:rPr>
        <w:rFonts w:ascii="Georgia" w:hAnsi="Georgia" w:hint="default"/>
        <w:b w:val="0"/>
        <w:i w:val="0"/>
        <w:color w:val="A32020"/>
        <w:sz w:val="36"/>
      </w:rPr>
    </w:lvl>
    <w:lvl w:ilvl="3">
      <w:start w:val="1"/>
      <w:numFmt w:val="none"/>
      <w:lvlText w:val=""/>
      <w:lvlJc w:val="left"/>
      <w:pPr>
        <w:tabs>
          <w:tab w:val="num" w:pos="3168"/>
        </w:tabs>
        <w:ind w:left="3168" w:hanging="3168"/>
      </w:pPr>
      <w:rPr>
        <w:rFonts w:hint="default"/>
      </w:rPr>
    </w:lvl>
    <w:lvl w:ilvl="4">
      <w:start w:val="1"/>
      <w:numFmt w:val="none"/>
      <w:lvlText w:val=""/>
      <w:lvlJc w:val="left"/>
      <w:pPr>
        <w:tabs>
          <w:tab w:val="num" w:pos="3168"/>
        </w:tabs>
        <w:ind w:left="3168" w:hanging="3168"/>
      </w:pPr>
      <w:rPr>
        <w:rFonts w:hint="default"/>
      </w:rPr>
    </w:lvl>
    <w:lvl w:ilvl="5">
      <w:start w:val="1"/>
      <w:numFmt w:val="none"/>
      <w:lvlText w:val=""/>
      <w:lvlJc w:val="right"/>
      <w:pPr>
        <w:tabs>
          <w:tab w:val="num" w:pos="3168"/>
        </w:tabs>
        <w:ind w:left="3168" w:hanging="3168"/>
      </w:pPr>
      <w:rPr>
        <w:rFonts w:hint="default"/>
      </w:rPr>
    </w:lvl>
    <w:lvl w:ilvl="6">
      <w:start w:val="1"/>
      <w:numFmt w:val="none"/>
      <w:lvlText w:val=""/>
      <w:lvlJc w:val="left"/>
      <w:pPr>
        <w:tabs>
          <w:tab w:val="num" w:pos="3168"/>
        </w:tabs>
        <w:ind w:left="3168" w:hanging="3168"/>
      </w:pPr>
      <w:rPr>
        <w:rFonts w:hint="default"/>
      </w:rPr>
    </w:lvl>
    <w:lvl w:ilvl="7">
      <w:start w:val="1"/>
      <w:numFmt w:val="none"/>
      <w:lvlText w:val=""/>
      <w:lvlJc w:val="left"/>
      <w:pPr>
        <w:tabs>
          <w:tab w:val="num" w:pos="3168"/>
        </w:tabs>
        <w:ind w:left="3168" w:hanging="3168"/>
      </w:pPr>
      <w:rPr>
        <w:rFonts w:hint="default"/>
      </w:rPr>
    </w:lvl>
    <w:lvl w:ilvl="8">
      <w:start w:val="1"/>
      <w:numFmt w:val="none"/>
      <w:lvlText w:val=""/>
      <w:lvlJc w:val="right"/>
      <w:pPr>
        <w:tabs>
          <w:tab w:val="num" w:pos="3168"/>
        </w:tabs>
        <w:ind w:left="3168" w:hanging="3168"/>
      </w:pPr>
      <w:rPr>
        <w:rFonts w:hint="default"/>
      </w:rPr>
    </w:lvl>
  </w:abstractNum>
  <w:abstractNum w:abstractNumId="50" w15:restartNumberingAfterBreak="0">
    <w:nsid w:val="315843E9"/>
    <w:multiLevelType w:val="hybridMultilevel"/>
    <w:tmpl w:val="EFBCBD26"/>
    <w:lvl w:ilvl="0" w:tplc="70B095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31670AF8"/>
    <w:multiLevelType w:val="hybridMultilevel"/>
    <w:tmpl w:val="16643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18620C1"/>
    <w:multiLevelType w:val="hybridMultilevel"/>
    <w:tmpl w:val="98521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71148A1"/>
    <w:multiLevelType w:val="hybridMultilevel"/>
    <w:tmpl w:val="A120D15E"/>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372951F4"/>
    <w:multiLevelType w:val="hybridMultilevel"/>
    <w:tmpl w:val="AFB07EE0"/>
    <w:lvl w:ilvl="0" w:tplc="D3F88F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380B2FC9"/>
    <w:multiLevelType w:val="multilevel"/>
    <w:tmpl w:val="C64AB93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lowerLetter"/>
      <w:pStyle w:val="ListAlpha8"/>
      <w:lvlText w:val="%8."/>
      <w:lvlJc w:val="left"/>
      <w:pPr>
        <w:tabs>
          <w:tab w:val="num" w:pos="4536"/>
        </w:tabs>
        <w:ind w:left="4536" w:hanging="567"/>
      </w:pPr>
      <w:rPr>
        <w:rFonts w:hint="default"/>
        <w:sz w:val="20"/>
      </w:rPr>
    </w:lvl>
    <w:lvl w:ilvl="8">
      <w:start w:val="1"/>
      <w:numFmt w:val="bullet"/>
      <w:lvlText w:val=""/>
      <w:lvlJc w:val="left"/>
      <w:pPr>
        <w:tabs>
          <w:tab w:val="num" w:pos="5103"/>
        </w:tabs>
        <w:ind w:left="5103" w:hanging="567"/>
      </w:pPr>
      <w:rPr>
        <w:rFonts w:ascii="Symbol" w:hAnsi="Symbol" w:hint="default"/>
      </w:rPr>
    </w:lvl>
  </w:abstractNum>
  <w:abstractNum w:abstractNumId="56" w15:restartNumberingAfterBreak="0">
    <w:nsid w:val="394E1238"/>
    <w:multiLevelType w:val="multilevel"/>
    <w:tmpl w:val="7646F03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lowerRoman"/>
      <w:pStyle w:val="ListRoman9"/>
      <w:lvlText w:val="%9."/>
      <w:lvlJc w:val="left"/>
      <w:pPr>
        <w:tabs>
          <w:tab w:val="num" w:pos="5103"/>
        </w:tabs>
        <w:ind w:left="5103" w:hanging="567"/>
      </w:pPr>
      <w:rPr>
        <w:rFonts w:hint="default"/>
        <w:sz w:val="20"/>
      </w:rPr>
    </w:lvl>
  </w:abstractNum>
  <w:abstractNum w:abstractNumId="57" w15:restartNumberingAfterBreak="0">
    <w:nsid w:val="3A57486E"/>
    <w:multiLevelType w:val="multilevel"/>
    <w:tmpl w:val="4E86FA6A"/>
    <w:numStyleLink w:val="PwCListNumbers1"/>
  </w:abstractNum>
  <w:abstractNum w:abstractNumId="58" w15:restartNumberingAfterBreak="0">
    <w:nsid w:val="3A726D09"/>
    <w:multiLevelType w:val="hybridMultilevel"/>
    <w:tmpl w:val="E6FAAB44"/>
    <w:lvl w:ilvl="0" w:tplc="D3781FE4">
      <w:start w:val="1"/>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3D024365"/>
    <w:multiLevelType w:val="hybridMultilevel"/>
    <w:tmpl w:val="9AA4057E"/>
    <w:lvl w:ilvl="0" w:tplc="509CEFE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0" w15:restartNumberingAfterBreak="0">
    <w:nsid w:val="3D774D82"/>
    <w:multiLevelType w:val="hybridMultilevel"/>
    <w:tmpl w:val="B134CBA0"/>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401112F6"/>
    <w:multiLevelType w:val="hybridMultilevel"/>
    <w:tmpl w:val="D3A64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08A3C31"/>
    <w:multiLevelType w:val="hybridMultilevel"/>
    <w:tmpl w:val="8D989CF8"/>
    <w:lvl w:ilvl="0" w:tplc="2C2014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44E95E50"/>
    <w:multiLevelType w:val="hybridMultilevel"/>
    <w:tmpl w:val="D6B69D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6266E3D"/>
    <w:multiLevelType w:val="multilevel"/>
    <w:tmpl w:val="6E169B2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pStyle w:val="ListNumber8"/>
      <w:lvlText w:val="%8."/>
      <w:lvlJc w:val="left"/>
      <w:pPr>
        <w:tabs>
          <w:tab w:val="num" w:pos="4536"/>
        </w:tabs>
        <w:ind w:left="4536" w:hanging="567"/>
      </w:pPr>
      <w:rPr>
        <w:rFonts w:hint="default"/>
      </w:rPr>
    </w:lvl>
    <w:lvl w:ilvl="8">
      <w:start w:val="1"/>
      <w:numFmt w:val="bullet"/>
      <w:lvlText w:val=""/>
      <w:lvlJc w:val="left"/>
      <w:pPr>
        <w:tabs>
          <w:tab w:val="num" w:pos="5103"/>
        </w:tabs>
        <w:ind w:left="5103" w:hanging="567"/>
      </w:pPr>
      <w:rPr>
        <w:rFonts w:ascii="Symbol" w:hAnsi="Symbol" w:hint="default"/>
      </w:rPr>
    </w:lvl>
  </w:abstractNum>
  <w:abstractNum w:abstractNumId="65" w15:restartNumberingAfterBreak="0">
    <w:nsid w:val="47E15450"/>
    <w:multiLevelType w:val="hybridMultilevel"/>
    <w:tmpl w:val="37B8F2C6"/>
    <w:lvl w:ilvl="0" w:tplc="4E7A191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6" w15:restartNumberingAfterBreak="0">
    <w:nsid w:val="4A1C6913"/>
    <w:multiLevelType w:val="hybridMultilevel"/>
    <w:tmpl w:val="8B28F50A"/>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4AC36EBB"/>
    <w:multiLevelType w:val="hybridMultilevel"/>
    <w:tmpl w:val="02E0957A"/>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4B314CAD"/>
    <w:multiLevelType w:val="hybridMultilevel"/>
    <w:tmpl w:val="A9581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EC521CA"/>
    <w:multiLevelType w:val="hybridMultilevel"/>
    <w:tmpl w:val="0A04AE54"/>
    <w:lvl w:ilvl="0" w:tplc="A6E07EDA">
      <w:start w:val="1"/>
      <w:numFmt w:val="low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0" w15:restartNumberingAfterBreak="0">
    <w:nsid w:val="4F181B9C"/>
    <w:multiLevelType w:val="hybridMultilevel"/>
    <w:tmpl w:val="795060E8"/>
    <w:lvl w:ilvl="0" w:tplc="B150FC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4FD14FFA"/>
    <w:multiLevelType w:val="hybridMultilevel"/>
    <w:tmpl w:val="F0801428"/>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51060C53"/>
    <w:multiLevelType w:val="hybridMultilevel"/>
    <w:tmpl w:val="F2B25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17713E3"/>
    <w:multiLevelType w:val="hybridMultilevel"/>
    <w:tmpl w:val="672EA962"/>
    <w:lvl w:ilvl="0" w:tplc="BA04D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51C52AB9"/>
    <w:multiLevelType w:val="hybridMultilevel"/>
    <w:tmpl w:val="4EE86FA2"/>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524B4CD6"/>
    <w:multiLevelType w:val="multilevel"/>
    <w:tmpl w:val="3AFC5920"/>
    <w:styleLink w:val="SmartSectionHeadingsList"/>
    <w:lvl w:ilvl="0">
      <w:start w:val="1"/>
      <w:numFmt w:val="decimal"/>
      <w:lvlText w:val="%1."/>
      <w:lvlJc w:val="left"/>
      <w:pPr>
        <w:tabs>
          <w:tab w:val="num" w:pos="432"/>
        </w:tabs>
        <w:ind w:left="432" w:hanging="432"/>
      </w:pPr>
      <w:rPr>
        <w:rFonts w:ascii="Georgia" w:hAnsi="Georgia" w:hint="default"/>
        <w:b w:val="0"/>
        <w:i w:val="0"/>
        <w:color w:val="A32020"/>
        <w:sz w:val="36"/>
      </w:rPr>
    </w:lvl>
    <w:lvl w:ilvl="1">
      <w:start w:val="1"/>
      <w:numFmt w:val="decimal"/>
      <w:lvlText w:val="%1.%2."/>
      <w:lvlJc w:val="left"/>
      <w:pPr>
        <w:tabs>
          <w:tab w:val="num" w:pos="720"/>
        </w:tabs>
        <w:ind w:left="720" w:hanging="720"/>
      </w:pPr>
      <w:rPr>
        <w:rFonts w:ascii="Georgia" w:hAnsi="Georgia" w:hint="default"/>
        <w:b w:val="0"/>
        <w:i w:val="0"/>
        <w:color w:val="A32020"/>
        <w:sz w:val="28"/>
      </w:rPr>
    </w:lvl>
    <w:lvl w:ilvl="2">
      <w:start w:val="1"/>
      <w:numFmt w:val="decimal"/>
      <w:lvlText w:val="%1.%2.%3."/>
      <w:lvlJc w:val="left"/>
      <w:pPr>
        <w:tabs>
          <w:tab w:val="num" w:pos="1080"/>
        </w:tabs>
        <w:ind w:left="1080" w:hanging="1080"/>
      </w:pPr>
      <w:rPr>
        <w:rFonts w:ascii="Georgia" w:hAnsi="Georgia" w:hint="default"/>
        <w:b w:val="0"/>
        <w:i w:val="0"/>
        <w:color w:val="A32020"/>
        <w:sz w:val="28"/>
      </w:rPr>
    </w:lvl>
    <w:lvl w:ilvl="3">
      <w:start w:val="1"/>
      <w:numFmt w:val="decimal"/>
      <w:lvlText w:val="%1.%2.%3.%4."/>
      <w:lvlJc w:val="left"/>
      <w:pPr>
        <w:tabs>
          <w:tab w:val="num" w:pos="1440"/>
        </w:tabs>
        <w:ind w:left="1440" w:hanging="1440"/>
      </w:pPr>
      <w:rPr>
        <w:rFonts w:ascii="Georgia" w:hAnsi="Georgia" w:hint="default"/>
        <w:b w:val="0"/>
        <w:i w:val="0"/>
        <w:color w:val="A32020"/>
        <w:sz w:val="28"/>
      </w:rPr>
    </w:lvl>
    <w:lvl w:ilvl="4">
      <w:start w:val="1"/>
      <w:numFmt w:val="decimal"/>
      <w:lvlText w:val="%1.%2.%3.%4.%5."/>
      <w:lvlJc w:val="left"/>
      <w:pPr>
        <w:tabs>
          <w:tab w:val="num" w:pos="1800"/>
        </w:tabs>
        <w:ind w:left="1800" w:hanging="1800"/>
      </w:pPr>
      <w:rPr>
        <w:rFonts w:ascii="Georgia" w:hAnsi="Georgia" w:hint="default"/>
        <w:b w:val="0"/>
        <w:i w:val="0"/>
        <w:color w:val="A32020"/>
        <w:sz w:val="28"/>
      </w:rPr>
    </w:lvl>
    <w:lvl w:ilvl="5">
      <w:start w:val="1"/>
      <w:numFmt w:val="decimal"/>
      <w:lvlText w:val="%1.%2.%3.%4.%5.%6."/>
      <w:lvlJc w:val="left"/>
      <w:pPr>
        <w:tabs>
          <w:tab w:val="num" w:pos="2160"/>
        </w:tabs>
        <w:ind w:left="2160" w:hanging="2160"/>
      </w:pPr>
      <w:rPr>
        <w:rFonts w:ascii="Georgia" w:hAnsi="Georgia" w:hint="default"/>
        <w:b w:val="0"/>
        <w:i w:val="0"/>
        <w:color w:val="A32020"/>
        <w:sz w:val="28"/>
      </w:rPr>
    </w:lvl>
    <w:lvl w:ilvl="6">
      <w:start w:val="1"/>
      <w:numFmt w:val="decimal"/>
      <w:lvlText w:val="%7.%1.%2.%3.%4.%5.%6."/>
      <w:lvlJc w:val="left"/>
      <w:pPr>
        <w:tabs>
          <w:tab w:val="num" w:pos="2520"/>
        </w:tabs>
        <w:ind w:left="2520" w:hanging="2520"/>
      </w:pPr>
      <w:rPr>
        <w:rFonts w:ascii="Georgia" w:hAnsi="Georgia" w:hint="default"/>
        <w:b w:val="0"/>
        <w:i w:val="0"/>
        <w:color w:val="A32020"/>
        <w:sz w:val="28"/>
      </w:rPr>
    </w:lvl>
    <w:lvl w:ilvl="7">
      <w:start w:val="1"/>
      <w:numFmt w:val="decimal"/>
      <w:lvlText w:val="%8.%1.%2.%3.%4.%5.%6.%7."/>
      <w:lvlJc w:val="left"/>
      <w:pPr>
        <w:tabs>
          <w:tab w:val="num" w:pos="2880"/>
        </w:tabs>
        <w:ind w:left="2880" w:hanging="2880"/>
      </w:pPr>
      <w:rPr>
        <w:rFonts w:ascii="Georgia" w:hAnsi="Georgia" w:hint="default"/>
        <w:b w:val="0"/>
        <w:i w:val="0"/>
        <w:color w:val="A32020"/>
        <w:sz w:val="28"/>
      </w:rPr>
    </w:lvl>
    <w:lvl w:ilvl="8">
      <w:start w:val="1"/>
      <w:numFmt w:val="decimal"/>
      <w:lvlText w:val="%9.%1.%2.%3.%4.%5.%6.%7.%8."/>
      <w:lvlJc w:val="left"/>
      <w:pPr>
        <w:tabs>
          <w:tab w:val="num" w:pos="3240"/>
        </w:tabs>
        <w:ind w:left="3240" w:hanging="3240"/>
      </w:pPr>
      <w:rPr>
        <w:rFonts w:ascii="Georgia" w:hAnsi="Georgia" w:hint="default"/>
        <w:b w:val="0"/>
        <w:i w:val="0"/>
        <w:color w:val="A32020"/>
        <w:sz w:val="28"/>
      </w:rPr>
    </w:lvl>
  </w:abstractNum>
  <w:abstractNum w:abstractNumId="76" w15:restartNumberingAfterBreak="0">
    <w:nsid w:val="52B35980"/>
    <w:multiLevelType w:val="hybridMultilevel"/>
    <w:tmpl w:val="92E25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3436D93"/>
    <w:multiLevelType w:val="multilevel"/>
    <w:tmpl w:val="0310C06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pStyle w:val="ListBullet9"/>
      <w:lvlText w:val=""/>
      <w:lvlJc w:val="left"/>
      <w:pPr>
        <w:tabs>
          <w:tab w:val="num" w:pos="5103"/>
        </w:tabs>
        <w:ind w:left="5103" w:hanging="567"/>
      </w:pPr>
      <w:rPr>
        <w:rFonts w:ascii="Symbol" w:hAnsi="Symbol" w:hint="default"/>
      </w:rPr>
    </w:lvl>
  </w:abstractNum>
  <w:abstractNum w:abstractNumId="78" w15:restartNumberingAfterBreak="0">
    <w:nsid w:val="54F16412"/>
    <w:multiLevelType w:val="multilevel"/>
    <w:tmpl w:val="4CDCF01A"/>
    <w:lvl w:ilvl="0">
      <w:start w:val="1"/>
      <w:numFmt w:val="upperLetter"/>
      <w:pStyle w:val="Appendix1"/>
      <w:suff w:val="nothing"/>
      <w:lvlText w:val="Appendix %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pStyle w:val="Appendix3"/>
      <w:suff w:val="nothing"/>
      <w:lvlText w:val="%3"/>
      <w:lvlJc w:val="left"/>
      <w:pPr>
        <w:ind w:left="0" w:firstLine="0"/>
      </w:pPr>
      <w:rPr>
        <w:rFonts w:hint="default"/>
      </w:rPr>
    </w:lvl>
    <w:lvl w:ilvl="3">
      <w:start w:val="1"/>
      <w:numFmt w:val="none"/>
      <w:pStyle w:val="Appendix4"/>
      <w:suff w:val="nothing"/>
      <w:lvlText w:val="%4"/>
      <w:lvlJc w:val="left"/>
      <w:pPr>
        <w:ind w:left="0" w:firstLine="0"/>
      </w:pPr>
      <w:rPr>
        <w:rFonts w:hint="default"/>
      </w:rPr>
    </w:lvl>
    <w:lvl w:ilvl="4">
      <w:start w:val="1"/>
      <w:numFmt w:val="none"/>
      <w:pStyle w:val="Appendix5"/>
      <w:suff w:val="nothing"/>
      <w:lvlText w:val="%5"/>
      <w:lvlJc w:val="left"/>
      <w:pPr>
        <w:ind w:left="0" w:firstLine="0"/>
      </w:pPr>
      <w:rPr>
        <w:rFonts w:hint="default"/>
      </w:rPr>
    </w:lvl>
    <w:lvl w:ilvl="5">
      <w:start w:val="1"/>
      <w:numFmt w:val="none"/>
      <w:pStyle w:val="Appendix6"/>
      <w:suff w:val="nothing"/>
      <w:lvlText w:val="%6"/>
      <w:lvlJc w:val="left"/>
      <w:pPr>
        <w:ind w:left="0" w:firstLine="0"/>
      </w:pPr>
      <w:rPr>
        <w:rFonts w:hint="default"/>
      </w:rPr>
    </w:lvl>
    <w:lvl w:ilvl="6">
      <w:start w:val="1"/>
      <w:numFmt w:val="none"/>
      <w:pStyle w:val="Appendix7"/>
      <w:suff w:val="nothing"/>
      <w:lvlText w:val="%7"/>
      <w:lvlJc w:val="left"/>
      <w:pPr>
        <w:ind w:left="0" w:firstLine="0"/>
      </w:pPr>
      <w:rPr>
        <w:rFonts w:hint="default"/>
      </w:rPr>
    </w:lvl>
    <w:lvl w:ilvl="7">
      <w:start w:val="1"/>
      <w:numFmt w:val="none"/>
      <w:pStyle w:val="Appendix8"/>
      <w:suff w:val="nothing"/>
      <w:lvlText w:val="%8"/>
      <w:lvlJc w:val="left"/>
      <w:pPr>
        <w:ind w:left="0" w:firstLine="0"/>
      </w:pPr>
      <w:rPr>
        <w:rFonts w:hint="default"/>
      </w:rPr>
    </w:lvl>
    <w:lvl w:ilvl="8">
      <w:start w:val="1"/>
      <w:numFmt w:val="none"/>
      <w:pStyle w:val="Appendix9"/>
      <w:suff w:val="nothing"/>
      <w:lvlText w:val="%9"/>
      <w:lvlJc w:val="left"/>
      <w:pPr>
        <w:ind w:left="0" w:firstLine="0"/>
      </w:pPr>
      <w:rPr>
        <w:rFonts w:hint="default"/>
      </w:rPr>
    </w:lvl>
  </w:abstractNum>
  <w:abstractNum w:abstractNumId="79" w15:restartNumberingAfterBreak="0">
    <w:nsid w:val="564C591E"/>
    <w:multiLevelType w:val="multilevel"/>
    <w:tmpl w:val="C8388C7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pStyle w:val="ListBullet7"/>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80" w15:restartNumberingAfterBreak="0">
    <w:nsid w:val="566F390E"/>
    <w:multiLevelType w:val="hybridMultilevel"/>
    <w:tmpl w:val="8A0A20A2"/>
    <w:lvl w:ilvl="0" w:tplc="0F2A2FC2">
      <w:start w:val="1"/>
      <w:numFmt w:val="lowerRoman"/>
      <w:lvlText w:val="(%1)"/>
      <w:lvlJc w:val="left"/>
      <w:pPr>
        <w:ind w:left="1845" w:hanging="72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81" w15:restartNumberingAfterBreak="0">
    <w:nsid w:val="56DD15FB"/>
    <w:multiLevelType w:val="multilevel"/>
    <w:tmpl w:val="74C4043E"/>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lowerLetter"/>
      <w:pStyle w:val="ListAlpha6"/>
      <w:lvlText w:val="%6."/>
      <w:lvlJc w:val="left"/>
      <w:pPr>
        <w:tabs>
          <w:tab w:val="num" w:pos="3402"/>
        </w:tabs>
        <w:ind w:left="3402" w:hanging="567"/>
      </w:pPr>
      <w:rPr>
        <w:rFonts w:hint="default"/>
        <w:sz w:val="20"/>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82" w15:restartNumberingAfterBreak="0">
    <w:nsid w:val="57C32AA5"/>
    <w:multiLevelType w:val="hybridMultilevel"/>
    <w:tmpl w:val="50A8A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9B41AFA"/>
    <w:multiLevelType w:val="multilevel"/>
    <w:tmpl w:val="8CBA46AE"/>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decimal"/>
      <w:pStyle w:val="ListNumber9"/>
      <w:lvlText w:val="%9."/>
      <w:lvlJc w:val="left"/>
      <w:pPr>
        <w:tabs>
          <w:tab w:val="num" w:pos="5103"/>
        </w:tabs>
        <w:ind w:left="5103" w:hanging="567"/>
      </w:pPr>
      <w:rPr>
        <w:rFonts w:hint="default"/>
        <w:sz w:val="20"/>
      </w:rPr>
    </w:lvl>
  </w:abstractNum>
  <w:abstractNum w:abstractNumId="84" w15:restartNumberingAfterBreak="0">
    <w:nsid w:val="59BD0152"/>
    <w:multiLevelType w:val="hybridMultilevel"/>
    <w:tmpl w:val="A6300970"/>
    <w:lvl w:ilvl="0" w:tplc="21CCEB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5C9043FA"/>
    <w:multiLevelType w:val="hybridMultilevel"/>
    <w:tmpl w:val="26A27BB2"/>
    <w:lvl w:ilvl="0" w:tplc="4E44D48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5DA83B48"/>
    <w:multiLevelType w:val="hybridMultilevel"/>
    <w:tmpl w:val="1EF866DE"/>
    <w:lvl w:ilvl="0" w:tplc="E6B8B28A">
      <w:start w:val="1"/>
      <w:numFmt w:val="decimal"/>
      <w:pStyle w:val="ListNumber2"/>
      <w:lvlText w:val="%1."/>
      <w:lvlJc w:val="left"/>
      <w:pPr>
        <w:ind w:left="922" w:hanging="360"/>
      </w:pPr>
    </w:lvl>
    <w:lvl w:ilvl="1" w:tplc="F320C73C">
      <w:start w:val="1"/>
      <w:numFmt w:val="lowerLetter"/>
      <w:lvlText w:val="%2."/>
      <w:lvlJc w:val="left"/>
      <w:pPr>
        <w:ind w:left="2007" w:hanging="360"/>
      </w:pPr>
    </w:lvl>
    <w:lvl w:ilvl="2" w:tplc="DFD2FF52" w:tentative="1">
      <w:start w:val="1"/>
      <w:numFmt w:val="lowerRoman"/>
      <w:lvlText w:val="%3."/>
      <w:lvlJc w:val="right"/>
      <w:pPr>
        <w:ind w:left="2727" w:hanging="180"/>
      </w:pPr>
    </w:lvl>
    <w:lvl w:ilvl="3" w:tplc="A260C4DA" w:tentative="1">
      <w:start w:val="1"/>
      <w:numFmt w:val="decimal"/>
      <w:lvlText w:val="%4."/>
      <w:lvlJc w:val="left"/>
      <w:pPr>
        <w:ind w:left="3447" w:hanging="360"/>
      </w:pPr>
    </w:lvl>
    <w:lvl w:ilvl="4" w:tplc="6074C448" w:tentative="1">
      <w:start w:val="1"/>
      <w:numFmt w:val="lowerLetter"/>
      <w:lvlText w:val="%5."/>
      <w:lvlJc w:val="left"/>
      <w:pPr>
        <w:ind w:left="4167" w:hanging="360"/>
      </w:pPr>
    </w:lvl>
    <w:lvl w:ilvl="5" w:tplc="7D50F114" w:tentative="1">
      <w:start w:val="1"/>
      <w:numFmt w:val="lowerRoman"/>
      <w:lvlText w:val="%6."/>
      <w:lvlJc w:val="right"/>
      <w:pPr>
        <w:ind w:left="4887" w:hanging="180"/>
      </w:pPr>
    </w:lvl>
    <w:lvl w:ilvl="6" w:tplc="4C1AEB0A" w:tentative="1">
      <w:start w:val="1"/>
      <w:numFmt w:val="decimal"/>
      <w:lvlText w:val="%7."/>
      <w:lvlJc w:val="left"/>
      <w:pPr>
        <w:ind w:left="5607" w:hanging="360"/>
      </w:pPr>
    </w:lvl>
    <w:lvl w:ilvl="7" w:tplc="9D7C20FA" w:tentative="1">
      <w:start w:val="1"/>
      <w:numFmt w:val="lowerLetter"/>
      <w:lvlText w:val="%8."/>
      <w:lvlJc w:val="left"/>
      <w:pPr>
        <w:ind w:left="6327" w:hanging="360"/>
      </w:pPr>
    </w:lvl>
    <w:lvl w:ilvl="8" w:tplc="5B5A0306" w:tentative="1">
      <w:start w:val="1"/>
      <w:numFmt w:val="lowerRoman"/>
      <w:lvlText w:val="%9."/>
      <w:lvlJc w:val="right"/>
      <w:pPr>
        <w:ind w:left="7047" w:hanging="180"/>
      </w:pPr>
    </w:lvl>
  </w:abstractNum>
  <w:abstractNum w:abstractNumId="87" w15:restartNumberingAfterBreak="0">
    <w:nsid w:val="5EBD4252"/>
    <w:multiLevelType w:val="multilevel"/>
    <w:tmpl w:val="50EA995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decimal"/>
      <w:pStyle w:val="ListNumber6"/>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88" w15:restartNumberingAfterBreak="0">
    <w:nsid w:val="5EEB18B5"/>
    <w:multiLevelType w:val="hybridMultilevel"/>
    <w:tmpl w:val="8F6232B2"/>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5F160E79"/>
    <w:multiLevelType w:val="hybridMultilevel"/>
    <w:tmpl w:val="E6FAAB44"/>
    <w:lvl w:ilvl="0" w:tplc="D3781FE4">
      <w:start w:val="1"/>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60543976"/>
    <w:multiLevelType w:val="hybridMultilevel"/>
    <w:tmpl w:val="30381BC2"/>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60EA33C3"/>
    <w:multiLevelType w:val="hybridMultilevel"/>
    <w:tmpl w:val="A8F2BA80"/>
    <w:lvl w:ilvl="0" w:tplc="A3463C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629B2619"/>
    <w:multiLevelType w:val="hybridMultilevel"/>
    <w:tmpl w:val="080C142A"/>
    <w:lvl w:ilvl="0" w:tplc="37E472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62AD62F5"/>
    <w:multiLevelType w:val="multilevel"/>
    <w:tmpl w:val="5E6A7EDE"/>
    <w:lvl w:ilvl="0">
      <w:start w:val="1"/>
      <w:numFmt w:val="lowerRoman"/>
      <w:pStyle w:val="ListRoman"/>
      <w:lvlText w:val="%1."/>
      <w:lvlJc w:val="left"/>
      <w:pPr>
        <w:tabs>
          <w:tab w:val="num" w:pos="567"/>
        </w:tabs>
        <w:ind w:left="567" w:hanging="567"/>
      </w:pPr>
      <w:rPr>
        <w:rFonts w:hint="default"/>
        <w:sz w:val="2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94" w15:restartNumberingAfterBreak="0">
    <w:nsid w:val="637F446C"/>
    <w:multiLevelType w:val="hybridMultilevel"/>
    <w:tmpl w:val="1F16F9EA"/>
    <w:lvl w:ilvl="0" w:tplc="EB28EE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678A6999"/>
    <w:multiLevelType w:val="hybridMultilevel"/>
    <w:tmpl w:val="888CFD6E"/>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684205D6"/>
    <w:multiLevelType w:val="hybridMultilevel"/>
    <w:tmpl w:val="3B825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9972320"/>
    <w:multiLevelType w:val="hybridMultilevel"/>
    <w:tmpl w:val="E6840BAA"/>
    <w:lvl w:ilvl="0" w:tplc="9A6CB31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69C85E98"/>
    <w:multiLevelType w:val="hybridMultilevel"/>
    <w:tmpl w:val="E438F9C6"/>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6A2904AF"/>
    <w:multiLevelType w:val="hybridMultilevel"/>
    <w:tmpl w:val="3154C410"/>
    <w:lvl w:ilvl="0" w:tplc="61A6B2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6A463FB8"/>
    <w:multiLevelType w:val="multilevel"/>
    <w:tmpl w:val="E62A5E8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lowerLetter"/>
      <w:pStyle w:val="ListAlpha3"/>
      <w:lvlText w:val="%3."/>
      <w:lvlJc w:val="left"/>
      <w:pPr>
        <w:tabs>
          <w:tab w:val="num" w:pos="1701"/>
        </w:tabs>
        <w:ind w:left="1701" w:hanging="567"/>
      </w:pPr>
      <w:rPr>
        <w:rFonts w:hint="default"/>
        <w:b w:val="0"/>
        <w:i w:val="0"/>
        <w:sz w:val="20"/>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01" w15:restartNumberingAfterBreak="0">
    <w:nsid w:val="6B84678E"/>
    <w:multiLevelType w:val="hybridMultilevel"/>
    <w:tmpl w:val="CD26CBF8"/>
    <w:lvl w:ilvl="0" w:tplc="F8CA1624">
      <w:start w:val="1"/>
      <w:numFmt w:val="lowerRoman"/>
      <w:pStyle w:val="ListRoman2"/>
      <w:lvlText w:val="%1."/>
      <w:lvlJc w:val="left"/>
      <w:pPr>
        <w:ind w:left="922" w:hanging="360"/>
      </w:pPr>
      <w:rPr>
        <w:rFonts w:hint="default"/>
        <w:sz w:val="20"/>
      </w:rPr>
    </w:lvl>
    <w:lvl w:ilvl="1" w:tplc="B3E84B82">
      <w:start w:val="1"/>
      <w:numFmt w:val="lowerLetter"/>
      <w:lvlText w:val="%2."/>
      <w:lvlJc w:val="left"/>
      <w:pPr>
        <w:ind w:left="2007" w:hanging="360"/>
      </w:pPr>
    </w:lvl>
    <w:lvl w:ilvl="2" w:tplc="0886554C" w:tentative="1">
      <w:start w:val="1"/>
      <w:numFmt w:val="lowerRoman"/>
      <w:lvlText w:val="%3."/>
      <w:lvlJc w:val="right"/>
      <w:pPr>
        <w:ind w:left="2727" w:hanging="180"/>
      </w:pPr>
    </w:lvl>
    <w:lvl w:ilvl="3" w:tplc="D5246FBA" w:tentative="1">
      <w:start w:val="1"/>
      <w:numFmt w:val="decimal"/>
      <w:lvlText w:val="%4."/>
      <w:lvlJc w:val="left"/>
      <w:pPr>
        <w:ind w:left="3447" w:hanging="360"/>
      </w:pPr>
    </w:lvl>
    <w:lvl w:ilvl="4" w:tplc="BE6A8546" w:tentative="1">
      <w:start w:val="1"/>
      <w:numFmt w:val="lowerLetter"/>
      <w:lvlText w:val="%5."/>
      <w:lvlJc w:val="left"/>
      <w:pPr>
        <w:ind w:left="4167" w:hanging="360"/>
      </w:pPr>
    </w:lvl>
    <w:lvl w:ilvl="5" w:tplc="3E6E7BA4" w:tentative="1">
      <w:start w:val="1"/>
      <w:numFmt w:val="lowerRoman"/>
      <w:lvlText w:val="%6."/>
      <w:lvlJc w:val="right"/>
      <w:pPr>
        <w:ind w:left="4887" w:hanging="180"/>
      </w:pPr>
    </w:lvl>
    <w:lvl w:ilvl="6" w:tplc="B18CD246" w:tentative="1">
      <w:start w:val="1"/>
      <w:numFmt w:val="decimal"/>
      <w:lvlText w:val="%7."/>
      <w:lvlJc w:val="left"/>
      <w:pPr>
        <w:ind w:left="5607" w:hanging="360"/>
      </w:pPr>
    </w:lvl>
    <w:lvl w:ilvl="7" w:tplc="46208F6E" w:tentative="1">
      <w:start w:val="1"/>
      <w:numFmt w:val="lowerLetter"/>
      <w:lvlText w:val="%8."/>
      <w:lvlJc w:val="left"/>
      <w:pPr>
        <w:ind w:left="6327" w:hanging="360"/>
      </w:pPr>
    </w:lvl>
    <w:lvl w:ilvl="8" w:tplc="14648182" w:tentative="1">
      <w:start w:val="1"/>
      <w:numFmt w:val="lowerRoman"/>
      <w:lvlText w:val="%9."/>
      <w:lvlJc w:val="right"/>
      <w:pPr>
        <w:ind w:left="7047" w:hanging="180"/>
      </w:pPr>
    </w:lvl>
  </w:abstractNum>
  <w:abstractNum w:abstractNumId="102" w15:restartNumberingAfterBreak="0">
    <w:nsid w:val="6F49132E"/>
    <w:multiLevelType w:val="multilevel"/>
    <w:tmpl w:val="78F01286"/>
    <w:lvl w:ilvl="0">
      <w:start w:val="1"/>
      <w:numFmt w:val="lowerLetter"/>
      <w:pStyle w:val="ListAlpha"/>
      <w:lvlText w:val="%1."/>
      <w:lvlJc w:val="left"/>
      <w:pPr>
        <w:tabs>
          <w:tab w:val="num" w:pos="567"/>
        </w:tabs>
        <w:ind w:left="567" w:hanging="567"/>
      </w:pPr>
      <w:rPr>
        <w:rFonts w:hint="default"/>
        <w:sz w:val="2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03" w15:restartNumberingAfterBreak="0">
    <w:nsid w:val="6F7526E9"/>
    <w:multiLevelType w:val="hybridMultilevel"/>
    <w:tmpl w:val="3B20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0AD6352"/>
    <w:multiLevelType w:val="hybridMultilevel"/>
    <w:tmpl w:val="347851D6"/>
    <w:lvl w:ilvl="0" w:tplc="381018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70D734EF"/>
    <w:multiLevelType w:val="hybridMultilevel"/>
    <w:tmpl w:val="51127CBE"/>
    <w:lvl w:ilvl="0" w:tplc="DB88AC3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72591CA9"/>
    <w:multiLevelType w:val="multilevel"/>
    <w:tmpl w:val="CD4C98AE"/>
    <w:styleLink w:val="PwCListBullets1"/>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Symbol" w:hAnsi="Symbol" w:hint="default"/>
      </w:rPr>
    </w:lvl>
    <w:lvl w:ilvl="2">
      <w:start w:val="1"/>
      <w:numFmt w:val="bullet"/>
      <w:pStyle w:val="ListBullet3"/>
      <w:lvlText w:val="◦"/>
      <w:lvlJc w:val="left"/>
      <w:pPr>
        <w:tabs>
          <w:tab w:val="num" w:pos="1701"/>
        </w:tabs>
        <w:ind w:left="1701" w:hanging="567"/>
      </w:pPr>
      <w:rPr>
        <w:rFonts w:ascii="Georgia" w:hAnsi="Georgia" w:hint="default"/>
        <w:b/>
      </w:rPr>
    </w:lvl>
    <w:lvl w:ilvl="3">
      <w:start w:val="1"/>
      <w:numFmt w:val="bullet"/>
      <w:pStyle w:val="ListBullet4"/>
      <w:lvlText w:val=""/>
      <w:lvlJc w:val="left"/>
      <w:pPr>
        <w:tabs>
          <w:tab w:val="num" w:pos="2268"/>
        </w:tabs>
        <w:ind w:left="2268" w:hanging="567"/>
      </w:pPr>
      <w:rPr>
        <w:rFonts w:ascii="Symbol" w:hAnsi="Symbol" w:hint="default"/>
      </w:rPr>
    </w:lvl>
    <w:lvl w:ilvl="4">
      <w:start w:val="1"/>
      <w:numFmt w:val="bullet"/>
      <w:pStyle w:val="ListBullet5"/>
      <w:lvlText w:val="~"/>
      <w:lvlJc w:val="left"/>
      <w:pPr>
        <w:tabs>
          <w:tab w:val="num" w:pos="2835"/>
        </w:tabs>
        <w:ind w:left="2835" w:hanging="567"/>
      </w:pPr>
      <w:rPr>
        <w:rFonts w:ascii="Georgia" w:hAnsi="Georgia" w:hint="default"/>
      </w:rPr>
    </w:lvl>
    <w:lvl w:ilvl="5">
      <w:start w:val="1"/>
      <w:numFmt w:val="bullet"/>
      <w:pStyle w:val="ListBullet6"/>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07" w15:restartNumberingAfterBreak="0">
    <w:nsid w:val="73EA1B15"/>
    <w:multiLevelType w:val="hybridMultilevel"/>
    <w:tmpl w:val="422C1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3EC7988"/>
    <w:multiLevelType w:val="hybridMultilevel"/>
    <w:tmpl w:val="C4766D04"/>
    <w:lvl w:ilvl="0" w:tplc="1FD0B8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74134525"/>
    <w:multiLevelType w:val="hybridMultilevel"/>
    <w:tmpl w:val="35603506"/>
    <w:lvl w:ilvl="0" w:tplc="CE9CB0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74AF3744"/>
    <w:multiLevelType w:val="multilevel"/>
    <w:tmpl w:val="275C7B1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pStyle w:val="ListBullet8"/>
      <w:lvlText w:val="º"/>
      <w:lvlJc w:val="left"/>
      <w:pPr>
        <w:tabs>
          <w:tab w:val="num" w:pos="4536"/>
        </w:tabs>
        <w:ind w:left="4536" w:hanging="567"/>
      </w:pPr>
      <w:rPr>
        <w:rFonts w:ascii="Courier New" w:hAnsi="Courier New" w:hint="default"/>
      </w:rPr>
    </w:lvl>
    <w:lvl w:ilvl="8">
      <w:start w:val="1"/>
      <w:numFmt w:val="bullet"/>
      <w:lvlText w:val=""/>
      <w:lvlJc w:val="left"/>
      <w:pPr>
        <w:tabs>
          <w:tab w:val="num" w:pos="5103"/>
        </w:tabs>
        <w:ind w:left="5103" w:hanging="567"/>
      </w:pPr>
      <w:rPr>
        <w:rFonts w:ascii="Symbol" w:hAnsi="Symbol" w:hint="default"/>
      </w:rPr>
    </w:lvl>
  </w:abstractNum>
  <w:abstractNum w:abstractNumId="111" w15:restartNumberingAfterBreak="0">
    <w:nsid w:val="75E366E9"/>
    <w:multiLevelType w:val="hybridMultilevel"/>
    <w:tmpl w:val="10BA0D54"/>
    <w:lvl w:ilvl="0" w:tplc="CD0E4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761C5559"/>
    <w:multiLevelType w:val="multilevel"/>
    <w:tmpl w:val="84066634"/>
    <w:styleLink w:val="SmartBullets"/>
    <w:lvl w:ilvl="0">
      <w:start w:val="1"/>
      <w:numFmt w:val="bullet"/>
      <w:lvlText w:val="•"/>
      <w:lvlJc w:val="left"/>
      <w:pPr>
        <w:tabs>
          <w:tab w:val="num" w:pos="360"/>
        </w:tabs>
        <w:ind w:left="360" w:hanging="360"/>
      </w:pPr>
      <w:rPr>
        <w:rFonts w:ascii="Arial" w:hAnsi="Arial" w:cs="Times New Roman" w:hint="default"/>
        <w:b w:val="0"/>
        <w:i w:val="0"/>
        <w:sz w:val="22"/>
      </w:rPr>
    </w:lvl>
    <w:lvl w:ilvl="1">
      <w:start w:val="1"/>
      <w:numFmt w:val="bullet"/>
      <w:lvlText w:val="–"/>
      <w:lvlJc w:val="left"/>
      <w:pPr>
        <w:tabs>
          <w:tab w:val="num" w:pos="720"/>
        </w:tabs>
        <w:ind w:left="720" w:hanging="360"/>
      </w:pPr>
      <w:rPr>
        <w:rFonts w:ascii="Times New Roman" w:hAnsi="Times New Roman" w:cs="Times New Roman" w:hint="default"/>
        <w:b w:val="0"/>
        <w:i w:val="0"/>
        <w:sz w:val="22"/>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Times New Roman" w:hAnsi="Times New Roman" w:cs="Times New Roman" w:hint="default"/>
        <w:b w:val="0"/>
        <w:i w:val="0"/>
        <w:sz w:val="22"/>
      </w:rPr>
    </w:lvl>
    <w:lvl w:ilvl="4">
      <w:start w:val="1"/>
      <w:numFmt w:val="bullet"/>
      <w:lvlText w:val="•"/>
      <w:lvlJc w:val="left"/>
      <w:pPr>
        <w:tabs>
          <w:tab w:val="num" w:pos="1800"/>
        </w:tabs>
        <w:ind w:left="1800" w:hanging="360"/>
      </w:pPr>
      <w:rPr>
        <w:rFonts w:ascii="Times New Roman" w:hAnsi="Times New Roman" w:cs="Times New Roman" w:hint="default"/>
        <w:b w:val="0"/>
        <w:i w:val="0"/>
        <w:sz w:val="22"/>
      </w:rPr>
    </w:lvl>
    <w:lvl w:ilvl="5">
      <w:start w:val="1"/>
      <w:numFmt w:val="none"/>
      <w:lvlText w:val=""/>
      <w:lvlJc w:val="left"/>
      <w:pPr>
        <w:tabs>
          <w:tab w:val="num" w:pos="2160"/>
        </w:tabs>
        <w:ind w:left="2160" w:hanging="360"/>
      </w:pPr>
      <w:rPr>
        <w:rFonts w:hint="default"/>
      </w:rPr>
    </w:lvl>
    <w:lvl w:ilvl="6">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13" w15:restartNumberingAfterBreak="0">
    <w:nsid w:val="78104EF6"/>
    <w:multiLevelType w:val="hybridMultilevel"/>
    <w:tmpl w:val="F998CFD8"/>
    <w:lvl w:ilvl="0" w:tplc="685868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78BA385E"/>
    <w:multiLevelType w:val="hybridMultilevel"/>
    <w:tmpl w:val="BD645084"/>
    <w:lvl w:ilvl="0" w:tplc="25D6FB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79463567"/>
    <w:multiLevelType w:val="hybridMultilevel"/>
    <w:tmpl w:val="C3284E6A"/>
    <w:lvl w:ilvl="0" w:tplc="18C0D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79E47FF8"/>
    <w:multiLevelType w:val="hybridMultilevel"/>
    <w:tmpl w:val="344E1FF2"/>
    <w:lvl w:ilvl="0" w:tplc="21B6A2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7A2D68FC"/>
    <w:multiLevelType w:val="hybridMultilevel"/>
    <w:tmpl w:val="23806214"/>
    <w:lvl w:ilvl="0" w:tplc="195C47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7A5E32BC"/>
    <w:multiLevelType w:val="multilevel"/>
    <w:tmpl w:val="62BA0728"/>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lowerRoman"/>
      <w:pStyle w:val="ListRoman7"/>
      <w:lvlText w:val="%7."/>
      <w:lvlJc w:val="left"/>
      <w:pPr>
        <w:tabs>
          <w:tab w:val="num" w:pos="3969"/>
        </w:tabs>
        <w:ind w:left="3969" w:hanging="567"/>
      </w:pPr>
      <w:rPr>
        <w:rFonts w:hint="default"/>
        <w:sz w:val="20"/>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19" w15:restartNumberingAfterBreak="0">
    <w:nsid w:val="7AF1497A"/>
    <w:multiLevelType w:val="hybridMultilevel"/>
    <w:tmpl w:val="D31E9F7A"/>
    <w:lvl w:ilvl="0" w:tplc="7E2E526E">
      <w:start w:val="1"/>
      <w:numFmt w:val="lowerRoman"/>
      <w:lvlText w:val="(%1)"/>
      <w:lvlJc w:val="left"/>
      <w:pPr>
        <w:ind w:left="1845" w:hanging="72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20" w15:restartNumberingAfterBreak="0">
    <w:nsid w:val="7F6E7A36"/>
    <w:multiLevelType w:val="multilevel"/>
    <w:tmpl w:val="91920344"/>
    <w:lvl w:ilvl="0">
      <w:start w:val="1"/>
      <w:numFmt w:val="upperLetter"/>
      <w:pStyle w:val="Exhibit1"/>
      <w:suff w:val="nothing"/>
      <w:lvlText w:val="Exhibit %1."/>
      <w:lvlJc w:val="left"/>
      <w:pPr>
        <w:ind w:left="0" w:firstLine="0"/>
      </w:pPr>
      <w:rPr>
        <w:rFonts w:hint="default"/>
      </w:rPr>
    </w:lvl>
    <w:lvl w:ilvl="1">
      <w:start w:val="1"/>
      <w:numFmt w:val="none"/>
      <w:lvlRestart w:val="0"/>
      <w:suff w:val="nothing"/>
      <w:lvlText w:val="%2"/>
      <w:lvlJc w:val="left"/>
      <w:pPr>
        <w:ind w:left="0" w:firstLine="0"/>
      </w:pPr>
      <w:rPr>
        <w:rFonts w:hint="default"/>
      </w:rPr>
    </w:lvl>
    <w:lvl w:ilvl="2">
      <w:start w:val="1"/>
      <w:numFmt w:val="none"/>
      <w:lvlRestart w:val="0"/>
      <w:pStyle w:val="Exhibit3"/>
      <w:suff w:val="nothing"/>
      <w:lvlText w:val="%3"/>
      <w:lvlJc w:val="left"/>
      <w:pPr>
        <w:ind w:left="0" w:firstLine="0"/>
      </w:pPr>
      <w:rPr>
        <w:rFonts w:hint="default"/>
      </w:rPr>
    </w:lvl>
    <w:lvl w:ilvl="3">
      <w:start w:val="1"/>
      <w:numFmt w:val="none"/>
      <w:lvlRestart w:val="0"/>
      <w:pStyle w:val="Exhibit4"/>
      <w:suff w:val="nothing"/>
      <w:lvlText w:val="%4"/>
      <w:lvlJc w:val="left"/>
      <w:pPr>
        <w:ind w:left="0" w:firstLine="0"/>
      </w:pPr>
      <w:rPr>
        <w:rFonts w:hint="default"/>
      </w:rPr>
    </w:lvl>
    <w:lvl w:ilvl="4">
      <w:start w:val="1"/>
      <w:numFmt w:val="none"/>
      <w:lvlRestart w:val="0"/>
      <w:pStyle w:val="Exhibit5"/>
      <w:suff w:val="nothing"/>
      <w:lvlText w:val="%5"/>
      <w:lvlJc w:val="left"/>
      <w:pPr>
        <w:ind w:left="0" w:firstLine="0"/>
      </w:pPr>
      <w:rPr>
        <w:rFonts w:hint="default"/>
      </w:rPr>
    </w:lvl>
    <w:lvl w:ilvl="5">
      <w:start w:val="1"/>
      <w:numFmt w:val="none"/>
      <w:lvlRestart w:val="0"/>
      <w:pStyle w:val="Exhibit6"/>
      <w:suff w:val="nothing"/>
      <w:lvlText w:val="%6"/>
      <w:lvlJc w:val="left"/>
      <w:pPr>
        <w:ind w:left="0" w:firstLine="0"/>
      </w:pPr>
      <w:rPr>
        <w:rFonts w:hint="default"/>
      </w:rPr>
    </w:lvl>
    <w:lvl w:ilvl="6">
      <w:start w:val="1"/>
      <w:numFmt w:val="none"/>
      <w:lvlRestart w:val="0"/>
      <w:pStyle w:val="Exhibit7"/>
      <w:suff w:val="nothing"/>
      <w:lvlText w:val="%7"/>
      <w:lvlJc w:val="left"/>
      <w:pPr>
        <w:ind w:left="0" w:firstLine="0"/>
      </w:pPr>
      <w:rPr>
        <w:rFonts w:hint="default"/>
      </w:rPr>
    </w:lvl>
    <w:lvl w:ilvl="7">
      <w:start w:val="1"/>
      <w:numFmt w:val="none"/>
      <w:lvlRestart w:val="0"/>
      <w:pStyle w:val="Exhibit8"/>
      <w:suff w:val="nothing"/>
      <w:lvlText w:val="%8"/>
      <w:lvlJc w:val="left"/>
      <w:pPr>
        <w:ind w:left="0" w:firstLine="0"/>
      </w:pPr>
      <w:rPr>
        <w:rFonts w:hint="default"/>
      </w:rPr>
    </w:lvl>
    <w:lvl w:ilvl="8">
      <w:start w:val="1"/>
      <w:numFmt w:val="none"/>
      <w:lvlRestart w:val="0"/>
      <w:pStyle w:val="Exhibit9"/>
      <w:suff w:val="nothing"/>
      <w:lvlText w:val="%9"/>
      <w:lvlJc w:val="left"/>
      <w:pPr>
        <w:ind w:left="0" w:firstLine="0"/>
      </w:pPr>
      <w:rPr>
        <w:rFonts w:hint="default"/>
      </w:rPr>
    </w:lvl>
  </w:abstractNum>
  <w:abstractNum w:abstractNumId="121" w15:restartNumberingAfterBreak="0">
    <w:nsid w:val="7F8013E8"/>
    <w:multiLevelType w:val="multilevel"/>
    <w:tmpl w:val="FD2AB85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lowerLetter"/>
      <w:pStyle w:val="ListAlpha7"/>
      <w:lvlText w:val="%7."/>
      <w:lvlJc w:val="left"/>
      <w:pPr>
        <w:tabs>
          <w:tab w:val="num" w:pos="3969"/>
        </w:tabs>
        <w:ind w:left="3969" w:hanging="567"/>
      </w:pPr>
      <w:rPr>
        <w:rFonts w:hint="default"/>
        <w:sz w:val="20"/>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num w:numId="1">
    <w:abstractNumId w:val="106"/>
  </w:num>
  <w:num w:numId="2">
    <w:abstractNumId w:val="12"/>
  </w:num>
  <w:num w:numId="3">
    <w:abstractNumId w:val="79"/>
  </w:num>
  <w:num w:numId="4">
    <w:abstractNumId w:val="110"/>
  </w:num>
  <w:num w:numId="5">
    <w:abstractNumId w:val="77"/>
  </w:num>
  <w:num w:numId="6">
    <w:abstractNumId w:val="86"/>
  </w:num>
  <w:num w:numId="7">
    <w:abstractNumId w:val="28"/>
  </w:num>
  <w:num w:numId="8">
    <w:abstractNumId w:val="87"/>
  </w:num>
  <w:num w:numId="9">
    <w:abstractNumId w:val="15"/>
  </w:num>
  <w:num w:numId="10">
    <w:abstractNumId w:val="64"/>
  </w:num>
  <w:num w:numId="11">
    <w:abstractNumId w:val="83"/>
  </w:num>
  <w:num w:numId="12">
    <w:abstractNumId w:val="2"/>
  </w:num>
  <w:num w:numId="13">
    <w:abstractNumId w:val="17"/>
  </w:num>
  <w:num w:numId="14">
    <w:abstractNumId w:val="101"/>
  </w:num>
  <w:num w:numId="15">
    <w:abstractNumId w:val="35"/>
  </w:num>
  <w:num w:numId="16">
    <w:abstractNumId w:val="38"/>
  </w:num>
  <w:num w:numId="17">
    <w:abstractNumId w:val="8"/>
  </w:num>
  <w:num w:numId="18">
    <w:abstractNumId w:val="44"/>
  </w:num>
  <w:num w:numId="19">
    <w:abstractNumId w:val="118"/>
  </w:num>
  <w:num w:numId="20">
    <w:abstractNumId w:val="10"/>
  </w:num>
  <w:num w:numId="21">
    <w:abstractNumId w:val="56"/>
  </w:num>
  <w:num w:numId="22">
    <w:abstractNumId w:val="1"/>
  </w:num>
  <w:num w:numId="23">
    <w:abstractNumId w:val="100"/>
  </w:num>
  <w:num w:numId="24">
    <w:abstractNumId w:val="6"/>
  </w:num>
  <w:num w:numId="25">
    <w:abstractNumId w:val="7"/>
  </w:num>
  <w:num w:numId="26">
    <w:abstractNumId w:val="81"/>
  </w:num>
  <w:num w:numId="27">
    <w:abstractNumId w:val="121"/>
  </w:num>
  <w:num w:numId="28">
    <w:abstractNumId w:val="55"/>
  </w:num>
  <w:num w:numId="29">
    <w:abstractNumId w:val="9"/>
  </w:num>
  <w:num w:numId="30">
    <w:abstractNumId w:val="34"/>
  </w:num>
  <w:num w:numId="31">
    <w:abstractNumId w:val="112"/>
  </w:num>
  <w:num w:numId="32">
    <w:abstractNumId w:val="39"/>
  </w:num>
  <w:num w:numId="33">
    <w:abstractNumId w:val="41"/>
  </w:num>
  <w:num w:numId="34">
    <w:abstractNumId w:val="57"/>
  </w:num>
  <w:num w:numId="35">
    <w:abstractNumId w:val="120"/>
  </w:num>
  <w:num w:numId="36">
    <w:abstractNumId w:val="78"/>
  </w:num>
  <w:num w:numId="37">
    <w:abstractNumId w:val="93"/>
  </w:num>
  <w:num w:numId="38">
    <w:abstractNumId w:val="102"/>
  </w:num>
  <w:num w:numId="39">
    <w:abstractNumId w:val="4"/>
  </w:num>
  <w:num w:numId="40">
    <w:abstractNumId w:val="75"/>
  </w:num>
  <w:num w:numId="41">
    <w:abstractNumId w:val="14"/>
  </w:num>
  <w:num w:numId="42">
    <w:abstractNumId w:val="49"/>
  </w:num>
  <w:num w:numId="43">
    <w:abstractNumId w:val="18"/>
  </w:num>
  <w:num w:numId="44">
    <w:abstractNumId w:val="68"/>
  </w:num>
  <w:num w:numId="45">
    <w:abstractNumId w:val="23"/>
  </w:num>
  <w:num w:numId="46">
    <w:abstractNumId w:val="51"/>
  </w:num>
  <w:num w:numId="47">
    <w:abstractNumId w:val="72"/>
  </w:num>
  <w:num w:numId="48">
    <w:abstractNumId w:val="48"/>
  </w:num>
  <w:num w:numId="49">
    <w:abstractNumId w:val="107"/>
  </w:num>
  <w:num w:numId="50">
    <w:abstractNumId w:val="32"/>
  </w:num>
  <w:num w:numId="51">
    <w:abstractNumId w:val="24"/>
  </w:num>
  <w:num w:numId="52">
    <w:abstractNumId w:val="82"/>
  </w:num>
  <w:num w:numId="53">
    <w:abstractNumId w:val="52"/>
  </w:num>
  <w:num w:numId="54">
    <w:abstractNumId w:val="103"/>
  </w:num>
  <w:num w:numId="55">
    <w:abstractNumId w:val="96"/>
  </w:num>
  <w:num w:numId="56">
    <w:abstractNumId w:val="3"/>
  </w:num>
  <w:num w:numId="57">
    <w:abstractNumId w:val="76"/>
  </w:num>
  <w:num w:numId="58">
    <w:abstractNumId w:val="39"/>
  </w:num>
  <w:num w:numId="59">
    <w:abstractNumId w:val="39"/>
  </w:num>
  <w:num w:numId="60">
    <w:abstractNumId w:val="39"/>
  </w:num>
  <w:num w:numId="61">
    <w:abstractNumId w:val="39"/>
  </w:num>
  <w:num w:numId="62">
    <w:abstractNumId w:val="63"/>
  </w:num>
  <w:num w:numId="63">
    <w:abstractNumId w:val="99"/>
  </w:num>
  <w:num w:numId="64">
    <w:abstractNumId w:val="25"/>
  </w:num>
  <w:num w:numId="65">
    <w:abstractNumId w:val="27"/>
  </w:num>
  <w:num w:numId="66">
    <w:abstractNumId w:val="47"/>
  </w:num>
  <w:num w:numId="67">
    <w:abstractNumId w:val="116"/>
  </w:num>
  <w:num w:numId="68">
    <w:abstractNumId w:val="117"/>
  </w:num>
  <w:num w:numId="69">
    <w:abstractNumId w:val="115"/>
  </w:num>
  <w:num w:numId="70">
    <w:abstractNumId w:val="119"/>
  </w:num>
  <w:num w:numId="71">
    <w:abstractNumId w:val="80"/>
  </w:num>
  <w:num w:numId="72">
    <w:abstractNumId w:val="94"/>
  </w:num>
  <w:num w:numId="73">
    <w:abstractNumId w:val="16"/>
  </w:num>
  <w:num w:numId="74">
    <w:abstractNumId w:val="70"/>
  </w:num>
  <w:num w:numId="75">
    <w:abstractNumId w:val="45"/>
  </w:num>
  <w:num w:numId="76">
    <w:abstractNumId w:val="40"/>
  </w:num>
  <w:num w:numId="77">
    <w:abstractNumId w:val="104"/>
  </w:num>
  <w:num w:numId="78">
    <w:abstractNumId w:val="92"/>
  </w:num>
  <w:num w:numId="79">
    <w:abstractNumId w:val="91"/>
  </w:num>
  <w:num w:numId="80">
    <w:abstractNumId w:val="84"/>
  </w:num>
  <w:num w:numId="81">
    <w:abstractNumId w:val="43"/>
  </w:num>
  <w:num w:numId="82">
    <w:abstractNumId w:val="54"/>
  </w:num>
  <w:num w:numId="83">
    <w:abstractNumId w:val="69"/>
  </w:num>
  <w:num w:numId="84">
    <w:abstractNumId w:val="26"/>
  </w:num>
  <w:num w:numId="85">
    <w:abstractNumId w:val="113"/>
  </w:num>
  <w:num w:numId="86">
    <w:abstractNumId w:val="108"/>
  </w:num>
  <w:num w:numId="87">
    <w:abstractNumId w:val="73"/>
  </w:num>
  <w:num w:numId="88">
    <w:abstractNumId w:val="62"/>
  </w:num>
  <w:num w:numId="89">
    <w:abstractNumId w:val="89"/>
  </w:num>
  <w:num w:numId="90">
    <w:abstractNumId w:val="37"/>
  </w:num>
  <w:num w:numId="91">
    <w:abstractNumId w:val="11"/>
  </w:num>
  <w:num w:numId="92">
    <w:abstractNumId w:val="109"/>
  </w:num>
  <w:num w:numId="93">
    <w:abstractNumId w:val="71"/>
  </w:num>
  <w:num w:numId="94">
    <w:abstractNumId w:val="22"/>
  </w:num>
  <w:num w:numId="95">
    <w:abstractNumId w:val="13"/>
  </w:num>
  <w:num w:numId="96">
    <w:abstractNumId w:val="53"/>
  </w:num>
  <w:num w:numId="97">
    <w:abstractNumId w:val="74"/>
  </w:num>
  <w:num w:numId="98">
    <w:abstractNumId w:val="88"/>
  </w:num>
  <w:num w:numId="99">
    <w:abstractNumId w:val="60"/>
  </w:num>
  <w:num w:numId="100">
    <w:abstractNumId w:val="66"/>
  </w:num>
  <w:num w:numId="101">
    <w:abstractNumId w:val="21"/>
  </w:num>
  <w:num w:numId="102">
    <w:abstractNumId w:val="67"/>
  </w:num>
  <w:num w:numId="103">
    <w:abstractNumId w:val="90"/>
  </w:num>
  <w:num w:numId="104">
    <w:abstractNumId w:val="29"/>
  </w:num>
  <w:num w:numId="105">
    <w:abstractNumId w:val="114"/>
  </w:num>
  <w:num w:numId="106">
    <w:abstractNumId w:val="36"/>
  </w:num>
  <w:num w:numId="107">
    <w:abstractNumId w:val="46"/>
  </w:num>
  <w:num w:numId="108">
    <w:abstractNumId w:val="0"/>
  </w:num>
  <w:num w:numId="109">
    <w:abstractNumId w:val="33"/>
  </w:num>
  <w:num w:numId="110">
    <w:abstractNumId w:val="98"/>
  </w:num>
  <w:num w:numId="111">
    <w:abstractNumId w:val="105"/>
  </w:num>
  <w:num w:numId="112">
    <w:abstractNumId w:val="19"/>
  </w:num>
  <w:num w:numId="113">
    <w:abstractNumId w:val="111"/>
  </w:num>
  <w:num w:numId="114">
    <w:abstractNumId w:val="85"/>
  </w:num>
  <w:num w:numId="115">
    <w:abstractNumId w:val="97"/>
  </w:num>
  <w:num w:numId="116">
    <w:abstractNumId w:val="95"/>
  </w:num>
  <w:num w:numId="117">
    <w:abstractNumId w:val="5"/>
  </w:num>
  <w:num w:numId="118">
    <w:abstractNumId w:val="50"/>
  </w:num>
  <w:num w:numId="119">
    <w:abstractNumId w:val="30"/>
  </w:num>
  <w:num w:numId="120">
    <w:abstractNumId w:val="58"/>
  </w:num>
  <w:num w:numId="121">
    <w:abstractNumId w:val="61"/>
  </w:num>
  <w:num w:numId="122">
    <w:abstractNumId w:val="42"/>
  </w:num>
  <w:num w:numId="123">
    <w:abstractNumId w:val="65"/>
  </w:num>
  <w:num w:numId="124">
    <w:abstractNumId w:val="39"/>
  </w:num>
  <w:num w:numId="125">
    <w:abstractNumId w:val="39"/>
  </w:num>
  <w:num w:numId="126">
    <w:abstractNumId w:val="59"/>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en-US" w:vendorID="64" w:dllVersion="4096" w:nlCheck="1" w:checkStyle="0"/>
  <w:activeWritingStyle w:appName="MSWord" w:lang="en-GB" w:vendorID="64" w:dllVersion="4096" w:nlCheck="1" w:checkStyle="0"/>
  <w:activeWritingStyle w:appName="MSWord" w:lang="en-US" w:vendorID="64" w:dllVersion="6" w:nlCheck="1" w:checkStyle="1"/>
  <w:activeWritingStyle w:appName="MSWord" w:lang="en-GB" w:vendorID="64" w:dllVersion="6" w:nlCheck="1" w:checkStyle="1"/>
  <w:activeWritingStyle w:appName="MSWord" w:lang="en-IN" w:vendorID="64" w:dllVersion="4096" w:nlCheck="1" w:checkStyle="0"/>
  <w:activeWritingStyle w:appName="MSWord" w:lang="en-GB" w:vendorID="64" w:dllVersion="0" w:nlCheck="1" w:checkStyle="0"/>
  <w:activeWritingStyle w:appName="MSWord" w:lang="en-IN" w:vendorID="64" w:dllVersion="0" w:nlCheck="1" w:checkStyle="0"/>
  <w:activeWritingStyle w:appName="MSWord" w:lang="en-US" w:vendorID="64" w:dllVersion="0" w:nlCheck="1" w:checkStyle="0"/>
  <w:activeWritingStyle w:appName="MSWord" w:lang="en-IN" w:vendorID="64" w:dllVersion="6" w:nlCheck="1" w:checkStyle="1"/>
  <w:proofState w:spelling="clean"/>
  <w:stylePaneSortMethod w:val="000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nguageId" w:val="English (U.K.)"/>
    <w:docVar w:name="Smrt Headings Level" w:val="1"/>
    <w:docVar w:name="Smrt Source Caption" w:val="Source: "/>
  </w:docVars>
  <w:rsids>
    <w:rsidRoot w:val="002F1DA4"/>
    <w:rsid w:val="00000462"/>
    <w:rsid w:val="00000805"/>
    <w:rsid w:val="000012DB"/>
    <w:rsid w:val="0000176A"/>
    <w:rsid w:val="00002572"/>
    <w:rsid w:val="00002F39"/>
    <w:rsid w:val="00003EF7"/>
    <w:rsid w:val="00004CDE"/>
    <w:rsid w:val="000061AB"/>
    <w:rsid w:val="000064AE"/>
    <w:rsid w:val="000070D2"/>
    <w:rsid w:val="00007351"/>
    <w:rsid w:val="00007590"/>
    <w:rsid w:val="00011FD0"/>
    <w:rsid w:val="00013AA1"/>
    <w:rsid w:val="000162CF"/>
    <w:rsid w:val="000163D3"/>
    <w:rsid w:val="0001657C"/>
    <w:rsid w:val="000172AA"/>
    <w:rsid w:val="00017662"/>
    <w:rsid w:val="00020CF5"/>
    <w:rsid w:val="00021AC8"/>
    <w:rsid w:val="00021BCD"/>
    <w:rsid w:val="00021BF4"/>
    <w:rsid w:val="00021EDF"/>
    <w:rsid w:val="000225E0"/>
    <w:rsid w:val="00022EE8"/>
    <w:rsid w:val="00023124"/>
    <w:rsid w:val="000232CB"/>
    <w:rsid w:val="00023EDD"/>
    <w:rsid w:val="00024508"/>
    <w:rsid w:val="00024F02"/>
    <w:rsid w:val="00025AB7"/>
    <w:rsid w:val="00025BD2"/>
    <w:rsid w:val="00025F73"/>
    <w:rsid w:val="0002766A"/>
    <w:rsid w:val="00030D47"/>
    <w:rsid w:val="00031C2A"/>
    <w:rsid w:val="000342DA"/>
    <w:rsid w:val="00034A3F"/>
    <w:rsid w:val="000350F1"/>
    <w:rsid w:val="00035839"/>
    <w:rsid w:val="0003714F"/>
    <w:rsid w:val="000372B8"/>
    <w:rsid w:val="00037B50"/>
    <w:rsid w:val="00041D10"/>
    <w:rsid w:val="00042094"/>
    <w:rsid w:val="00042C96"/>
    <w:rsid w:val="000437CD"/>
    <w:rsid w:val="00043CAE"/>
    <w:rsid w:val="00044F5A"/>
    <w:rsid w:val="00045259"/>
    <w:rsid w:val="00045AC0"/>
    <w:rsid w:val="00045D03"/>
    <w:rsid w:val="00045E12"/>
    <w:rsid w:val="00046DDE"/>
    <w:rsid w:val="00047D75"/>
    <w:rsid w:val="0005441A"/>
    <w:rsid w:val="000548C7"/>
    <w:rsid w:val="00054C84"/>
    <w:rsid w:val="000564D5"/>
    <w:rsid w:val="00057F17"/>
    <w:rsid w:val="00060184"/>
    <w:rsid w:val="000621CA"/>
    <w:rsid w:val="000637C9"/>
    <w:rsid w:val="00063BA2"/>
    <w:rsid w:val="0006434A"/>
    <w:rsid w:val="0006619E"/>
    <w:rsid w:val="000665F7"/>
    <w:rsid w:val="00066DE8"/>
    <w:rsid w:val="00066E12"/>
    <w:rsid w:val="0007019F"/>
    <w:rsid w:val="00070242"/>
    <w:rsid w:val="000705FE"/>
    <w:rsid w:val="00070832"/>
    <w:rsid w:val="0007135A"/>
    <w:rsid w:val="000722AE"/>
    <w:rsid w:val="0007258C"/>
    <w:rsid w:val="000731E2"/>
    <w:rsid w:val="00074806"/>
    <w:rsid w:val="000753EE"/>
    <w:rsid w:val="000761C2"/>
    <w:rsid w:val="00080720"/>
    <w:rsid w:val="0008081C"/>
    <w:rsid w:val="00081EBB"/>
    <w:rsid w:val="000825D3"/>
    <w:rsid w:val="000829E6"/>
    <w:rsid w:val="0008507B"/>
    <w:rsid w:val="0008535C"/>
    <w:rsid w:val="00085B27"/>
    <w:rsid w:val="00085FFC"/>
    <w:rsid w:val="0008657C"/>
    <w:rsid w:val="0008759F"/>
    <w:rsid w:val="00087D53"/>
    <w:rsid w:val="00091311"/>
    <w:rsid w:val="000933A1"/>
    <w:rsid w:val="000936B4"/>
    <w:rsid w:val="000937D4"/>
    <w:rsid w:val="00093EDE"/>
    <w:rsid w:val="000940B1"/>
    <w:rsid w:val="00096C65"/>
    <w:rsid w:val="000A2347"/>
    <w:rsid w:val="000A2479"/>
    <w:rsid w:val="000A284B"/>
    <w:rsid w:val="000A2F5F"/>
    <w:rsid w:val="000A30EC"/>
    <w:rsid w:val="000A472C"/>
    <w:rsid w:val="000A771E"/>
    <w:rsid w:val="000A78E4"/>
    <w:rsid w:val="000A7E31"/>
    <w:rsid w:val="000B1008"/>
    <w:rsid w:val="000B10E6"/>
    <w:rsid w:val="000B1F88"/>
    <w:rsid w:val="000B29AF"/>
    <w:rsid w:val="000B48DB"/>
    <w:rsid w:val="000B58B6"/>
    <w:rsid w:val="000B6A00"/>
    <w:rsid w:val="000B7700"/>
    <w:rsid w:val="000B78D2"/>
    <w:rsid w:val="000B7974"/>
    <w:rsid w:val="000C05B3"/>
    <w:rsid w:val="000C07FC"/>
    <w:rsid w:val="000C37FC"/>
    <w:rsid w:val="000C42E4"/>
    <w:rsid w:val="000C4B25"/>
    <w:rsid w:val="000C53F6"/>
    <w:rsid w:val="000C7CB8"/>
    <w:rsid w:val="000C7EA4"/>
    <w:rsid w:val="000D0699"/>
    <w:rsid w:val="000D1CE9"/>
    <w:rsid w:val="000D2376"/>
    <w:rsid w:val="000D23F5"/>
    <w:rsid w:val="000D58DB"/>
    <w:rsid w:val="000D5C06"/>
    <w:rsid w:val="000D63C6"/>
    <w:rsid w:val="000D6AF5"/>
    <w:rsid w:val="000E019F"/>
    <w:rsid w:val="000E096B"/>
    <w:rsid w:val="000E0E11"/>
    <w:rsid w:val="000E1218"/>
    <w:rsid w:val="000E169A"/>
    <w:rsid w:val="000E1D3D"/>
    <w:rsid w:val="000E2330"/>
    <w:rsid w:val="000E3B18"/>
    <w:rsid w:val="000E628D"/>
    <w:rsid w:val="000E6B67"/>
    <w:rsid w:val="000E6CBE"/>
    <w:rsid w:val="000F0384"/>
    <w:rsid w:val="000F1067"/>
    <w:rsid w:val="000F2B72"/>
    <w:rsid w:val="000F2D49"/>
    <w:rsid w:val="000F457D"/>
    <w:rsid w:val="000F4875"/>
    <w:rsid w:val="000F48F8"/>
    <w:rsid w:val="000F5725"/>
    <w:rsid w:val="000F5C63"/>
    <w:rsid w:val="000F5D26"/>
    <w:rsid w:val="000F5DBD"/>
    <w:rsid w:val="000F5F8C"/>
    <w:rsid w:val="000F6657"/>
    <w:rsid w:val="000F7336"/>
    <w:rsid w:val="000F7FC6"/>
    <w:rsid w:val="00100801"/>
    <w:rsid w:val="001010EA"/>
    <w:rsid w:val="0010292F"/>
    <w:rsid w:val="00104A61"/>
    <w:rsid w:val="00104BAA"/>
    <w:rsid w:val="0010552A"/>
    <w:rsid w:val="001059A8"/>
    <w:rsid w:val="00106325"/>
    <w:rsid w:val="00110C67"/>
    <w:rsid w:val="00111741"/>
    <w:rsid w:val="00111CBD"/>
    <w:rsid w:val="0011230D"/>
    <w:rsid w:val="00114B13"/>
    <w:rsid w:val="0011514B"/>
    <w:rsid w:val="00115E7F"/>
    <w:rsid w:val="00115FE6"/>
    <w:rsid w:val="00116DFA"/>
    <w:rsid w:val="00121DA2"/>
    <w:rsid w:val="0012247F"/>
    <w:rsid w:val="00123209"/>
    <w:rsid w:val="00123F4D"/>
    <w:rsid w:val="00124F06"/>
    <w:rsid w:val="001265AB"/>
    <w:rsid w:val="00126753"/>
    <w:rsid w:val="00127E99"/>
    <w:rsid w:val="00130DFA"/>
    <w:rsid w:val="00131867"/>
    <w:rsid w:val="00131B01"/>
    <w:rsid w:val="0013224D"/>
    <w:rsid w:val="00133ED9"/>
    <w:rsid w:val="00134265"/>
    <w:rsid w:val="001350AA"/>
    <w:rsid w:val="001352D0"/>
    <w:rsid w:val="00135CE2"/>
    <w:rsid w:val="00137487"/>
    <w:rsid w:val="001378D7"/>
    <w:rsid w:val="00137BDE"/>
    <w:rsid w:val="0014083E"/>
    <w:rsid w:val="00141050"/>
    <w:rsid w:val="0014126E"/>
    <w:rsid w:val="00143E39"/>
    <w:rsid w:val="00144F50"/>
    <w:rsid w:val="00145108"/>
    <w:rsid w:val="00146AA2"/>
    <w:rsid w:val="00151484"/>
    <w:rsid w:val="00151D38"/>
    <w:rsid w:val="00151ED7"/>
    <w:rsid w:val="00151F21"/>
    <w:rsid w:val="00152250"/>
    <w:rsid w:val="00152F5A"/>
    <w:rsid w:val="00154025"/>
    <w:rsid w:val="00155B22"/>
    <w:rsid w:val="00156F96"/>
    <w:rsid w:val="00157E0C"/>
    <w:rsid w:val="00160216"/>
    <w:rsid w:val="00163337"/>
    <w:rsid w:val="0016372C"/>
    <w:rsid w:val="001650F0"/>
    <w:rsid w:val="0016570B"/>
    <w:rsid w:val="00165F14"/>
    <w:rsid w:val="0016665F"/>
    <w:rsid w:val="001670E1"/>
    <w:rsid w:val="001671EF"/>
    <w:rsid w:val="00167A32"/>
    <w:rsid w:val="00170944"/>
    <w:rsid w:val="00171A70"/>
    <w:rsid w:val="00171F46"/>
    <w:rsid w:val="0017245E"/>
    <w:rsid w:val="001728A5"/>
    <w:rsid w:val="00173A04"/>
    <w:rsid w:val="00173A57"/>
    <w:rsid w:val="00173AFB"/>
    <w:rsid w:val="001742DD"/>
    <w:rsid w:val="00175F5D"/>
    <w:rsid w:val="00175FF7"/>
    <w:rsid w:val="00176EE7"/>
    <w:rsid w:val="00177354"/>
    <w:rsid w:val="00177E35"/>
    <w:rsid w:val="001805F0"/>
    <w:rsid w:val="00180986"/>
    <w:rsid w:val="00181716"/>
    <w:rsid w:val="0018184A"/>
    <w:rsid w:val="00181DA7"/>
    <w:rsid w:val="001833D3"/>
    <w:rsid w:val="0018461C"/>
    <w:rsid w:val="00185D20"/>
    <w:rsid w:val="001864C3"/>
    <w:rsid w:val="00186690"/>
    <w:rsid w:val="00187B22"/>
    <w:rsid w:val="00190690"/>
    <w:rsid w:val="0019184E"/>
    <w:rsid w:val="00191D34"/>
    <w:rsid w:val="00192328"/>
    <w:rsid w:val="001923EC"/>
    <w:rsid w:val="00192C28"/>
    <w:rsid w:val="00194D3D"/>
    <w:rsid w:val="00196B99"/>
    <w:rsid w:val="001A000F"/>
    <w:rsid w:val="001A054E"/>
    <w:rsid w:val="001A1614"/>
    <w:rsid w:val="001A3201"/>
    <w:rsid w:val="001A486D"/>
    <w:rsid w:val="001B13C1"/>
    <w:rsid w:val="001B3174"/>
    <w:rsid w:val="001B3FD6"/>
    <w:rsid w:val="001B7679"/>
    <w:rsid w:val="001B790C"/>
    <w:rsid w:val="001C0186"/>
    <w:rsid w:val="001C2007"/>
    <w:rsid w:val="001C34C2"/>
    <w:rsid w:val="001C45CB"/>
    <w:rsid w:val="001C4F7A"/>
    <w:rsid w:val="001C703B"/>
    <w:rsid w:val="001D1A95"/>
    <w:rsid w:val="001D3592"/>
    <w:rsid w:val="001D37FD"/>
    <w:rsid w:val="001D3E92"/>
    <w:rsid w:val="001D44CA"/>
    <w:rsid w:val="001D62AE"/>
    <w:rsid w:val="001D663F"/>
    <w:rsid w:val="001D6E21"/>
    <w:rsid w:val="001D7AC2"/>
    <w:rsid w:val="001E0A4E"/>
    <w:rsid w:val="001E0E40"/>
    <w:rsid w:val="001E22C0"/>
    <w:rsid w:val="001E2897"/>
    <w:rsid w:val="001E310E"/>
    <w:rsid w:val="001E36D3"/>
    <w:rsid w:val="001E3ECE"/>
    <w:rsid w:val="001E41B7"/>
    <w:rsid w:val="001E4EA0"/>
    <w:rsid w:val="001E5E21"/>
    <w:rsid w:val="001E7320"/>
    <w:rsid w:val="001E7B02"/>
    <w:rsid w:val="001E7F26"/>
    <w:rsid w:val="001F0475"/>
    <w:rsid w:val="001F2B63"/>
    <w:rsid w:val="001F2CB6"/>
    <w:rsid w:val="001F5DF1"/>
    <w:rsid w:val="001F5F35"/>
    <w:rsid w:val="001F623C"/>
    <w:rsid w:val="001F62E4"/>
    <w:rsid w:val="001F68C1"/>
    <w:rsid w:val="001F7DC2"/>
    <w:rsid w:val="00202D1D"/>
    <w:rsid w:val="002036C9"/>
    <w:rsid w:val="0020383E"/>
    <w:rsid w:val="0020414A"/>
    <w:rsid w:val="0020499E"/>
    <w:rsid w:val="00205FC2"/>
    <w:rsid w:val="0020672B"/>
    <w:rsid w:val="002101C1"/>
    <w:rsid w:val="00212FD3"/>
    <w:rsid w:val="002150B9"/>
    <w:rsid w:val="00215442"/>
    <w:rsid w:val="002154C6"/>
    <w:rsid w:val="00220237"/>
    <w:rsid w:val="002215E6"/>
    <w:rsid w:val="00221F8E"/>
    <w:rsid w:val="002233BD"/>
    <w:rsid w:val="00223E49"/>
    <w:rsid w:val="002248CF"/>
    <w:rsid w:val="00225308"/>
    <w:rsid w:val="00225381"/>
    <w:rsid w:val="00226320"/>
    <w:rsid w:val="0023041F"/>
    <w:rsid w:val="00230D36"/>
    <w:rsid w:val="00231101"/>
    <w:rsid w:val="0023167F"/>
    <w:rsid w:val="00232EBF"/>
    <w:rsid w:val="00234794"/>
    <w:rsid w:val="00235239"/>
    <w:rsid w:val="002366A2"/>
    <w:rsid w:val="00237ABA"/>
    <w:rsid w:val="00237D8E"/>
    <w:rsid w:val="00241B1E"/>
    <w:rsid w:val="00241B9F"/>
    <w:rsid w:val="00241C08"/>
    <w:rsid w:val="002426B0"/>
    <w:rsid w:val="00243294"/>
    <w:rsid w:val="00244033"/>
    <w:rsid w:val="00245BDD"/>
    <w:rsid w:val="00246119"/>
    <w:rsid w:val="00246574"/>
    <w:rsid w:val="00247BFE"/>
    <w:rsid w:val="00250262"/>
    <w:rsid w:val="00250412"/>
    <w:rsid w:val="00250434"/>
    <w:rsid w:val="00252C30"/>
    <w:rsid w:val="002565C6"/>
    <w:rsid w:val="00256B23"/>
    <w:rsid w:val="00257A8E"/>
    <w:rsid w:val="002603D8"/>
    <w:rsid w:val="0026197E"/>
    <w:rsid w:val="002621EE"/>
    <w:rsid w:val="00264962"/>
    <w:rsid w:val="00264BB0"/>
    <w:rsid w:val="00266121"/>
    <w:rsid w:val="00266CF9"/>
    <w:rsid w:val="00267A9C"/>
    <w:rsid w:val="00267D59"/>
    <w:rsid w:val="00270FB7"/>
    <w:rsid w:val="002714DE"/>
    <w:rsid w:val="00272334"/>
    <w:rsid w:val="00273214"/>
    <w:rsid w:val="00273446"/>
    <w:rsid w:val="00276BF6"/>
    <w:rsid w:val="00277832"/>
    <w:rsid w:val="002801DB"/>
    <w:rsid w:val="0028119F"/>
    <w:rsid w:val="00281ED2"/>
    <w:rsid w:val="00284116"/>
    <w:rsid w:val="00284879"/>
    <w:rsid w:val="00287221"/>
    <w:rsid w:val="00287D03"/>
    <w:rsid w:val="00290896"/>
    <w:rsid w:val="002909C7"/>
    <w:rsid w:val="0029126A"/>
    <w:rsid w:val="002917D1"/>
    <w:rsid w:val="00291D36"/>
    <w:rsid w:val="00291DC0"/>
    <w:rsid w:val="00293FAE"/>
    <w:rsid w:val="00295443"/>
    <w:rsid w:val="0029634F"/>
    <w:rsid w:val="002A08D7"/>
    <w:rsid w:val="002A0D79"/>
    <w:rsid w:val="002A16B0"/>
    <w:rsid w:val="002A19D0"/>
    <w:rsid w:val="002A1CF8"/>
    <w:rsid w:val="002A2401"/>
    <w:rsid w:val="002A50CE"/>
    <w:rsid w:val="002A59D2"/>
    <w:rsid w:val="002A5F33"/>
    <w:rsid w:val="002A77AE"/>
    <w:rsid w:val="002B2E89"/>
    <w:rsid w:val="002B3037"/>
    <w:rsid w:val="002B4699"/>
    <w:rsid w:val="002B6EDA"/>
    <w:rsid w:val="002C5749"/>
    <w:rsid w:val="002C734A"/>
    <w:rsid w:val="002D0379"/>
    <w:rsid w:val="002D049B"/>
    <w:rsid w:val="002D1F29"/>
    <w:rsid w:val="002D28D6"/>
    <w:rsid w:val="002D330A"/>
    <w:rsid w:val="002D3971"/>
    <w:rsid w:val="002D3C8C"/>
    <w:rsid w:val="002D4C3B"/>
    <w:rsid w:val="002D4DF8"/>
    <w:rsid w:val="002D672D"/>
    <w:rsid w:val="002D79D8"/>
    <w:rsid w:val="002E145A"/>
    <w:rsid w:val="002E1B35"/>
    <w:rsid w:val="002E3F36"/>
    <w:rsid w:val="002E4ACD"/>
    <w:rsid w:val="002E4EA5"/>
    <w:rsid w:val="002E66D0"/>
    <w:rsid w:val="002F0806"/>
    <w:rsid w:val="002F09CC"/>
    <w:rsid w:val="002F1605"/>
    <w:rsid w:val="002F173C"/>
    <w:rsid w:val="002F17EF"/>
    <w:rsid w:val="002F1DA4"/>
    <w:rsid w:val="002F1F0B"/>
    <w:rsid w:val="002F3650"/>
    <w:rsid w:val="002F4585"/>
    <w:rsid w:val="002F4A9E"/>
    <w:rsid w:val="002F5A46"/>
    <w:rsid w:val="002F6953"/>
    <w:rsid w:val="002F6D5B"/>
    <w:rsid w:val="00300E07"/>
    <w:rsid w:val="00301C2C"/>
    <w:rsid w:val="00302657"/>
    <w:rsid w:val="0030278E"/>
    <w:rsid w:val="00303568"/>
    <w:rsid w:val="00304306"/>
    <w:rsid w:val="003048A8"/>
    <w:rsid w:val="003049F8"/>
    <w:rsid w:val="00305920"/>
    <w:rsid w:val="00305EA8"/>
    <w:rsid w:val="00307F92"/>
    <w:rsid w:val="0031037B"/>
    <w:rsid w:val="00310B00"/>
    <w:rsid w:val="00311195"/>
    <w:rsid w:val="003113B5"/>
    <w:rsid w:val="0031383C"/>
    <w:rsid w:val="003138F8"/>
    <w:rsid w:val="00313C8D"/>
    <w:rsid w:val="00314993"/>
    <w:rsid w:val="0031568E"/>
    <w:rsid w:val="00315792"/>
    <w:rsid w:val="00315B18"/>
    <w:rsid w:val="00315E2B"/>
    <w:rsid w:val="003164D1"/>
    <w:rsid w:val="003204D2"/>
    <w:rsid w:val="003212FC"/>
    <w:rsid w:val="00322174"/>
    <w:rsid w:val="00323272"/>
    <w:rsid w:val="00324BE3"/>
    <w:rsid w:val="00325780"/>
    <w:rsid w:val="00326659"/>
    <w:rsid w:val="0032760B"/>
    <w:rsid w:val="00331204"/>
    <w:rsid w:val="00331F3E"/>
    <w:rsid w:val="0033255C"/>
    <w:rsid w:val="003328B3"/>
    <w:rsid w:val="003341D3"/>
    <w:rsid w:val="00335111"/>
    <w:rsid w:val="0033571E"/>
    <w:rsid w:val="003358DD"/>
    <w:rsid w:val="003400AA"/>
    <w:rsid w:val="00340328"/>
    <w:rsid w:val="003429F3"/>
    <w:rsid w:val="00342A8A"/>
    <w:rsid w:val="00343366"/>
    <w:rsid w:val="003450E2"/>
    <w:rsid w:val="00345B12"/>
    <w:rsid w:val="00345F5F"/>
    <w:rsid w:val="00346110"/>
    <w:rsid w:val="00346A41"/>
    <w:rsid w:val="0034766E"/>
    <w:rsid w:val="00350C15"/>
    <w:rsid w:val="00351363"/>
    <w:rsid w:val="003514A5"/>
    <w:rsid w:val="00351E37"/>
    <w:rsid w:val="00353395"/>
    <w:rsid w:val="00353904"/>
    <w:rsid w:val="00353D55"/>
    <w:rsid w:val="003563FB"/>
    <w:rsid w:val="00356D79"/>
    <w:rsid w:val="00360164"/>
    <w:rsid w:val="0036424B"/>
    <w:rsid w:val="003654D9"/>
    <w:rsid w:val="00367AAF"/>
    <w:rsid w:val="0037013D"/>
    <w:rsid w:val="00371040"/>
    <w:rsid w:val="00373012"/>
    <w:rsid w:val="00373AAD"/>
    <w:rsid w:val="00373EA9"/>
    <w:rsid w:val="00375645"/>
    <w:rsid w:val="00375A41"/>
    <w:rsid w:val="00375E50"/>
    <w:rsid w:val="0037602B"/>
    <w:rsid w:val="003770F5"/>
    <w:rsid w:val="003774B2"/>
    <w:rsid w:val="00377653"/>
    <w:rsid w:val="00380F95"/>
    <w:rsid w:val="00381272"/>
    <w:rsid w:val="0038153E"/>
    <w:rsid w:val="00381C32"/>
    <w:rsid w:val="00381EF9"/>
    <w:rsid w:val="0038253E"/>
    <w:rsid w:val="00382D50"/>
    <w:rsid w:val="00382D99"/>
    <w:rsid w:val="003919AB"/>
    <w:rsid w:val="003921F1"/>
    <w:rsid w:val="0039536C"/>
    <w:rsid w:val="00397083"/>
    <w:rsid w:val="003A11A0"/>
    <w:rsid w:val="003A15C4"/>
    <w:rsid w:val="003A1DC8"/>
    <w:rsid w:val="003A21EF"/>
    <w:rsid w:val="003A2216"/>
    <w:rsid w:val="003A2B2A"/>
    <w:rsid w:val="003A2C08"/>
    <w:rsid w:val="003A620C"/>
    <w:rsid w:val="003A6414"/>
    <w:rsid w:val="003A66BB"/>
    <w:rsid w:val="003A6EB8"/>
    <w:rsid w:val="003A7F29"/>
    <w:rsid w:val="003B06CA"/>
    <w:rsid w:val="003B29F8"/>
    <w:rsid w:val="003B3945"/>
    <w:rsid w:val="003B4255"/>
    <w:rsid w:val="003B46EE"/>
    <w:rsid w:val="003B47F2"/>
    <w:rsid w:val="003B5480"/>
    <w:rsid w:val="003B5D33"/>
    <w:rsid w:val="003C0EDD"/>
    <w:rsid w:val="003C0FA7"/>
    <w:rsid w:val="003C20F0"/>
    <w:rsid w:val="003C2D80"/>
    <w:rsid w:val="003C652F"/>
    <w:rsid w:val="003C6BC6"/>
    <w:rsid w:val="003C7C77"/>
    <w:rsid w:val="003D18B4"/>
    <w:rsid w:val="003D2092"/>
    <w:rsid w:val="003D3149"/>
    <w:rsid w:val="003D7AA0"/>
    <w:rsid w:val="003E1331"/>
    <w:rsid w:val="003E1461"/>
    <w:rsid w:val="003E1EC5"/>
    <w:rsid w:val="003E20D4"/>
    <w:rsid w:val="003E2669"/>
    <w:rsid w:val="003E2747"/>
    <w:rsid w:val="003E3BBD"/>
    <w:rsid w:val="003E6868"/>
    <w:rsid w:val="003E75C9"/>
    <w:rsid w:val="003E7E83"/>
    <w:rsid w:val="003F28CD"/>
    <w:rsid w:val="003F399B"/>
    <w:rsid w:val="003F4A91"/>
    <w:rsid w:val="003F4ECF"/>
    <w:rsid w:val="003F69D0"/>
    <w:rsid w:val="003F7B1E"/>
    <w:rsid w:val="003F7BAE"/>
    <w:rsid w:val="004000B4"/>
    <w:rsid w:val="0040108F"/>
    <w:rsid w:val="00401B8F"/>
    <w:rsid w:val="00401C5E"/>
    <w:rsid w:val="00402011"/>
    <w:rsid w:val="0040323A"/>
    <w:rsid w:val="004034F7"/>
    <w:rsid w:val="00403D26"/>
    <w:rsid w:val="00403E43"/>
    <w:rsid w:val="00404D9E"/>
    <w:rsid w:val="00406EDE"/>
    <w:rsid w:val="00407EAE"/>
    <w:rsid w:val="00412368"/>
    <w:rsid w:val="004130B7"/>
    <w:rsid w:val="00413BC5"/>
    <w:rsid w:val="00413D73"/>
    <w:rsid w:val="00414ACB"/>
    <w:rsid w:val="00415F6C"/>
    <w:rsid w:val="00416BB7"/>
    <w:rsid w:val="00417F3E"/>
    <w:rsid w:val="0042186B"/>
    <w:rsid w:val="00422721"/>
    <w:rsid w:val="00424907"/>
    <w:rsid w:val="0042530D"/>
    <w:rsid w:val="004277B2"/>
    <w:rsid w:val="00427B3A"/>
    <w:rsid w:val="00430094"/>
    <w:rsid w:val="00432F90"/>
    <w:rsid w:val="004333E6"/>
    <w:rsid w:val="00433BF1"/>
    <w:rsid w:val="004342A6"/>
    <w:rsid w:val="0043443B"/>
    <w:rsid w:val="00436A0D"/>
    <w:rsid w:val="00436DAC"/>
    <w:rsid w:val="00437421"/>
    <w:rsid w:val="00440E29"/>
    <w:rsid w:val="0044175A"/>
    <w:rsid w:val="004421B0"/>
    <w:rsid w:val="00442543"/>
    <w:rsid w:val="00444157"/>
    <w:rsid w:val="004444CB"/>
    <w:rsid w:val="00444C29"/>
    <w:rsid w:val="00444D7C"/>
    <w:rsid w:val="0044712C"/>
    <w:rsid w:val="0045314F"/>
    <w:rsid w:val="004532B8"/>
    <w:rsid w:val="00454244"/>
    <w:rsid w:val="004543B7"/>
    <w:rsid w:val="00454AC5"/>
    <w:rsid w:val="00454F36"/>
    <w:rsid w:val="004550A0"/>
    <w:rsid w:val="00455F27"/>
    <w:rsid w:val="00455F30"/>
    <w:rsid w:val="00457F11"/>
    <w:rsid w:val="004606C6"/>
    <w:rsid w:val="004613F0"/>
    <w:rsid w:val="00461783"/>
    <w:rsid w:val="0046190A"/>
    <w:rsid w:val="00462D53"/>
    <w:rsid w:val="00463594"/>
    <w:rsid w:val="00464251"/>
    <w:rsid w:val="00464A05"/>
    <w:rsid w:val="00464A73"/>
    <w:rsid w:val="00470903"/>
    <w:rsid w:val="00471070"/>
    <w:rsid w:val="0047151E"/>
    <w:rsid w:val="00471727"/>
    <w:rsid w:val="00471BF0"/>
    <w:rsid w:val="00473045"/>
    <w:rsid w:val="00474CF9"/>
    <w:rsid w:val="00475090"/>
    <w:rsid w:val="00475B14"/>
    <w:rsid w:val="00475E7D"/>
    <w:rsid w:val="00477CC2"/>
    <w:rsid w:val="004828B8"/>
    <w:rsid w:val="00482FE5"/>
    <w:rsid w:val="00485532"/>
    <w:rsid w:val="00486955"/>
    <w:rsid w:val="00486B76"/>
    <w:rsid w:val="00490E08"/>
    <w:rsid w:val="00491B49"/>
    <w:rsid w:val="004925C7"/>
    <w:rsid w:val="00492760"/>
    <w:rsid w:val="004935DE"/>
    <w:rsid w:val="00493FD6"/>
    <w:rsid w:val="00495CB9"/>
    <w:rsid w:val="00496336"/>
    <w:rsid w:val="0049649A"/>
    <w:rsid w:val="00496695"/>
    <w:rsid w:val="00496ADE"/>
    <w:rsid w:val="00497566"/>
    <w:rsid w:val="00497C73"/>
    <w:rsid w:val="004A51EE"/>
    <w:rsid w:val="004A56AD"/>
    <w:rsid w:val="004A6632"/>
    <w:rsid w:val="004A6D3C"/>
    <w:rsid w:val="004B1087"/>
    <w:rsid w:val="004B339F"/>
    <w:rsid w:val="004B45AB"/>
    <w:rsid w:val="004B4692"/>
    <w:rsid w:val="004B5517"/>
    <w:rsid w:val="004B59F3"/>
    <w:rsid w:val="004B608F"/>
    <w:rsid w:val="004B6B28"/>
    <w:rsid w:val="004B728C"/>
    <w:rsid w:val="004B781F"/>
    <w:rsid w:val="004B79EF"/>
    <w:rsid w:val="004B7BAA"/>
    <w:rsid w:val="004C0696"/>
    <w:rsid w:val="004C0A0F"/>
    <w:rsid w:val="004C3C45"/>
    <w:rsid w:val="004C3DF5"/>
    <w:rsid w:val="004C3E36"/>
    <w:rsid w:val="004C6C79"/>
    <w:rsid w:val="004C76F8"/>
    <w:rsid w:val="004D1784"/>
    <w:rsid w:val="004D1BDA"/>
    <w:rsid w:val="004D211C"/>
    <w:rsid w:val="004D3A99"/>
    <w:rsid w:val="004D3BE9"/>
    <w:rsid w:val="004D4A88"/>
    <w:rsid w:val="004D4D81"/>
    <w:rsid w:val="004D5362"/>
    <w:rsid w:val="004D64BF"/>
    <w:rsid w:val="004D690C"/>
    <w:rsid w:val="004D72F7"/>
    <w:rsid w:val="004E0154"/>
    <w:rsid w:val="004E0B84"/>
    <w:rsid w:val="004E220E"/>
    <w:rsid w:val="004E2933"/>
    <w:rsid w:val="004E2A93"/>
    <w:rsid w:val="004E4269"/>
    <w:rsid w:val="004E4489"/>
    <w:rsid w:val="004E48B6"/>
    <w:rsid w:val="004E6435"/>
    <w:rsid w:val="004F0604"/>
    <w:rsid w:val="004F17CC"/>
    <w:rsid w:val="004F19B2"/>
    <w:rsid w:val="004F1B8C"/>
    <w:rsid w:val="004F1DCB"/>
    <w:rsid w:val="004F24C8"/>
    <w:rsid w:val="004F638C"/>
    <w:rsid w:val="0050020E"/>
    <w:rsid w:val="00501B32"/>
    <w:rsid w:val="00501D5F"/>
    <w:rsid w:val="00502F64"/>
    <w:rsid w:val="005031BA"/>
    <w:rsid w:val="00503EAC"/>
    <w:rsid w:val="00504159"/>
    <w:rsid w:val="00504639"/>
    <w:rsid w:val="0050526A"/>
    <w:rsid w:val="005100DB"/>
    <w:rsid w:val="00510BEE"/>
    <w:rsid w:val="00510D82"/>
    <w:rsid w:val="00511E3C"/>
    <w:rsid w:val="00513C51"/>
    <w:rsid w:val="00515142"/>
    <w:rsid w:val="00516D0F"/>
    <w:rsid w:val="0052154A"/>
    <w:rsid w:val="00523067"/>
    <w:rsid w:val="00523702"/>
    <w:rsid w:val="0052516C"/>
    <w:rsid w:val="005254AA"/>
    <w:rsid w:val="00525BB0"/>
    <w:rsid w:val="00526D14"/>
    <w:rsid w:val="00527458"/>
    <w:rsid w:val="0053003F"/>
    <w:rsid w:val="00531273"/>
    <w:rsid w:val="00531A8A"/>
    <w:rsid w:val="00531B78"/>
    <w:rsid w:val="0053222E"/>
    <w:rsid w:val="00532BD8"/>
    <w:rsid w:val="00533401"/>
    <w:rsid w:val="00533A8C"/>
    <w:rsid w:val="00534BAA"/>
    <w:rsid w:val="00535C34"/>
    <w:rsid w:val="00537504"/>
    <w:rsid w:val="0053791A"/>
    <w:rsid w:val="0054022A"/>
    <w:rsid w:val="00542ECA"/>
    <w:rsid w:val="00544E6F"/>
    <w:rsid w:val="005456E8"/>
    <w:rsid w:val="0054616C"/>
    <w:rsid w:val="00547C95"/>
    <w:rsid w:val="00547D1D"/>
    <w:rsid w:val="00547D7D"/>
    <w:rsid w:val="0055127A"/>
    <w:rsid w:val="005525A2"/>
    <w:rsid w:val="00554BEE"/>
    <w:rsid w:val="00554C71"/>
    <w:rsid w:val="00555976"/>
    <w:rsid w:val="00556150"/>
    <w:rsid w:val="00556DAB"/>
    <w:rsid w:val="00560900"/>
    <w:rsid w:val="00560FE7"/>
    <w:rsid w:val="005616A1"/>
    <w:rsid w:val="00561B2F"/>
    <w:rsid w:val="005649A0"/>
    <w:rsid w:val="0056588C"/>
    <w:rsid w:val="00565C21"/>
    <w:rsid w:val="00566AAC"/>
    <w:rsid w:val="00566B9D"/>
    <w:rsid w:val="005679FB"/>
    <w:rsid w:val="00567A51"/>
    <w:rsid w:val="00567CCF"/>
    <w:rsid w:val="00570E85"/>
    <w:rsid w:val="005735DD"/>
    <w:rsid w:val="0057372F"/>
    <w:rsid w:val="005744DC"/>
    <w:rsid w:val="005746F4"/>
    <w:rsid w:val="00574DFB"/>
    <w:rsid w:val="00575279"/>
    <w:rsid w:val="0057549A"/>
    <w:rsid w:val="00575C96"/>
    <w:rsid w:val="005760BD"/>
    <w:rsid w:val="005761AD"/>
    <w:rsid w:val="00577245"/>
    <w:rsid w:val="00577D08"/>
    <w:rsid w:val="00580277"/>
    <w:rsid w:val="00580959"/>
    <w:rsid w:val="005810B4"/>
    <w:rsid w:val="005828B7"/>
    <w:rsid w:val="00582A51"/>
    <w:rsid w:val="0058316F"/>
    <w:rsid w:val="005849E6"/>
    <w:rsid w:val="0058620D"/>
    <w:rsid w:val="005873B4"/>
    <w:rsid w:val="00590090"/>
    <w:rsid w:val="005908BC"/>
    <w:rsid w:val="00590F16"/>
    <w:rsid w:val="005926E8"/>
    <w:rsid w:val="00592FCF"/>
    <w:rsid w:val="005944D2"/>
    <w:rsid w:val="005944E9"/>
    <w:rsid w:val="00597D10"/>
    <w:rsid w:val="00597F01"/>
    <w:rsid w:val="005A1924"/>
    <w:rsid w:val="005A2082"/>
    <w:rsid w:val="005A3EED"/>
    <w:rsid w:val="005A4690"/>
    <w:rsid w:val="005A6156"/>
    <w:rsid w:val="005B0203"/>
    <w:rsid w:val="005B0C40"/>
    <w:rsid w:val="005B4872"/>
    <w:rsid w:val="005B53BA"/>
    <w:rsid w:val="005B5882"/>
    <w:rsid w:val="005B5B85"/>
    <w:rsid w:val="005C094D"/>
    <w:rsid w:val="005C0EEC"/>
    <w:rsid w:val="005C2C1B"/>
    <w:rsid w:val="005C2E85"/>
    <w:rsid w:val="005C54D5"/>
    <w:rsid w:val="005C68E6"/>
    <w:rsid w:val="005C7575"/>
    <w:rsid w:val="005D0019"/>
    <w:rsid w:val="005D0E5A"/>
    <w:rsid w:val="005D1BCE"/>
    <w:rsid w:val="005D31B9"/>
    <w:rsid w:val="005D444B"/>
    <w:rsid w:val="005D5271"/>
    <w:rsid w:val="005D52AE"/>
    <w:rsid w:val="005D52DB"/>
    <w:rsid w:val="005D5806"/>
    <w:rsid w:val="005D62B8"/>
    <w:rsid w:val="005D7640"/>
    <w:rsid w:val="005E0263"/>
    <w:rsid w:val="005E1797"/>
    <w:rsid w:val="005E1893"/>
    <w:rsid w:val="005E2106"/>
    <w:rsid w:val="005E305B"/>
    <w:rsid w:val="005E3A09"/>
    <w:rsid w:val="005E43E0"/>
    <w:rsid w:val="005E4D31"/>
    <w:rsid w:val="005E563B"/>
    <w:rsid w:val="005E5810"/>
    <w:rsid w:val="005E6A31"/>
    <w:rsid w:val="005E6C1C"/>
    <w:rsid w:val="005E77BA"/>
    <w:rsid w:val="005F0E3D"/>
    <w:rsid w:val="005F1DD1"/>
    <w:rsid w:val="005F346D"/>
    <w:rsid w:val="005F3CF5"/>
    <w:rsid w:val="005F44FE"/>
    <w:rsid w:val="005F46F4"/>
    <w:rsid w:val="005F4844"/>
    <w:rsid w:val="005F53E3"/>
    <w:rsid w:val="005F796F"/>
    <w:rsid w:val="00600AEC"/>
    <w:rsid w:val="00600CDA"/>
    <w:rsid w:val="00600D97"/>
    <w:rsid w:val="00602C60"/>
    <w:rsid w:val="006039E4"/>
    <w:rsid w:val="00603E98"/>
    <w:rsid w:val="00604722"/>
    <w:rsid w:val="00604D0A"/>
    <w:rsid w:val="006072AD"/>
    <w:rsid w:val="00611E95"/>
    <w:rsid w:val="006126C2"/>
    <w:rsid w:val="006130C9"/>
    <w:rsid w:val="00613753"/>
    <w:rsid w:val="0061447F"/>
    <w:rsid w:val="006145A5"/>
    <w:rsid w:val="00615F34"/>
    <w:rsid w:val="00616763"/>
    <w:rsid w:val="0061708A"/>
    <w:rsid w:val="006170E6"/>
    <w:rsid w:val="006173F7"/>
    <w:rsid w:val="00617A76"/>
    <w:rsid w:val="00617EC4"/>
    <w:rsid w:val="0062089D"/>
    <w:rsid w:val="006223BC"/>
    <w:rsid w:val="00622B15"/>
    <w:rsid w:val="00622C3D"/>
    <w:rsid w:val="00622E36"/>
    <w:rsid w:val="0062363B"/>
    <w:rsid w:val="00624326"/>
    <w:rsid w:val="0062494B"/>
    <w:rsid w:val="00626BB4"/>
    <w:rsid w:val="0062743A"/>
    <w:rsid w:val="0062776C"/>
    <w:rsid w:val="00631296"/>
    <w:rsid w:val="00631350"/>
    <w:rsid w:val="006316B7"/>
    <w:rsid w:val="006318EE"/>
    <w:rsid w:val="006325C8"/>
    <w:rsid w:val="00632BE0"/>
    <w:rsid w:val="00633C40"/>
    <w:rsid w:val="00633CB0"/>
    <w:rsid w:val="00634153"/>
    <w:rsid w:val="00634623"/>
    <w:rsid w:val="00634A5B"/>
    <w:rsid w:val="00634EE7"/>
    <w:rsid w:val="0063615F"/>
    <w:rsid w:val="00636A66"/>
    <w:rsid w:val="00640B82"/>
    <w:rsid w:val="00640E64"/>
    <w:rsid w:val="00641329"/>
    <w:rsid w:val="00641576"/>
    <w:rsid w:val="006418BF"/>
    <w:rsid w:val="00642314"/>
    <w:rsid w:val="00643CAD"/>
    <w:rsid w:val="00644658"/>
    <w:rsid w:val="00645951"/>
    <w:rsid w:val="00647F6C"/>
    <w:rsid w:val="006515E6"/>
    <w:rsid w:val="006517CF"/>
    <w:rsid w:val="00652B91"/>
    <w:rsid w:val="00652D8A"/>
    <w:rsid w:val="006535F0"/>
    <w:rsid w:val="00653F64"/>
    <w:rsid w:val="006561D2"/>
    <w:rsid w:val="006562BF"/>
    <w:rsid w:val="006616C3"/>
    <w:rsid w:val="00662610"/>
    <w:rsid w:val="00662CB5"/>
    <w:rsid w:val="0066376A"/>
    <w:rsid w:val="0066551E"/>
    <w:rsid w:val="00665D70"/>
    <w:rsid w:val="00666454"/>
    <w:rsid w:val="00666A50"/>
    <w:rsid w:val="00666E2B"/>
    <w:rsid w:val="00670CF1"/>
    <w:rsid w:val="00671643"/>
    <w:rsid w:val="00671989"/>
    <w:rsid w:val="00672C7B"/>
    <w:rsid w:val="00674566"/>
    <w:rsid w:val="00676652"/>
    <w:rsid w:val="00676C64"/>
    <w:rsid w:val="00676FFC"/>
    <w:rsid w:val="0067748F"/>
    <w:rsid w:val="00677A08"/>
    <w:rsid w:val="00680159"/>
    <w:rsid w:val="00680649"/>
    <w:rsid w:val="00680C36"/>
    <w:rsid w:val="006839DC"/>
    <w:rsid w:val="0068511C"/>
    <w:rsid w:val="006863D0"/>
    <w:rsid w:val="00687499"/>
    <w:rsid w:val="0068753E"/>
    <w:rsid w:val="0068781D"/>
    <w:rsid w:val="006929EA"/>
    <w:rsid w:val="00692E73"/>
    <w:rsid w:val="00693FD9"/>
    <w:rsid w:val="006947DB"/>
    <w:rsid w:val="006963F0"/>
    <w:rsid w:val="006A052E"/>
    <w:rsid w:val="006A42E9"/>
    <w:rsid w:val="006A4C95"/>
    <w:rsid w:val="006A6721"/>
    <w:rsid w:val="006A757A"/>
    <w:rsid w:val="006A7D35"/>
    <w:rsid w:val="006B1962"/>
    <w:rsid w:val="006B4848"/>
    <w:rsid w:val="006B4981"/>
    <w:rsid w:val="006B4E39"/>
    <w:rsid w:val="006B5101"/>
    <w:rsid w:val="006B5818"/>
    <w:rsid w:val="006B77F4"/>
    <w:rsid w:val="006C0274"/>
    <w:rsid w:val="006C075E"/>
    <w:rsid w:val="006C207E"/>
    <w:rsid w:val="006C291A"/>
    <w:rsid w:val="006C2FA8"/>
    <w:rsid w:val="006C321A"/>
    <w:rsid w:val="006C43E9"/>
    <w:rsid w:val="006C4A45"/>
    <w:rsid w:val="006C5C6B"/>
    <w:rsid w:val="006C62F9"/>
    <w:rsid w:val="006D1716"/>
    <w:rsid w:val="006D3FBC"/>
    <w:rsid w:val="006D6FC0"/>
    <w:rsid w:val="006D7280"/>
    <w:rsid w:val="006D7B86"/>
    <w:rsid w:val="006E0468"/>
    <w:rsid w:val="006E07D7"/>
    <w:rsid w:val="006E097E"/>
    <w:rsid w:val="006E1FB0"/>
    <w:rsid w:val="006E2892"/>
    <w:rsid w:val="006E42EE"/>
    <w:rsid w:val="006E5721"/>
    <w:rsid w:val="006E58B6"/>
    <w:rsid w:val="006E75F2"/>
    <w:rsid w:val="006E7F7E"/>
    <w:rsid w:val="006F0260"/>
    <w:rsid w:val="006F02E4"/>
    <w:rsid w:val="006F1702"/>
    <w:rsid w:val="006F171F"/>
    <w:rsid w:val="006F2805"/>
    <w:rsid w:val="006F31E6"/>
    <w:rsid w:val="006F44A0"/>
    <w:rsid w:val="006F67C4"/>
    <w:rsid w:val="006F6991"/>
    <w:rsid w:val="006F74C6"/>
    <w:rsid w:val="00702003"/>
    <w:rsid w:val="007028D8"/>
    <w:rsid w:val="00705418"/>
    <w:rsid w:val="0070574F"/>
    <w:rsid w:val="00705D43"/>
    <w:rsid w:val="00706082"/>
    <w:rsid w:val="007062C5"/>
    <w:rsid w:val="00706B29"/>
    <w:rsid w:val="007115DB"/>
    <w:rsid w:val="0071368F"/>
    <w:rsid w:val="00714C71"/>
    <w:rsid w:val="00717046"/>
    <w:rsid w:val="0072003B"/>
    <w:rsid w:val="0072032E"/>
    <w:rsid w:val="007208C7"/>
    <w:rsid w:val="00721238"/>
    <w:rsid w:val="007220E4"/>
    <w:rsid w:val="00723E7D"/>
    <w:rsid w:val="00725AAC"/>
    <w:rsid w:val="00726D16"/>
    <w:rsid w:val="0072743A"/>
    <w:rsid w:val="007300CF"/>
    <w:rsid w:val="00733109"/>
    <w:rsid w:val="0073330D"/>
    <w:rsid w:val="0073333C"/>
    <w:rsid w:val="00734BA1"/>
    <w:rsid w:val="00736CC1"/>
    <w:rsid w:val="00737F3A"/>
    <w:rsid w:val="007401B2"/>
    <w:rsid w:val="00740F59"/>
    <w:rsid w:val="00741247"/>
    <w:rsid w:val="00741354"/>
    <w:rsid w:val="00741938"/>
    <w:rsid w:val="00741FEF"/>
    <w:rsid w:val="00742532"/>
    <w:rsid w:val="00742C1F"/>
    <w:rsid w:val="0074343D"/>
    <w:rsid w:val="0074352B"/>
    <w:rsid w:val="00743EF4"/>
    <w:rsid w:val="007447D9"/>
    <w:rsid w:val="007450F7"/>
    <w:rsid w:val="00746171"/>
    <w:rsid w:val="0074665C"/>
    <w:rsid w:val="007501E8"/>
    <w:rsid w:val="007527C3"/>
    <w:rsid w:val="007544C7"/>
    <w:rsid w:val="00755A43"/>
    <w:rsid w:val="00756E02"/>
    <w:rsid w:val="00756FFE"/>
    <w:rsid w:val="007605C7"/>
    <w:rsid w:val="00763475"/>
    <w:rsid w:val="00764733"/>
    <w:rsid w:val="00764D95"/>
    <w:rsid w:val="007651FD"/>
    <w:rsid w:val="007701FA"/>
    <w:rsid w:val="00771319"/>
    <w:rsid w:val="007721F5"/>
    <w:rsid w:val="00773220"/>
    <w:rsid w:val="00773D87"/>
    <w:rsid w:val="00775C71"/>
    <w:rsid w:val="00776546"/>
    <w:rsid w:val="00776EAE"/>
    <w:rsid w:val="0077777E"/>
    <w:rsid w:val="00780E1F"/>
    <w:rsid w:val="0078129D"/>
    <w:rsid w:val="00783A70"/>
    <w:rsid w:val="00784B11"/>
    <w:rsid w:val="00784E15"/>
    <w:rsid w:val="00786BD9"/>
    <w:rsid w:val="007874D8"/>
    <w:rsid w:val="0079144A"/>
    <w:rsid w:val="00791527"/>
    <w:rsid w:val="007916FD"/>
    <w:rsid w:val="00791A1F"/>
    <w:rsid w:val="007923AB"/>
    <w:rsid w:val="007934E9"/>
    <w:rsid w:val="007946FB"/>
    <w:rsid w:val="0079659A"/>
    <w:rsid w:val="007A06EF"/>
    <w:rsid w:val="007A0E40"/>
    <w:rsid w:val="007A1011"/>
    <w:rsid w:val="007A18B5"/>
    <w:rsid w:val="007A2AF8"/>
    <w:rsid w:val="007A2C23"/>
    <w:rsid w:val="007A3DFA"/>
    <w:rsid w:val="007A4915"/>
    <w:rsid w:val="007A70B3"/>
    <w:rsid w:val="007A732D"/>
    <w:rsid w:val="007B019D"/>
    <w:rsid w:val="007B0630"/>
    <w:rsid w:val="007B103A"/>
    <w:rsid w:val="007B1639"/>
    <w:rsid w:val="007B2908"/>
    <w:rsid w:val="007B324F"/>
    <w:rsid w:val="007B5CC2"/>
    <w:rsid w:val="007B65C9"/>
    <w:rsid w:val="007B7C7C"/>
    <w:rsid w:val="007C0441"/>
    <w:rsid w:val="007C0627"/>
    <w:rsid w:val="007C0736"/>
    <w:rsid w:val="007C0C03"/>
    <w:rsid w:val="007C2A4F"/>
    <w:rsid w:val="007C3A3E"/>
    <w:rsid w:val="007C4544"/>
    <w:rsid w:val="007C6A95"/>
    <w:rsid w:val="007C7341"/>
    <w:rsid w:val="007C7C58"/>
    <w:rsid w:val="007D0A29"/>
    <w:rsid w:val="007D0B81"/>
    <w:rsid w:val="007D139D"/>
    <w:rsid w:val="007D18A9"/>
    <w:rsid w:val="007D1D7B"/>
    <w:rsid w:val="007D33CD"/>
    <w:rsid w:val="007D3981"/>
    <w:rsid w:val="007E01FC"/>
    <w:rsid w:val="007E1400"/>
    <w:rsid w:val="007E30DC"/>
    <w:rsid w:val="007E3FC7"/>
    <w:rsid w:val="007E410B"/>
    <w:rsid w:val="007E43BC"/>
    <w:rsid w:val="007E656D"/>
    <w:rsid w:val="007F2585"/>
    <w:rsid w:val="007F2597"/>
    <w:rsid w:val="007F2A15"/>
    <w:rsid w:val="007F2DE3"/>
    <w:rsid w:val="007F415E"/>
    <w:rsid w:val="007F48E7"/>
    <w:rsid w:val="007F7187"/>
    <w:rsid w:val="007F7727"/>
    <w:rsid w:val="007F795C"/>
    <w:rsid w:val="008040DA"/>
    <w:rsid w:val="00804733"/>
    <w:rsid w:val="00804991"/>
    <w:rsid w:val="00806F18"/>
    <w:rsid w:val="008072BF"/>
    <w:rsid w:val="00807943"/>
    <w:rsid w:val="00807B3B"/>
    <w:rsid w:val="0081076B"/>
    <w:rsid w:val="00812030"/>
    <w:rsid w:val="008139F9"/>
    <w:rsid w:val="00815ABD"/>
    <w:rsid w:val="0081671C"/>
    <w:rsid w:val="00816C1A"/>
    <w:rsid w:val="00816E24"/>
    <w:rsid w:val="00817BDB"/>
    <w:rsid w:val="00817BDC"/>
    <w:rsid w:val="00817D63"/>
    <w:rsid w:val="008205CE"/>
    <w:rsid w:val="00820DBB"/>
    <w:rsid w:val="0082220E"/>
    <w:rsid w:val="00823AC8"/>
    <w:rsid w:val="00823B1F"/>
    <w:rsid w:val="00824591"/>
    <w:rsid w:val="00825040"/>
    <w:rsid w:val="00827448"/>
    <w:rsid w:val="008309F2"/>
    <w:rsid w:val="00830CB6"/>
    <w:rsid w:val="00830E8E"/>
    <w:rsid w:val="00831CB5"/>
    <w:rsid w:val="00832360"/>
    <w:rsid w:val="00832DF4"/>
    <w:rsid w:val="0083364A"/>
    <w:rsid w:val="0083487A"/>
    <w:rsid w:val="008355BD"/>
    <w:rsid w:val="00840344"/>
    <w:rsid w:val="00842629"/>
    <w:rsid w:val="0084347A"/>
    <w:rsid w:val="008436E5"/>
    <w:rsid w:val="008437CD"/>
    <w:rsid w:val="008445AB"/>
    <w:rsid w:val="00846BD6"/>
    <w:rsid w:val="0084722D"/>
    <w:rsid w:val="00851880"/>
    <w:rsid w:val="00851F36"/>
    <w:rsid w:val="008532F3"/>
    <w:rsid w:val="00855492"/>
    <w:rsid w:val="00856ABD"/>
    <w:rsid w:val="00857225"/>
    <w:rsid w:val="00857CB9"/>
    <w:rsid w:val="008605E7"/>
    <w:rsid w:val="00861572"/>
    <w:rsid w:val="008623C0"/>
    <w:rsid w:val="00862CE4"/>
    <w:rsid w:val="00864002"/>
    <w:rsid w:val="00865CF9"/>
    <w:rsid w:val="00865FE8"/>
    <w:rsid w:val="008664E4"/>
    <w:rsid w:val="00867CA1"/>
    <w:rsid w:val="00870979"/>
    <w:rsid w:val="00870DB5"/>
    <w:rsid w:val="0087477E"/>
    <w:rsid w:val="00874879"/>
    <w:rsid w:val="00874DC4"/>
    <w:rsid w:val="00876177"/>
    <w:rsid w:val="0087669C"/>
    <w:rsid w:val="00877135"/>
    <w:rsid w:val="008779EE"/>
    <w:rsid w:val="00880644"/>
    <w:rsid w:val="008810F5"/>
    <w:rsid w:val="0088234C"/>
    <w:rsid w:val="00882840"/>
    <w:rsid w:val="0088298F"/>
    <w:rsid w:val="008840B9"/>
    <w:rsid w:val="008842FC"/>
    <w:rsid w:val="00884C35"/>
    <w:rsid w:val="00885229"/>
    <w:rsid w:val="00886C8F"/>
    <w:rsid w:val="00887389"/>
    <w:rsid w:val="008873BC"/>
    <w:rsid w:val="00887552"/>
    <w:rsid w:val="00887840"/>
    <w:rsid w:val="008879D9"/>
    <w:rsid w:val="00892B81"/>
    <w:rsid w:val="0089348B"/>
    <w:rsid w:val="00893AC2"/>
    <w:rsid w:val="00893B91"/>
    <w:rsid w:val="00893C08"/>
    <w:rsid w:val="00895091"/>
    <w:rsid w:val="00895492"/>
    <w:rsid w:val="008958A1"/>
    <w:rsid w:val="00896CAB"/>
    <w:rsid w:val="00897115"/>
    <w:rsid w:val="00897386"/>
    <w:rsid w:val="00897786"/>
    <w:rsid w:val="008A04D7"/>
    <w:rsid w:val="008A0C1B"/>
    <w:rsid w:val="008A0EF2"/>
    <w:rsid w:val="008A1067"/>
    <w:rsid w:val="008A171E"/>
    <w:rsid w:val="008A1819"/>
    <w:rsid w:val="008A294B"/>
    <w:rsid w:val="008A3005"/>
    <w:rsid w:val="008A3B8C"/>
    <w:rsid w:val="008A5B63"/>
    <w:rsid w:val="008A62F4"/>
    <w:rsid w:val="008A7401"/>
    <w:rsid w:val="008A7A1B"/>
    <w:rsid w:val="008A7F7D"/>
    <w:rsid w:val="008B02AA"/>
    <w:rsid w:val="008B02B4"/>
    <w:rsid w:val="008B044E"/>
    <w:rsid w:val="008B0A17"/>
    <w:rsid w:val="008B3E3E"/>
    <w:rsid w:val="008B68F5"/>
    <w:rsid w:val="008B6952"/>
    <w:rsid w:val="008B71F3"/>
    <w:rsid w:val="008B7627"/>
    <w:rsid w:val="008B7CB2"/>
    <w:rsid w:val="008C0DD8"/>
    <w:rsid w:val="008C0E38"/>
    <w:rsid w:val="008C3BF4"/>
    <w:rsid w:val="008C56AD"/>
    <w:rsid w:val="008C6C70"/>
    <w:rsid w:val="008C72E6"/>
    <w:rsid w:val="008C7F1C"/>
    <w:rsid w:val="008D02D4"/>
    <w:rsid w:val="008D0565"/>
    <w:rsid w:val="008D0BE6"/>
    <w:rsid w:val="008D0E35"/>
    <w:rsid w:val="008D0E39"/>
    <w:rsid w:val="008D400B"/>
    <w:rsid w:val="008D4A4E"/>
    <w:rsid w:val="008D5225"/>
    <w:rsid w:val="008E0B0E"/>
    <w:rsid w:val="008E18D7"/>
    <w:rsid w:val="008E1AD6"/>
    <w:rsid w:val="008E28A0"/>
    <w:rsid w:val="008E2D5B"/>
    <w:rsid w:val="008E3454"/>
    <w:rsid w:val="008E3493"/>
    <w:rsid w:val="008E3F81"/>
    <w:rsid w:val="008E42FF"/>
    <w:rsid w:val="008E480C"/>
    <w:rsid w:val="008E4E12"/>
    <w:rsid w:val="008E5098"/>
    <w:rsid w:val="008E5653"/>
    <w:rsid w:val="008E68F2"/>
    <w:rsid w:val="008E7B80"/>
    <w:rsid w:val="008E7CDF"/>
    <w:rsid w:val="008F05A5"/>
    <w:rsid w:val="008F0BA2"/>
    <w:rsid w:val="008F1828"/>
    <w:rsid w:val="008F1A43"/>
    <w:rsid w:val="008F1F41"/>
    <w:rsid w:val="008F22BF"/>
    <w:rsid w:val="008F3E04"/>
    <w:rsid w:val="008F5583"/>
    <w:rsid w:val="008F6DCB"/>
    <w:rsid w:val="00900178"/>
    <w:rsid w:val="00900774"/>
    <w:rsid w:val="00903204"/>
    <w:rsid w:val="00903DF1"/>
    <w:rsid w:val="00904698"/>
    <w:rsid w:val="00904E66"/>
    <w:rsid w:val="00904FF8"/>
    <w:rsid w:val="00910F92"/>
    <w:rsid w:val="009112B0"/>
    <w:rsid w:val="009121EF"/>
    <w:rsid w:val="00913146"/>
    <w:rsid w:val="00914637"/>
    <w:rsid w:val="009146B6"/>
    <w:rsid w:val="009150C2"/>
    <w:rsid w:val="00916786"/>
    <w:rsid w:val="0091686D"/>
    <w:rsid w:val="009169E8"/>
    <w:rsid w:val="00916DCD"/>
    <w:rsid w:val="00917A01"/>
    <w:rsid w:val="00917E79"/>
    <w:rsid w:val="009203F2"/>
    <w:rsid w:val="00920A18"/>
    <w:rsid w:val="00921971"/>
    <w:rsid w:val="00921B87"/>
    <w:rsid w:val="009226BD"/>
    <w:rsid w:val="00924A61"/>
    <w:rsid w:val="0092598E"/>
    <w:rsid w:val="00930AC6"/>
    <w:rsid w:val="00931A9D"/>
    <w:rsid w:val="00933B77"/>
    <w:rsid w:val="00933C50"/>
    <w:rsid w:val="009346FA"/>
    <w:rsid w:val="00935AE3"/>
    <w:rsid w:val="00935CED"/>
    <w:rsid w:val="009367CC"/>
    <w:rsid w:val="00942357"/>
    <w:rsid w:val="0094266F"/>
    <w:rsid w:val="009436CB"/>
    <w:rsid w:val="00943CD0"/>
    <w:rsid w:val="009446B0"/>
    <w:rsid w:val="0094483D"/>
    <w:rsid w:val="009448CA"/>
    <w:rsid w:val="00945134"/>
    <w:rsid w:val="009451F7"/>
    <w:rsid w:val="00946116"/>
    <w:rsid w:val="00946A77"/>
    <w:rsid w:val="00946DA6"/>
    <w:rsid w:val="00946FDC"/>
    <w:rsid w:val="00947490"/>
    <w:rsid w:val="00947695"/>
    <w:rsid w:val="00947FEB"/>
    <w:rsid w:val="00952D5E"/>
    <w:rsid w:val="00953D4F"/>
    <w:rsid w:val="0095546C"/>
    <w:rsid w:val="00956072"/>
    <w:rsid w:val="00956268"/>
    <w:rsid w:val="0095672B"/>
    <w:rsid w:val="009567D7"/>
    <w:rsid w:val="00956A5B"/>
    <w:rsid w:val="00957362"/>
    <w:rsid w:val="009575FF"/>
    <w:rsid w:val="0095783F"/>
    <w:rsid w:val="0096045B"/>
    <w:rsid w:val="00960727"/>
    <w:rsid w:val="009612DA"/>
    <w:rsid w:val="00962F2D"/>
    <w:rsid w:val="00963196"/>
    <w:rsid w:val="0096348B"/>
    <w:rsid w:val="009639E3"/>
    <w:rsid w:val="00966636"/>
    <w:rsid w:val="0096737C"/>
    <w:rsid w:val="00967A6D"/>
    <w:rsid w:val="009709C4"/>
    <w:rsid w:val="009723B4"/>
    <w:rsid w:val="00972F96"/>
    <w:rsid w:val="00973DAF"/>
    <w:rsid w:val="00974501"/>
    <w:rsid w:val="009754BE"/>
    <w:rsid w:val="0097602B"/>
    <w:rsid w:val="00976169"/>
    <w:rsid w:val="00976B5C"/>
    <w:rsid w:val="00977755"/>
    <w:rsid w:val="00977F4A"/>
    <w:rsid w:val="00980C43"/>
    <w:rsid w:val="00980F42"/>
    <w:rsid w:val="00982050"/>
    <w:rsid w:val="0098216C"/>
    <w:rsid w:val="00982C61"/>
    <w:rsid w:val="00983AB4"/>
    <w:rsid w:val="009853EE"/>
    <w:rsid w:val="0099035A"/>
    <w:rsid w:val="009910A9"/>
    <w:rsid w:val="009914D9"/>
    <w:rsid w:val="00992192"/>
    <w:rsid w:val="00994AE7"/>
    <w:rsid w:val="00995081"/>
    <w:rsid w:val="00995095"/>
    <w:rsid w:val="009955F4"/>
    <w:rsid w:val="00995B3B"/>
    <w:rsid w:val="00996008"/>
    <w:rsid w:val="00996C48"/>
    <w:rsid w:val="009A2471"/>
    <w:rsid w:val="009A4B06"/>
    <w:rsid w:val="009A4FCE"/>
    <w:rsid w:val="009A58B9"/>
    <w:rsid w:val="009A5C9C"/>
    <w:rsid w:val="009A6146"/>
    <w:rsid w:val="009A70D4"/>
    <w:rsid w:val="009A756A"/>
    <w:rsid w:val="009B0F8E"/>
    <w:rsid w:val="009B11FE"/>
    <w:rsid w:val="009B1FE9"/>
    <w:rsid w:val="009B242E"/>
    <w:rsid w:val="009B31C9"/>
    <w:rsid w:val="009B60C5"/>
    <w:rsid w:val="009B6935"/>
    <w:rsid w:val="009B6B50"/>
    <w:rsid w:val="009B7EF2"/>
    <w:rsid w:val="009C1895"/>
    <w:rsid w:val="009C1DAB"/>
    <w:rsid w:val="009C2C11"/>
    <w:rsid w:val="009C3EFE"/>
    <w:rsid w:val="009C62E4"/>
    <w:rsid w:val="009C7C6D"/>
    <w:rsid w:val="009D01FB"/>
    <w:rsid w:val="009D02EC"/>
    <w:rsid w:val="009D04F2"/>
    <w:rsid w:val="009D1A40"/>
    <w:rsid w:val="009D35C1"/>
    <w:rsid w:val="009D3FAA"/>
    <w:rsid w:val="009D4014"/>
    <w:rsid w:val="009D408A"/>
    <w:rsid w:val="009D51E3"/>
    <w:rsid w:val="009D5E0D"/>
    <w:rsid w:val="009D6139"/>
    <w:rsid w:val="009D75D5"/>
    <w:rsid w:val="009D7C70"/>
    <w:rsid w:val="009E0931"/>
    <w:rsid w:val="009E095B"/>
    <w:rsid w:val="009E240F"/>
    <w:rsid w:val="009E2903"/>
    <w:rsid w:val="009E2E65"/>
    <w:rsid w:val="009E6F22"/>
    <w:rsid w:val="009F03B9"/>
    <w:rsid w:val="009F1596"/>
    <w:rsid w:val="009F4D03"/>
    <w:rsid w:val="009F52D3"/>
    <w:rsid w:val="009F64DB"/>
    <w:rsid w:val="009F7086"/>
    <w:rsid w:val="009F71C0"/>
    <w:rsid w:val="00A02F95"/>
    <w:rsid w:val="00A03E93"/>
    <w:rsid w:val="00A04304"/>
    <w:rsid w:val="00A050AD"/>
    <w:rsid w:val="00A05856"/>
    <w:rsid w:val="00A05B68"/>
    <w:rsid w:val="00A06104"/>
    <w:rsid w:val="00A06D99"/>
    <w:rsid w:val="00A1081E"/>
    <w:rsid w:val="00A1157C"/>
    <w:rsid w:val="00A11A8E"/>
    <w:rsid w:val="00A1250E"/>
    <w:rsid w:val="00A12572"/>
    <w:rsid w:val="00A126AA"/>
    <w:rsid w:val="00A127A1"/>
    <w:rsid w:val="00A13103"/>
    <w:rsid w:val="00A135A6"/>
    <w:rsid w:val="00A1465A"/>
    <w:rsid w:val="00A147A8"/>
    <w:rsid w:val="00A14CAE"/>
    <w:rsid w:val="00A15D84"/>
    <w:rsid w:val="00A16AC1"/>
    <w:rsid w:val="00A17AB0"/>
    <w:rsid w:val="00A20700"/>
    <w:rsid w:val="00A22772"/>
    <w:rsid w:val="00A24B62"/>
    <w:rsid w:val="00A2540D"/>
    <w:rsid w:val="00A25502"/>
    <w:rsid w:val="00A2593D"/>
    <w:rsid w:val="00A25C20"/>
    <w:rsid w:val="00A2763C"/>
    <w:rsid w:val="00A30C65"/>
    <w:rsid w:val="00A30F05"/>
    <w:rsid w:val="00A31096"/>
    <w:rsid w:val="00A32891"/>
    <w:rsid w:val="00A32B34"/>
    <w:rsid w:val="00A334BD"/>
    <w:rsid w:val="00A340B7"/>
    <w:rsid w:val="00A36462"/>
    <w:rsid w:val="00A369D3"/>
    <w:rsid w:val="00A37258"/>
    <w:rsid w:val="00A3768B"/>
    <w:rsid w:val="00A40628"/>
    <w:rsid w:val="00A41041"/>
    <w:rsid w:val="00A42B2C"/>
    <w:rsid w:val="00A43E0B"/>
    <w:rsid w:val="00A44894"/>
    <w:rsid w:val="00A44D33"/>
    <w:rsid w:val="00A459E7"/>
    <w:rsid w:val="00A47C24"/>
    <w:rsid w:val="00A507C2"/>
    <w:rsid w:val="00A50893"/>
    <w:rsid w:val="00A50F9C"/>
    <w:rsid w:val="00A51B07"/>
    <w:rsid w:val="00A52E79"/>
    <w:rsid w:val="00A539D0"/>
    <w:rsid w:val="00A54AC0"/>
    <w:rsid w:val="00A5588A"/>
    <w:rsid w:val="00A558E6"/>
    <w:rsid w:val="00A57E63"/>
    <w:rsid w:val="00A603A2"/>
    <w:rsid w:val="00A6098D"/>
    <w:rsid w:val="00A611A5"/>
    <w:rsid w:val="00A61888"/>
    <w:rsid w:val="00A647F4"/>
    <w:rsid w:val="00A716A2"/>
    <w:rsid w:val="00A7179C"/>
    <w:rsid w:val="00A71EE2"/>
    <w:rsid w:val="00A72E14"/>
    <w:rsid w:val="00A73A1A"/>
    <w:rsid w:val="00A740E6"/>
    <w:rsid w:val="00A74C46"/>
    <w:rsid w:val="00A75F4F"/>
    <w:rsid w:val="00A81AC7"/>
    <w:rsid w:val="00A81CC6"/>
    <w:rsid w:val="00A81F3B"/>
    <w:rsid w:val="00A8234A"/>
    <w:rsid w:val="00A835AC"/>
    <w:rsid w:val="00A8527A"/>
    <w:rsid w:val="00A86757"/>
    <w:rsid w:val="00A868AB"/>
    <w:rsid w:val="00A87CB3"/>
    <w:rsid w:val="00A91607"/>
    <w:rsid w:val="00A920C2"/>
    <w:rsid w:val="00A921AE"/>
    <w:rsid w:val="00A92306"/>
    <w:rsid w:val="00A92B71"/>
    <w:rsid w:val="00A93978"/>
    <w:rsid w:val="00A94FB5"/>
    <w:rsid w:val="00A96697"/>
    <w:rsid w:val="00A97D58"/>
    <w:rsid w:val="00AA158F"/>
    <w:rsid w:val="00AA26F6"/>
    <w:rsid w:val="00AA3282"/>
    <w:rsid w:val="00AA4D54"/>
    <w:rsid w:val="00AA5445"/>
    <w:rsid w:val="00AA5D42"/>
    <w:rsid w:val="00AA6873"/>
    <w:rsid w:val="00AA767D"/>
    <w:rsid w:val="00AB0A8A"/>
    <w:rsid w:val="00AB19BD"/>
    <w:rsid w:val="00AB1A84"/>
    <w:rsid w:val="00AB4777"/>
    <w:rsid w:val="00AB5BA2"/>
    <w:rsid w:val="00AC2016"/>
    <w:rsid w:val="00AC2198"/>
    <w:rsid w:val="00AC2ABF"/>
    <w:rsid w:val="00AC2EA1"/>
    <w:rsid w:val="00AC381E"/>
    <w:rsid w:val="00AC52C2"/>
    <w:rsid w:val="00AC5387"/>
    <w:rsid w:val="00AC548B"/>
    <w:rsid w:val="00AC64C1"/>
    <w:rsid w:val="00AC6601"/>
    <w:rsid w:val="00AC695E"/>
    <w:rsid w:val="00AC6C45"/>
    <w:rsid w:val="00AC7418"/>
    <w:rsid w:val="00AC7803"/>
    <w:rsid w:val="00AD03E6"/>
    <w:rsid w:val="00AD17BD"/>
    <w:rsid w:val="00AD191E"/>
    <w:rsid w:val="00AD204A"/>
    <w:rsid w:val="00AD2CAE"/>
    <w:rsid w:val="00AD3BF5"/>
    <w:rsid w:val="00AD4080"/>
    <w:rsid w:val="00AD4EA6"/>
    <w:rsid w:val="00AD562E"/>
    <w:rsid w:val="00AD5C64"/>
    <w:rsid w:val="00AD6461"/>
    <w:rsid w:val="00AD6A2D"/>
    <w:rsid w:val="00AD7926"/>
    <w:rsid w:val="00AE0354"/>
    <w:rsid w:val="00AE228B"/>
    <w:rsid w:val="00AE2C76"/>
    <w:rsid w:val="00AE3133"/>
    <w:rsid w:val="00AE3AC5"/>
    <w:rsid w:val="00AE44C6"/>
    <w:rsid w:val="00AE4B75"/>
    <w:rsid w:val="00AE64A3"/>
    <w:rsid w:val="00AF13BE"/>
    <w:rsid w:val="00AF16A4"/>
    <w:rsid w:val="00AF2582"/>
    <w:rsid w:val="00AF2A68"/>
    <w:rsid w:val="00AF3099"/>
    <w:rsid w:val="00AF346E"/>
    <w:rsid w:val="00AF34F8"/>
    <w:rsid w:val="00AF4482"/>
    <w:rsid w:val="00AF4539"/>
    <w:rsid w:val="00AF5078"/>
    <w:rsid w:val="00AF5674"/>
    <w:rsid w:val="00AF5C09"/>
    <w:rsid w:val="00AF5C14"/>
    <w:rsid w:val="00AF730F"/>
    <w:rsid w:val="00B02D5D"/>
    <w:rsid w:val="00B03C12"/>
    <w:rsid w:val="00B04219"/>
    <w:rsid w:val="00B04D55"/>
    <w:rsid w:val="00B07B1A"/>
    <w:rsid w:val="00B07E60"/>
    <w:rsid w:val="00B10E60"/>
    <w:rsid w:val="00B134AB"/>
    <w:rsid w:val="00B14815"/>
    <w:rsid w:val="00B14C39"/>
    <w:rsid w:val="00B205FF"/>
    <w:rsid w:val="00B21409"/>
    <w:rsid w:val="00B24887"/>
    <w:rsid w:val="00B24CFC"/>
    <w:rsid w:val="00B25022"/>
    <w:rsid w:val="00B256A3"/>
    <w:rsid w:val="00B256BF"/>
    <w:rsid w:val="00B25E7E"/>
    <w:rsid w:val="00B26CCF"/>
    <w:rsid w:val="00B2763E"/>
    <w:rsid w:val="00B27CB9"/>
    <w:rsid w:val="00B30434"/>
    <w:rsid w:val="00B30B27"/>
    <w:rsid w:val="00B30CCA"/>
    <w:rsid w:val="00B30E8B"/>
    <w:rsid w:val="00B32647"/>
    <w:rsid w:val="00B33031"/>
    <w:rsid w:val="00B339A5"/>
    <w:rsid w:val="00B34C7C"/>
    <w:rsid w:val="00B34F88"/>
    <w:rsid w:val="00B35A8D"/>
    <w:rsid w:val="00B3629A"/>
    <w:rsid w:val="00B37953"/>
    <w:rsid w:val="00B403EF"/>
    <w:rsid w:val="00B40846"/>
    <w:rsid w:val="00B43ACE"/>
    <w:rsid w:val="00B44187"/>
    <w:rsid w:val="00B44F71"/>
    <w:rsid w:val="00B471CF"/>
    <w:rsid w:val="00B506AB"/>
    <w:rsid w:val="00B53124"/>
    <w:rsid w:val="00B53239"/>
    <w:rsid w:val="00B53322"/>
    <w:rsid w:val="00B53CFF"/>
    <w:rsid w:val="00B545C7"/>
    <w:rsid w:val="00B5504F"/>
    <w:rsid w:val="00B55532"/>
    <w:rsid w:val="00B55C92"/>
    <w:rsid w:val="00B5643F"/>
    <w:rsid w:val="00B56B52"/>
    <w:rsid w:val="00B56FC6"/>
    <w:rsid w:val="00B57364"/>
    <w:rsid w:val="00B603DA"/>
    <w:rsid w:val="00B61D6E"/>
    <w:rsid w:val="00B6396D"/>
    <w:rsid w:val="00B64CC2"/>
    <w:rsid w:val="00B64D40"/>
    <w:rsid w:val="00B65102"/>
    <w:rsid w:val="00B660EF"/>
    <w:rsid w:val="00B71384"/>
    <w:rsid w:val="00B725DB"/>
    <w:rsid w:val="00B727CF"/>
    <w:rsid w:val="00B72A60"/>
    <w:rsid w:val="00B73369"/>
    <w:rsid w:val="00B74D10"/>
    <w:rsid w:val="00B758DA"/>
    <w:rsid w:val="00B7666D"/>
    <w:rsid w:val="00B76E43"/>
    <w:rsid w:val="00B77AF4"/>
    <w:rsid w:val="00B77D64"/>
    <w:rsid w:val="00B8063B"/>
    <w:rsid w:val="00B80A77"/>
    <w:rsid w:val="00B8105A"/>
    <w:rsid w:val="00B81A12"/>
    <w:rsid w:val="00B82A93"/>
    <w:rsid w:val="00B82E11"/>
    <w:rsid w:val="00B850A2"/>
    <w:rsid w:val="00B850F9"/>
    <w:rsid w:val="00B869D8"/>
    <w:rsid w:val="00B87E11"/>
    <w:rsid w:val="00B90C65"/>
    <w:rsid w:val="00B912F1"/>
    <w:rsid w:val="00B93268"/>
    <w:rsid w:val="00B93F8E"/>
    <w:rsid w:val="00B93FFC"/>
    <w:rsid w:val="00B94615"/>
    <w:rsid w:val="00B94CB2"/>
    <w:rsid w:val="00B94DCC"/>
    <w:rsid w:val="00B95B0C"/>
    <w:rsid w:val="00B95B69"/>
    <w:rsid w:val="00B95D20"/>
    <w:rsid w:val="00B96096"/>
    <w:rsid w:val="00B9648E"/>
    <w:rsid w:val="00B9714B"/>
    <w:rsid w:val="00B9781D"/>
    <w:rsid w:val="00B97925"/>
    <w:rsid w:val="00BA01FD"/>
    <w:rsid w:val="00BA2F24"/>
    <w:rsid w:val="00BA42B9"/>
    <w:rsid w:val="00BA6194"/>
    <w:rsid w:val="00BA61C2"/>
    <w:rsid w:val="00BA61D0"/>
    <w:rsid w:val="00BA69F2"/>
    <w:rsid w:val="00BA6D96"/>
    <w:rsid w:val="00BA79CF"/>
    <w:rsid w:val="00BB1073"/>
    <w:rsid w:val="00BB3D65"/>
    <w:rsid w:val="00BB536D"/>
    <w:rsid w:val="00BB5372"/>
    <w:rsid w:val="00BB57F6"/>
    <w:rsid w:val="00BB63FC"/>
    <w:rsid w:val="00BB79BF"/>
    <w:rsid w:val="00BC00F0"/>
    <w:rsid w:val="00BC10EB"/>
    <w:rsid w:val="00BC1890"/>
    <w:rsid w:val="00BC4F06"/>
    <w:rsid w:val="00BC5BD9"/>
    <w:rsid w:val="00BD1AEB"/>
    <w:rsid w:val="00BD1B1E"/>
    <w:rsid w:val="00BD309D"/>
    <w:rsid w:val="00BD3E84"/>
    <w:rsid w:val="00BD4323"/>
    <w:rsid w:val="00BD5B04"/>
    <w:rsid w:val="00BE0D17"/>
    <w:rsid w:val="00BE1054"/>
    <w:rsid w:val="00BE1629"/>
    <w:rsid w:val="00BE172D"/>
    <w:rsid w:val="00BE2671"/>
    <w:rsid w:val="00BE4837"/>
    <w:rsid w:val="00BE49D2"/>
    <w:rsid w:val="00BE580B"/>
    <w:rsid w:val="00BE5C92"/>
    <w:rsid w:val="00BE6CD1"/>
    <w:rsid w:val="00BE7170"/>
    <w:rsid w:val="00BE744F"/>
    <w:rsid w:val="00BF0460"/>
    <w:rsid w:val="00BF1248"/>
    <w:rsid w:val="00BF17BA"/>
    <w:rsid w:val="00BF2068"/>
    <w:rsid w:val="00BF3590"/>
    <w:rsid w:val="00BF58C2"/>
    <w:rsid w:val="00BF5D36"/>
    <w:rsid w:val="00BF5EC4"/>
    <w:rsid w:val="00BF6681"/>
    <w:rsid w:val="00BF7A06"/>
    <w:rsid w:val="00BF7ADF"/>
    <w:rsid w:val="00C004C9"/>
    <w:rsid w:val="00C00C0F"/>
    <w:rsid w:val="00C01A08"/>
    <w:rsid w:val="00C01D59"/>
    <w:rsid w:val="00C0216A"/>
    <w:rsid w:val="00C034AA"/>
    <w:rsid w:val="00C03DED"/>
    <w:rsid w:val="00C03EA5"/>
    <w:rsid w:val="00C044CF"/>
    <w:rsid w:val="00C046BB"/>
    <w:rsid w:val="00C04E0D"/>
    <w:rsid w:val="00C04E95"/>
    <w:rsid w:val="00C06E58"/>
    <w:rsid w:val="00C10684"/>
    <w:rsid w:val="00C1197B"/>
    <w:rsid w:val="00C133C4"/>
    <w:rsid w:val="00C137F6"/>
    <w:rsid w:val="00C168A2"/>
    <w:rsid w:val="00C21181"/>
    <w:rsid w:val="00C23102"/>
    <w:rsid w:val="00C2361C"/>
    <w:rsid w:val="00C2430A"/>
    <w:rsid w:val="00C3054D"/>
    <w:rsid w:val="00C310A8"/>
    <w:rsid w:val="00C318F6"/>
    <w:rsid w:val="00C33108"/>
    <w:rsid w:val="00C3350A"/>
    <w:rsid w:val="00C341BC"/>
    <w:rsid w:val="00C34395"/>
    <w:rsid w:val="00C364DB"/>
    <w:rsid w:val="00C36D0F"/>
    <w:rsid w:val="00C37784"/>
    <w:rsid w:val="00C40343"/>
    <w:rsid w:val="00C41142"/>
    <w:rsid w:val="00C4140B"/>
    <w:rsid w:val="00C42775"/>
    <w:rsid w:val="00C42798"/>
    <w:rsid w:val="00C43B0E"/>
    <w:rsid w:val="00C4418C"/>
    <w:rsid w:val="00C464AB"/>
    <w:rsid w:val="00C46BE3"/>
    <w:rsid w:val="00C46DBD"/>
    <w:rsid w:val="00C470C9"/>
    <w:rsid w:val="00C473E3"/>
    <w:rsid w:val="00C47508"/>
    <w:rsid w:val="00C47A5B"/>
    <w:rsid w:val="00C509CD"/>
    <w:rsid w:val="00C51FA2"/>
    <w:rsid w:val="00C52117"/>
    <w:rsid w:val="00C5467C"/>
    <w:rsid w:val="00C54837"/>
    <w:rsid w:val="00C56BB1"/>
    <w:rsid w:val="00C573E4"/>
    <w:rsid w:val="00C602CB"/>
    <w:rsid w:val="00C60963"/>
    <w:rsid w:val="00C6356A"/>
    <w:rsid w:val="00C64027"/>
    <w:rsid w:val="00C71D6A"/>
    <w:rsid w:val="00C73BF0"/>
    <w:rsid w:val="00C74B1A"/>
    <w:rsid w:val="00C75DA2"/>
    <w:rsid w:val="00C76316"/>
    <w:rsid w:val="00C76939"/>
    <w:rsid w:val="00C76D13"/>
    <w:rsid w:val="00C77C55"/>
    <w:rsid w:val="00C8079F"/>
    <w:rsid w:val="00C80B9D"/>
    <w:rsid w:val="00C80CF9"/>
    <w:rsid w:val="00C80E50"/>
    <w:rsid w:val="00C818F7"/>
    <w:rsid w:val="00C81995"/>
    <w:rsid w:val="00C81FD9"/>
    <w:rsid w:val="00C8286B"/>
    <w:rsid w:val="00C83CAA"/>
    <w:rsid w:val="00C8430D"/>
    <w:rsid w:val="00C846CF"/>
    <w:rsid w:val="00C84787"/>
    <w:rsid w:val="00C87A09"/>
    <w:rsid w:val="00C90A0D"/>
    <w:rsid w:val="00C910C7"/>
    <w:rsid w:val="00C93CB6"/>
    <w:rsid w:val="00C9509D"/>
    <w:rsid w:val="00C95159"/>
    <w:rsid w:val="00C96D54"/>
    <w:rsid w:val="00CA127E"/>
    <w:rsid w:val="00CA15CC"/>
    <w:rsid w:val="00CA2960"/>
    <w:rsid w:val="00CA39F5"/>
    <w:rsid w:val="00CA49E0"/>
    <w:rsid w:val="00CA4A4C"/>
    <w:rsid w:val="00CA52B1"/>
    <w:rsid w:val="00CA64FB"/>
    <w:rsid w:val="00CA7291"/>
    <w:rsid w:val="00CA75FE"/>
    <w:rsid w:val="00CA792C"/>
    <w:rsid w:val="00CB05D1"/>
    <w:rsid w:val="00CB08E8"/>
    <w:rsid w:val="00CB0AC4"/>
    <w:rsid w:val="00CB135A"/>
    <w:rsid w:val="00CB14F5"/>
    <w:rsid w:val="00CB2357"/>
    <w:rsid w:val="00CB27FE"/>
    <w:rsid w:val="00CB2BF2"/>
    <w:rsid w:val="00CB3D91"/>
    <w:rsid w:val="00CB50A9"/>
    <w:rsid w:val="00CB5682"/>
    <w:rsid w:val="00CB56E3"/>
    <w:rsid w:val="00CB69AD"/>
    <w:rsid w:val="00CB6DA6"/>
    <w:rsid w:val="00CB7588"/>
    <w:rsid w:val="00CB78F0"/>
    <w:rsid w:val="00CC12EA"/>
    <w:rsid w:val="00CC2943"/>
    <w:rsid w:val="00CC398D"/>
    <w:rsid w:val="00CC478D"/>
    <w:rsid w:val="00CC47F0"/>
    <w:rsid w:val="00CC5C01"/>
    <w:rsid w:val="00CC6994"/>
    <w:rsid w:val="00CC6D22"/>
    <w:rsid w:val="00CC7A73"/>
    <w:rsid w:val="00CD0B2F"/>
    <w:rsid w:val="00CD0FC0"/>
    <w:rsid w:val="00CD16D4"/>
    <w:rsid w:val="00CD3421"/>
    <w:rsid w:val="00CD3435"/>
    <w:rsid w:val="00CD47BB"/>
    <w:rsid w:val="00CD4FB9"/>
    <w:rsid w:val="00CD5692"/>
    <w:rsid w:val="00CD65E3"/>
    <w:rsid w:val="00CD67AD"/>
    <w:rsid w:val="00CD6A86"/>
    <w:rsid w:val="00CD7137"/>
    <w:rsid w:val="00CD76CB"/>
    <w:rsid w:val="00CE02DA"/>
    <w:rsid w:val="00CE0E92"/>
    <w:rsid w:val="00CE2AC5"/>
    <w:rsid w:val="00CE3A38"/>
    <w:rsid w:val="00CE3F77"/>
    <w:rsid w:val="00CE43F6"/>
    <w:rsid w:val="00CE5707"/>
    <w:rsid w:val="00CE5E9E"/>
    <w:rsid w:val="00CE6254"/>
    <w:rsid w:val="00CE6AF4"/>
    <w:rsid w:val="00CE6BF3"/>
    <w:rsid w:val="00CE766A"/>
    <w:rsid w:val="00CF1002"/>
    <w:rsid w:val="00CF1959"/>
    <w:rsid w:val="00CF250B"/>
    <w:rsid w:val="00CF296F"/>
    <w:rsid w:val="00CF3DBE"/>
    <w:rsid w:val="00CF4025"/>
    <w:rsid w:val="00CF5574"/>
    <w:rsid w:val="00CF70D5"/>
    <w:rsid w:val="00D002E5"/>
    <w:rsid w:val="00D01853"/>
    <w:rsid w:val="00D0515D"/>
    <w:rsid w:val="00D055ED"/>
    <w:rsid w:val="00D106E4"/>
    <w:rsid w:val="00D11C5A"/>
    <w:rsid w:val="00D11E70"/>
    <w:rsid w:val="00D128C5"/>
    <w:rsid w:val="00D13028"/>
    <w:rsid w:val="00D14014"/>
    <w:rsid w:val="00D14049"/>
    <w:rsid w:val="00D15036"/>
    <w:rsid w:val="00D15708"/>
    <w:rsid w:val="00D15789"/>
    <w:rsid w:val="00D16140"/>
    <w:rsid w:val="00D16331"/>
    <w:rsid w:val="00D17083"/>
    <w:rsid w:val="00D17CB0"/>
    <w:rsid w:val="00D20094"/>
    <w:rsid w:val="00D20B11"/>
    <w:rsid w:val="00D2368B"/>
    <w:rsid w:val="00D23D57"/>
    <w:rsid w:val="00D245FA"/>
    <w:rsid w:val="00D256B9"/>
    <w:rsid w:val="00D26108"/>
    <w:rsid w:val="00D27B56"/>
    <w:rsid w:val="00D308BA"/>
    <w:rsid w:val="00D32DBF"/>
    <w:rsid w:val="00D3372E"/>
    <w:rsid w:val="00D34639"/>
    <w:rsid w:val="00D34D98"/>
    <w:rsid w:val="00D36325"/>
    <w:rsid w:val="00D36E11"/>
    <w:rsid w:val="00D40971"/>
    <w:rsid w:val="00D42C0E"/>
    <w:rsid w:val="00D4308C"/>
    <w:rsid w:val="00D45488"/>
    <w:rsid w:val="00D45A29"/>
    <w:rsid w:val="00D46751"/>
    <w:rsid w:val="00D47A3C"/>
    <w:rsid w:val="00D5091E"/>
    <w:rsid w:val="00D50C2D"/>
    <w:rsid w:val="00D518C1"/>
    <w:rsid w:val="00D53816"/>
    <w:rsid w:val="00D53B4D"/>
    <w:rsid w:val="00D54B92"/>
    <w:rsid w:val="00D55B28"/>
    <w:rsid w:val="00D55B93"/>
    <w:rsid w:val="00D55DAE"/>
    <w:rsid w:val="00D56432"/>
    <w:rsid w:val="00D57B21"/>
    <w:rsid w:val="00D60DF4"/>
    <w:rsid w:val="00D60E1A"/>
    <w:rsid w:val="00D61A4C"/>
    <w:rsid w:val="00D63B56"/>
    <w:rsid w:val="00D63BA9"/>
    <w:rsid w:val="00D6504C"/>
    <w:rsid w:val="00D65327"/>
    <w:rsid w:val="00D66740"/>
    <w:rsid w:val="00D66925"/>
    <w:rsid w:val="00D66B22"/>
    <w:rsid w:val="00D67334"/>
    <w:rsid w:val="00D67B84"/>
    <w:rsid w:val="00D70D49"/>
    <w:rsid w:val="00D713F2"/>
    <w:rsid w:val="00D71C7C"/>
    <w:rsid w:val="00D74514"/>
    <w:rsid w:val="00D7555B"/>
    <w:rsid w:val="00D7564F"/>
    <w:rsid w:val="00D76D22"/>
    <w:rsid w:val="00D80E84"/>
    <w:rsid w:val="00D83E44"/>
    <w:rsid w:val="00D8421E"/>
    <w:rsid w:val="00D852DA"/>
    <w:rsid w:val="00D85644"/>
    <w:rsid w:val="00D85EB0"/>
    <w:rsid w:val="00D900CC"/>
    <w:rsid w:val="00D93952"/>
    <w:rsid w:val="00D93A5C"/>
    <w:rsid w:val="00D9447E"/>
    <w:rsid w:val="00D95027"/>
    <w:rsid w:val="00D95953"/>
    <w:rsid w:val="00D95A18"/>
    <w:rsid w:val="00D96DB7"/>
    <w:rsid w:val="00D97423"/>
    <w:rsid w:val="00D974B3"/>
    <w:rsid w:val="00DA20AC"/>
    <w:rsid w:val="00DA2DE9"/>
    <w:rsid w:val="00DA3387"/>
    <w:rsid w:val="00DA48AD"/>
    <w:rsid w:val="00DA5463"/>
    <w:rsid w:val="00DA585E"/>
    <w:rsid w:val="00DA5C7E"/>
    <w:rsid w:val="00DA7B47"/>
    <w:rsid w:val="00DA7F88"/>
    <w:rsid w:val="00DB0E3E"/>
    <w:rsid w:val="00DB0E43"/>
    <w:rsid w:val="00DB1C47"/>
    <w:rsid w:val="00DB5674"/>
    <w:rsid w:val="00DB60D8"/>
    <w:rsid w:val="00DC0496"/>
    <w:rsid w:val="00DC0C96"/>
    <w:rsid w:val="00DC0E01"/>
    <w:rsid w:val="00DC1197"/>
    <w:rsid w:val="00DC15B7"/>
    <w:rsid w:val="00DC1C33"/>
    <w:rsid w:val="00DC1E94"/>
    <w:rsid w:val="00DC23FC"/>
    <w:rsid w:val="00DC5230"/>
    <w:rsid w:val="00DC5E45"/>
    <w:rsid w:val="00DC67DD"/>
    <w:rsid w:val="00DC701F"/>
    <w:rsid w:val="00DC7CE7"/>
    <w:rsid w:val="00DD048C"/>
    <w:rsid w:val="00DD1331"/>
    <w:rsid w:val="00DD14EC"/>
    <w:rsid w:val="00DD17C9"/>
    <w:rsid w:val="00DD33A2"/>
    <w:rsid w:val="00DD531B"/>
    <w:rsid w:val="00DD6853"/>
    <w:rsid w:val="00DD70D5"/>
    <w:rsid w:val="00DE170D"/>
    <w:rsid w:val="00DE1E39"/>
    <w:rsid w:val="00DE2BD0"/>
    <w:rsid w:val="00DE3DF7"/>
    <w:rsid w:val="00DE5F88"/>
    <w:rsid w:val="00DE7A47"/>
    <w:rsid w:val="00DF0986"/>
    <w:rsid w:val="00DF3F34"/>
    <w:rsid w:val="00DF44D9"/>
    <w:rsid w:val="00DF467C"/>
    <w:rsid w:val="00DF4C6C"/>
    <w:rsid w:val="00DF5050"/>
    <w:rsid w:val="00DF521D"/>
    <w:rsid w:val="00DF751C"/>
    <w:rsid w:val="00E008AA"/>
    <w:rsid w:val="00E03370"/>
    <w:rsid w:val="00E0349D"/>
    <w:rsid w:val="00E06742"/>
    <w:rsid w:val="00E067C7"/>
    <w:rsid w:val="00E06BC3"/>
    <w:rsid w:val="00E06FF3"/>
    <w:rsid w:val="00E07BA6"/>
    <w:rsid w:val="00E11718"/>
    <w:rsid w:val="00E12323"/>
    <w:rsid w:val="00E12C13"/>
    <w:rsid w:val="00E12CA6"/>
    <w:rsid w:val="00E144D5"/>
    <w:rsid w:val="00E14B32"/>
    <w:rsid w:val="00E1568B"/>
    <w:rsid w:val="00E16328"/>
    <w:rsid w:val="00E20794"/>
    <w:rsid w:val="00E207CB"/>
    <w:rsid w:val="00E20BC3"/>
    <w:rsid w:val="00E22163"/>
    <w:rsid w:val="00E221E6"/>
    <w:rsid w:val="00E245A2"/>
    <w:rsid w:val="00E24EE3"/>
    <w:rsid w:val="00E25330"/>
    <w:rsid w:val="00E261C2"/>
    <w:rsid w:val="00E26AF2"/>
    <w:rsid w:val="00E27D7A"/>
    <w:rsid w:val="00E27F3E"/>
    <w:rsid w:val="00E31B28"/>
    <w:rsid w:val="00E33288"/>
    <w:rsid w:val="00E335D6"/>
    <w:rsid w:val="00E33842"/>
    <w:rsid w:val="00E42F59"/>
    <w:rsid w:val="00E433F7"/>
    <w:rsid w:val="00E43D2C"/>
    <w:rsid w:val="00E440CE"/>
    <w:rsid w:val="00E44B98"/>
    <w:rsid w:val="00E45353"/>
    <w:rsid w:val="00E454A3"/>
    <w:rsid w:val="00E45B69"/>
    <w:rsid w:val="00E46E23"/>
    <w:rsid w:val="00E509FB"/>
    <w:rsid w:val="00E51104"/>
    <w:rsid w:val="00E51E51"/>
    <w:rsid w:val="00E57FC6"/>
    <w:rsid w:val="00E6000C"/>
    <w:rsid w:val="00E60136"/>
    <w:rsid w:val="00E60C2D"/>
    <w:rsid w:val="00E62213"/>
    <w:rsid w:val="00E6274A"/>
    <w:rsid w:val="00E62EE1"/>
    <w:rsid w:val="00E63369"/>
    <w:rsid w:val="00E638B0"/>
    <w:rsid w:val="00E63A91"/>
    <w:rsid w:val="00E64903"/>
    <w:rsid w:val="00E6542B"/>
    <w:rsid w:val="00E65CCB"/>
    <w:rsid w:val="00E66787"/>
    <w:rsid w:val="00E70395"/>
    <w:rsid w:val="00E70DD7"/>
    <w:rsid w:val="00E71A11"/>
    <w:rsid w:val="00E71B55"/>
    <w:rsid w:val="00E71BB8"/>
    <w:rsid w:val="00E752BA"/>
    <w:rsid w:val="00E75D82"/>
    <w:rsid w:val="00E75DF6"/>
    <w:rsid w:val="00E76E97"/>
    <w:rsid w:val="00E76EA7"/>
    <w:rsid w:val="00E81627"/>
    <w:rsid w:val="00E835F6"/>
    <w:rsid w:val="00E83CEF"/>
    <w:rsid w:val="00E83F11"/>
    <w:rsid w:val="00E84E81"/>
    <w:rsid w:val="00E84FE9"/>
    <w:rsid w:val="00E8566B"/>
    <w:rsid w:val="00E86FBD"/>
    <w:rsid w:val="00E87909"/>
    <w:rsid w:val="00E87BD4"/>
    <w:rsid w:val="00E87FA3"/>
    <w:rsid w:val="00E911CD"/>
    <w:rsid w:val="00E91577"/>
    <w:rsid w:val="00E91647"/>
    <w:rsid w:val="00E91D35"/>
    <w:rsid w:val="00E93354"/>
    <w:rsid w:val="00E970FB"/>
    <w:rsid w:val="00E97439"/>
    <w:rsid w:val="00EA1BFE"/>
    <w:rsid w:val="00EA28EE"/>
    <w:rsid w:val="00EA34D1"/>
    <w:rsid w:val="00EA37C1"/>
    <w:rsid w:val="00EA3E00"/>
    <w:rsid w:val="00EA4633"/>
    <w:rsid w:val="00EA51FE"/>
    <w:rsid w:val="00EA5C09"/>
    <w:rsid w:val="00EA66AC"/>
    <w:rsid w:val="00EA67F1"/>
    <w:rsid w:val="00EB04B5"/>
    <w:rsid w:val="00EB0B99"/>
    <w:rsid w:val="00EB2890"/>
    <w:rsid w:val="00EB2F98"/>
    <w:rsid w:val="00EB549E"/>
    <w:rsid w:val="00EB5ACC"/>
    <w:rsid w:val="00EB66B6"/>
    <w:rsid w:val="00EB69C0"/>
    <w:rsid w:val="00EB6B93"/>
    <w:rsid w:val="00EB6EFD"/>
    <w:rsid w:val="00EB71DD"/>
    <w:rsid w:val="00EC08DA"/>
    <w:rsid w:val="00EC0A83"/>
    <w:rsid w:val="00EC0C0A"/>
    <w:rsid w:val="00EC16CC"/>
    <w:rsid w:val="00EC19DD"/>
    <w:rsid w:val="00EC1D7B"/>
    <w:rsid w:val="00EC4095"/>
    <w:rsid w:val="00EC42F2"/>
    <w:rsid w:val="00EC4663"/>
    <w:rsid w:val="00EC4678"/>
    <w:rsid w:val="00EC5A53"/>
    <w:rsid w:val="00EC65E9"/>
    <w:rsid w:val="00EC7328"/>
    <w:rsid w:val="00EC79B5"/>
    <w:rsid w:val="00ED06F5"/>
    <w:rsid w:val="00ED1FEF"/>
    <w:rsid w:val="00ED291E"/>
    <w:rsid w:val="00ED3755"/>
    <w:rsid w:val="00ED3921"/>
    <w:rsid w:val="00ED4D44"/>
    <w:rsid w:val="00ED4FB4"/>
    <w:rsid w:val="00ED60DE"/>
    <w:rsid w:val="00ED6315"/>
    <w:rsid w:val="00ED6670"/>
    <w:rsid w:val="00ED69E3"/>
    <w:rsid w:val="00EE1BD6"/>
    <w:rsid w:val="00EE378A"/>
    <w:rsid w:val="00EE3ECA"/>
    <w:rsid w:val="00EE4B2E"/>
    <w:rsid w:val="00EE71E1"/>
    <w:rsid w:val="00EE7652"/>
    <w:rsid w:val="00EF09EE"/>
    <w:rsid w:val="00EF79D7"/>
    <w:rsid w:val="00EF7B97"/>
    <w:rsid w:val="00F001E1"/>
    <w:rsid w:val="00F011D3"/>
    <w:rsid w:val="00F01854"/>
    <w:rsid w:val="00F027B5"/>
    <w:rsid w:val="00F04124"/>
    <w:rsid w:val="00F04EE3"/>
    <w:rsid w:val="00F0616F"/>
    <w:rsid w:val="00F07933"/>
    <w:rsid w:val="00F10893"/>
    <w:rsid w:val="00F14C9C"/>
    <w:rsid w:val="00F175F5"/>
    <w:rsid w:val="00F17AC1"/>
    <w:rsid w:val="00F2090E"/>
    <w:rsid w:val="00F22F01"/>
    <w:rsid w:val="00F2374A"/>
    <w:rsid w:val="00F24341"/>
    <w:rsid w:val="00F24DD8"/>
    <w:rsid w:val="00F251F2"/>
    <w:rsid w:val="00F26771"/>
    <w:rsid w:val="00F268B2"/>
    <w:rsid w:val="00F27EE3"/>
    <w:rsid w:val="00F32911"/>
    <w:rsid w:val="00F32991"/>
    <w:rsid w:val="00F343C9"/>
    <w:rsid w:val="00F349CB"/>
    <w:rsid w:val="00F350A0"/>
    <w:rsid w:val="00F35FFE"/>
    <w:rsid w:val="00F3630B"/>
    <w:rsid w:val="00F375B4"/>
    <w:rsid w:val="00F41788"/>
    <w:rsid w:val="00F42773"/>
    <w:rsid w:val="00F445A7"/>
    <w:rsid w:val="00F4467B"/>
    <w:rsid w:val="00F45660"/>
    <w:rsid w:val="00F462A1"/>
    <w:rsid w:val="00F46809"/>
    <w:rsid w:val="00F46BBA"/>
    <w:rsid w:val="00F47406"/>
    <w:rsid w:val="00F5120A"/>
    <w:rsid w:val="00F51911"/>
    <w:rsid w:val="00F519BA"/>
    <w:rsid w:val="00F519F3"/>
    <w:rsid w:val="00F52370"/>
    <w:rsid w:val="00F533F4"/>
    <w:rsid w:val="00F53701"/>
    <w:rsid w:val="00F54388"/>
    <w:rsid w:val="00F544A3"/>
    <w:rsid w:val="00F548ED"/>
    <w:rsid w:val="00F578B8"/>
    <w:rsid w:val="00F579B0"/>
    <w:rsid w:val="00F60F53"/>
    <w:rsid w:val="00F61ECB"/>
    <w:rsid w:val="00F6261D"/>
    <w:rsid w:val="00F626DA"/>
    <w:rsid w:val="00F6344B"/>
    <w:rsid w:val="00F641D3"/>
    <w:rsid w:val="00F6456E"/>
    <w:rsid w:val="00F64A43"/>
    <w:rsid w:val="00F64CC4"/>
    <w:rsid w:val="00F703A0"/>
    <w:rsid w:val="00F717A3"/>
    <w:rsid w:val="00F733C8"/>
    <w:rsid w:val="00F74A20"/>
    <w:rsid w:val="00F767B5"/>
    <w:rsid w:val="00F779DE"/>
    <w:rsid w:val="00F77BC3"/>
    <w:rsid w:val="00F77FBE"/>
    <w:rsid w:val="00F80721"/>
    <w:rsid w:val="00F80FBD"/>
    <w:rsid w:val="00F810B0"/>
    <w:rsid w:val="00F82D27"/>
    <w:rsid w:val="00F83DAC"/>
    <w:rsid w:val="00F84B62"/>
    <w:rsid w:val="00F86A77"/>
    <w:rsid w:val="00F8778A"/>
    <w:rsid w:val="00F90958"/>
    <w:rsid w:val="00F914D5"/>
    <w:rsid w:val="00F91946"/>
    <w:rsid w:val="00F93331"/>
    <w:rsid w:val="00F93C23"/>
    <w:rsid w:val="00F9628D"/>
    <w:rsid w:val="00F96CD6"/>
    <w:rsid w:val="00F96D97"/>
    <w:rsid w:val="00F97C1F"/>
    <w:rsid w:val="00FA01A1"/>
    <w:rsid w:val="00FA0E1A"/>
    <w:rsid w:val="00FA23D3"/>
    <w:rsid w:val="00FA3965"/>
    <w:rsid w:val="00FA3D2B"/>
    <w:rsid w:val="00FA4906"/>
    <w:rsid w:val="00FA60D7"/>
    <w:rsid w:val="00FA6F31"/>
    <w:rsid w:val="00FA7CD9"/>
    <w:rsid w:val="00FB0991"/>
    <w:rsid w:val="00FB1694"/>
    <w:rsid w:val="00FB1BEA"/>
    <w:rsid w:val="00FB1FE3"/>
    <w:rsid w:val="00FB2900"/>
    <w:rsid w:val="00FB44BE"/>
    <w:rsid w:val="00FB4683"/>
    <w:rsid w:val="00FB523B"/>
    <w:rsid w:val="00FB5616"/>
    <w:rsid w:val="00FB5B34"/>
    <w:rsid w:val="00FB67DA"/>
    <w:rsid w:val="00FB7505"/>
    <w:rsid w:val="00FC052A"/>
    <w:rsid w:val="00FC1345"/>
    <w:rsid w:val="00FC2436"/>
    <w:rsid w:val="00FC2BBE"/>
    <w:rsid w:val="00FC2F0E"/>
    <w:rsid w:val="00FC3005"/>
    <w:rsid w:val="00FC4580"/>
    <w:rsid w:val="00FC4B93"/>
    <w:rsid w:val="00FC553B"/>
    <w:rsid w:val="00FC5863"/>
    <w:rsid w:val="00FC6091"/>
    <w:rsid w:val="00FC6240"/>
    <w:rsid w:val="00FC6346"/>
    <w:rsid w:val="00FC635E"/>
    <w:rsid w:val="00FC6FEB"/>
    <w:rsid w:val="00FD01DC"/>
    <w:rsid w:val="00FD0F4C"/>
    <w:rsid w:val="00FD1FBB"/>
    <w:rsid w:val="00FD21BB"/>
    <w:rsid w:val="00FD3C39"/>
    <w:rsid w:val="00FD45F7"/>
    <w:rsid w:val="00FD5F7B"/>
    <w:rsid w:val="00FD65D4"/>
    <w:rsid w:val="00FD679D"/>
    <w:rsid w:val="00FD73CF"/>
    <w:rsid w:val="00FD76FF"/>
    <w:rsid w:val="00FD79BA"/>
    <w:rsid w:val="00FE08B1"/>
    <w:rsid w:val="00FE09CF"/>
    <w:rsid w:val="00FE09FF"/>
    <w:rsid w:val="00FE1B0A"/>
    <w:rsid w:val="00FE2AA4"/>
    <w:rsid w:val="00FE4115"/>
    <w:rsid w:val="00FE4F47"/>
    <w:rsid w:val="00FE7336"/>
    <w:rsid w:val="00FE751B"/>
    <w:rsid w:val="00FF1659"/>
    <w:rsid w:val="00FF2476"/>
    <w:rsid w:val="00FF2A1C"/>
    <w:rsid w:val="00FF2D5F"/>
    <w:rsid w:val="00FF462A"/>
    <w:rsid w:val="00FF483F"/>
    <w:rsid w:val="00FF4A2F"/>
    <w:rsid w:val="00FF5002"/>
    <w:rsid w:val="00FF50C5"/>
    <w:rsid w:val="00FF76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9B1E4"/>
  <w15:docId w15:val="{A5F54AB8-52D6-4FDE-B7B9-48E641451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Arial" w:hAnsi="Georgia" w:cs="Times New Roman"/>
        <w:lang w:val="en-GB" w:eastAsia="en-GB"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3921F1"/>
    <w:rPr>
      <w:rFonts w:ascii="Times New Roman" w:eastAsia="Times New Roman" w:hAnsi="Times New Roman"/>
      <w:sz w:val="24"/>
      <w:szCs w:val="24"/>
      <w:lang w:val="en-IN" w:eastAsia="en-US"/>
    </w:rPr>
  </w:style>
  <w:style w:type="paragraph" w:styleId="Heading1">
    <w:name w:val="heading 1"/>
    <w:aliases w:val="Section,Section Heading,h1,h1 chapter heading,A MAJOR/BOLD,Normalhead1,MisHead1,LetHead1,Main Section,Normal Heading 1,H1,l1,FntHead1,Agt Head 1,(F8) Rubrik,TP heading 1,TP new Heading 1.,(Chapter Nbr),TPHEADER1,title1,Shirish,Hoofdstuk"/>
    <w:basedOn w:val="Normal"/>
    <w:next w:val="Heading2"/>
    <w:link w:val="Heading1Char"/>
    <w:uiPriority w:val="99"/>
    <w:qFormat/>
    <w:rsid w:val="007B0630"/>
    <w:pPr>
      <w:keepNext/>
      <w:pageBreakBefore/>
      <w:numPr>
        <w:numId w:val="32"/>
      </w:numPr>
      <w:spacing w:after="480" w:line="600" w:lineRule="atLeast"/>
      <w:outlineLvl w:val="0"/>
    </w:pPr>
    <w:rPr>
      <w:rFonts w:ascii="Georgia" w:hAnsi="Georgia"/>
      <w:b/>
      <w:bCs/>
      <w:i/>
      <w:sz w:val="56"/>
      <w:szCs w:val="28"/>
      <w:lang w:val="en-GB"/>
    </w:rPr>
  </w:style>
  <w:style w:type="paragraph" w:styleId="Heading2">
    <w:name w:val="heading 2"/>
    <w:aliases w:val="Reset numbering,h2,h2 main heading,B Sub/Bold,heading 2,Heading,Style 2,Major,Normalhead2,MisHead2,LetHead2,Agt Head 2,Heading 2a,(F9) Underrubrik,TP,TP Heading 2,Chapter Heading (Short),Small Chapter),restart numbering for &quot;1&quot;,H2,title 2"/>
    <w:basedOn w:val="Normal"/>
    <w:next w:val="BodyText"/>
    <w:link w:val="Heading2Char"/>
    <w:autoRedefine/>
    <w:uiPriority w:val="99"/>
    <w:qFormat/>
    <w:rsid w:val="000A2F5F"/>
    <w:pPr>
      <w:keepNext/>
      <w:keepLines/>
      <w:spacing w:after="240" w:line="276" w:lineRule="auto"/>
      <w:outlineLvl w:val="1"/>
    </w:pPr>
    <w:rPr>
      <w:rFonts w:ascii="Georgia" w:hAnsi="Georgia" w:cs="Arial"/>
      <w:b/>
      <w:bCs/>
      <w:i/>
      <w:sz w:val="32"/>
      <w:szCs w:val="26"/>
      <w:lang w:val="en-GB"/>
    </w:rPr>
  </w:style>
  <w:style w:type="paragraph" w:styleId="Heading3">
    <w:name w:val="heading 3"/>
    <w:aliases w:val="Level 1 - 1,h3,h3 sub heading,C Sub-Sub/Italic,heading 3,Style 3,Minor,(F11) Rubriklinje,TP Heading"/>
    <w:basedOn w:val="Normal"/>
    <w:next w:val="BodyText"/>
    <w:link w:val="Heading3Char"/>
    <w:autoRedefine/>
    <w:uiPriority w:val="99"/>
    <w:qFormat/>
    <w:rsid w:val="001D6E21"/>
    <w:pPr>
      <w:keepNext/>
      <w:keepLines/>
      <w:numPr>
        <w:ilvl w:val="2"/>
        <w:numId w:val="32"/>
      </w:numPr>
      <w:spacing w:after="240" w:line="276" w:lineRule="auto"/>
      <w:outlineLvl w:val="2"/>
    </w:pPr>
    <w:rPr>
      <w:rFonts w:ascii="Georgia" w:hAnsi="Georgia" w:cs="Arial"/>
      <w:b/>
      <w:bCs/>
      <w:i/>
      <w:color w:val="BD582C" w:themeColor="accent2"/>
      <w:sz w:val="28"/>
      <w:szCs w:val="28"/>
      <w:lang w:val="en-US" w:eastAsia="en-GB"/>
    </w:rPr>
  </w:style>
  <w:style w:type="paragraph" w:styleId="Heading4">
    <w:name w:val="heading 4"/>
    <w:aliases w:val="Level 2 - a"/>
    <w:basedOn w:val="Normal"/>
    <w:next w:val="BodyText"/>
    <w:link w:val="Heading4Char"/>
    <w:uiPriority w:val="99"/>
    <w:qFormat/>
    <w:rsid w:val="000D0699"/>
    <w:pPr>
      <w:keepNext/>
      <w:keepLines/>
      <w:numPr>
        <w:ilvl w:val="3"/>
        <w:numId w:val="32"/>
      </w:numPr>
      <w:spacing w:after="240" w:line="276" w:lineRule="auto"/>
      <w:outlineLvl w:val="3"/>
    </w:pPr>
    <w:rPr>
      <w:rFonts w:ascii="Georgia" w:hAnsi="Georgia"/>
      <w:bCs/>
      <w:i/>
      <w:iCs/>
      <w:color w:val="A32020"/>
      <w:sz w:val="28"/>
      <w:szCs w:val="28"/>
      <w:lang w:val="en-GB"/>
    </w:rPr>
  </w:style>
  <w:style w:type="paragraph" w:styleId="Heading5">
    <w:name w:val="heading 5"/>
    <w:aliases w:val="Level 3 - i,E Bold/Centred,AREA HEADING"/>
    <w:basedOn w:val="Normal"/>
    <w:next w:val="BodyText"/>
    <w:link w:val="Heading5Char"/>
    <w:uiPriority w:val="99"/>
    <w:qFormat/>
    <w:rsid w:val="000D0699"/>
    <w:pPr>
      <w:keepNext/>
      <w:keepLines/>
      <w:numPr>
        <w:ilvl w:val="4"/>
        <w:numId w:val="32"/>
      </w:numPr>
      <w:spacing w:after="240"/>
      <w:outlineLvl w:val="4"/>
    </w:pPr>
    <w:rPr>
      <w:rFonts w:ascii="Georgia" w:hAnsi="Georgia"/>
      <w:i/>
      <w:color w:val="A32020"/>
      <w:lang w:val="en-GB"/>
    </w:rPr>
  </w:style>
  <w:style w:type="paragraph" w:styleId="Heading6">
    <w:name w:val="heading 6"/>
    <w:aliases w:val="Legal Level 1.,Level 1"/>
    <w:basedOn w:val="Normal"/>
    <w:next w:val="Normal"/>
    <w:link w:val="Heading6Char"/>
    <w:uiPriority w:val="99"/>
    <w:qFormat/>
    <w:rsid w:val="007B0630"/>
    <w:pPr>
      <w:keepNext/>
      <w:keepLines/>
      <w:numPr>
        <w:ilvl w:val="5"/>
        <w:numId w:val="32"/>
      </w:numPr>
      <w:spacing w:after="240"/>
      <w:outlineLvl w:val="5"/>
    </w:pPr>
    <w:rPr>
      <w:rFonts w:ascii="Georgia" w:hAnsi="Georgia"/>
      <w:iCs/>
      <w:color w:val="A32020"/>
      <w:lang w:val="en-GB"/>
    </w:rPr>
  </w:style>
  <w:style w:type="paragraph" w:styleId="Heading7">
    <w:name w:val="heading 7"/>
    <w:aliases w:val="Legal Level 1.1.,Level 1.1"/>
    <w:basedOn w:val="Normal"/>
    <w:next w:val="Normal"/>
    <w:link w:val="Heading7Char"/>
    <w:uiPriority w:val="99"/>
    <w:qFormat/>
    <w:rsid w:val="007B0630"/>
    <w:pPr>
      <w:keepNext/>
      <w:keepLines/>
      <w:numPr>
        <w:ilvl w:val="6"/>
        <w:numId w:val="32"/>
      </w:numPr>
      <w:spacing w:after="240"/>
      <w:outlineLvl w:val="6"/>
    </w:pPr>
    <w:rPr>
      <w:rFonts w:ascii="Georgia" w:hAnsi="Georgia"/>
      <w:i/>
      <w:iCs/>
      <w:sz w:val="20"/>
      <w:szCs w:val="20"/>
      <w:lang w:val="en-GB"/>
    </w:rPr>
  </w:style>
  <w:style w:type="paragraph" w:styleId="Heading8">
    <w:name w:val="heading 8"/>
    <w:aliases w:val="Legal Level 1.1.1."/>
    <w:basedOn w:val="Normal"/>
    <w:next w:val="Normal"/>
    <w:link w:val="Heading8Char"/>
    <w:uiPriority w:val="99"/>
    <w:qFormat/>
    <w:rsid w:val="007B0630"/>
    <w:pPr>
      <w:keepNext/>
      <w:keepLines/>
      <w:numPr>
        <w:ilvl w:val="7"/>
        <w:numId w:val="32"/>
      </w:numPr>
      <w:spacing w:after="240"/>
      <w:outlineLvl w:val="7"/>
    </w:pPr>
    <w:rPr>
      <w:rFonts w:ascii="Georgia" w:hAnsi="Georgia"/>
      <w:i/>
      <w:sz w:val="20"/>
      <w:szCs w:val="20"/>
      <w:lang w:val="en-GB"/>
    </w:rPr>
  </w:style>
  <w:style w:type="paragraph" w:styleId="Heading9">
    <w:name w:val="heading 9"/>
    <w:aliases w:val="-,Legal Level 1.1.1.1."/>
    <w:basedOn w:val="Normal"/>
    <w:next w:val="Normal"/>
    <w:link w:val="Heading9Char"/>
    <w:uiPriority w:val="99"/>
    <w:qFormat/>
    <w:rsid w:val="007B0630"/>
    <w:pPr>
      <w:keepNext/>
      <w:keepLines/>
      <w:numPr>
        <w:ilvl w:val="8"/>
        <w:numId w:val="32"/>
      </w:numPr>
      <w:spacing w:after="240"/>
      <w:outlineLvl w:val="8"/>
    </w:pPr>
    <w:rPr>
      <w:rFonts w:ascii="Georgia" w:hAnsi="Georgia"/>
      <w:i/>
      <w:iC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Reset Numbering,1,Body,Body Text x,contents,bt,body text,bl,BRG Body Text,Body Text1,body text1,Reset Numbering + Centered,Before:  0 pt,After:  0 pt,Line spaci...,Body Text Char Char Char Char,Body Text Char Char,Body Text 1,Centered"/>
    <w:basedOn w:val="Normal"/>
    <w:link w:val="BodyTextChar"/>
    <w:qFormat/>
    <w:rsid w:val="00FD679D"/>
    <w:pPr>
      <w:spacing w:after="240" w:line="240" w:lineRule="atLeast"/>
    </w:pPr>
    <w:rPr>
      <w:rFonts w:ascii="Georgia" w:eastAsiaTheme="minorHAnsi" w:hAnsi="Georgia" w:cstheme="minorBidi"/>
      <w:sz w:val="20"/>
      <w:szCs w:val="20"/>
      <w:lang w:val="en-US"/>
    </w:rPr>
  </w:style>
  <w:style w:type="character" w:customStyle="1" w:styleId="BodyTextChar">
    <w:name w:val="Body Text Char"/>
    <w:aliases w:val="Reset Numbering Char,1 Char,Body Char,Body Text x Char,contents Char,bt Char,body text Char,bl Char,BRG Body Text Char,Body Text1 Char,body text1 Char,Reset Numbering + Centered Char,Before:  0 pt Char,After:  0 pt Char,Line spaci... Char"/>
    <w:basedOn w:val="DefaultParagraphFont"/>
    <w:link w:val="BodyText"/>
    <w:rsid w:val="00FD679D"/>
    <w:rPr>
      <w:rFonts w:eastAsiaTheme="minorHAnsi" w:cstheme="minorBidi"/>
      <w:lang w:val="en-US" w:eastAsia="en-US"/>
    </w:rPr>
  </w:style>
  <w:style w:type="paragraph" w:styleId="BalloonText">
    <w:name w:val="Balloon Text"/>
    <w:basedOn w:val="Normal"/>
    <w:link w:val="BalloonTextChar"/>
    <w:uiPriority w:val="99"/>
    <w:semiHidden/>
    <w:rsid w:val="00DC0496"/>
    <w:rPr>
      <w:rFonts w:ascii="Tahoma" w:eastAsia="Arial" w:hAnsi="Tahoma" w:cs="Tahoma"/>
      <w:sz w:val="16"/>
      <w:szCs w:val="16"/>
      <w:lang w:val="en-GB"/>
    </w:rPr>
  </w:style>
  <w:style w:type="paragraph" w:styleId="Header">
    <w:name w:val="header"/>
    <w:basedOn w:val="Normal"/>
    <w:link w:val="HeaderChar"/>
    <w:uiPriority w:val="99"/>
    <w:semiHidden/>
    <w:qFormat/>
    <w:rsid w:val="007B0630"/>
    <w:rPr>
      <w:rFonts w:ascii="Arial" w:eastAsia="Arial" w:hAnsi="Arial"/>
      <w:sz w:val="16"/>
      <w:szCs w:val="20"/>
      <w:lang w:val="en-GB"/>
    </w:rPr>
  </w:style>
  <w:style w:type="character" w:customStyle="1" w:styleId="BalloonTextChar">
    <w:name w:val="Balloon Text Char"/>
    <w:basedOn w:val="DefaultParagraphFont"/>
    <w:link w:val="BalloonText"/>
    <w:uiPriority w:val="99"/>
    <w:semiHidden/>
    <w:rsid w:val="00983AB4"/>
    <w:rPr>
      <w:rFonts w:ascii="Tahoma" w:hAnsi="Tahoma" w:cs="Tahoma"/>
      <w:sz w:val="16"/>
      <w:szCs w:val="16"/>
    </w:rPr>
  </w:style>
  <w:style w:type="character" w:customStyle="1" w:styleId="HeaderChar">
    <w:name w:val="Header Char"/>
    <w:basedOn w:val="DefaultParagraphFont"/>
    <w:link w:val="Header"/>
    <w:uiPriority w:val="99"/>
    <w:semiHidden/>
    <w:rsid w:val="00D93952"/>
    <w:rPr>
      <w:rFonts w:ascii="Arial" w:hAnsi="Arial"/>
      <w:sz w:val="16"/>
      <w:lang w:eastAsia="en-US"/>
    </w:rPr>
  </w:style>
  <w:style w:type="paragraph" w:styleId="Footer">
    <w:name w:val="footer"/>
    <w:aliases w:val="|| Footer"/>
    <w:basedOn w:val="Normal"/>
    <w:link w:val="FooterChar"/>
    <w:uiPriority w:val="99"/>
    <w:rsid w:val="00D36E11"/>
    <w:rPr>
      <w:rFonts w:ascii="Arial" w:eastAsia="Arial" w:hAnsi="Arial"/>
      <w:sz w:val="19"/>
      <w:szCs w:val="20"/>
      <w:lang w:val="en-GB"/>
    </w:rPr>
  </w:style>
  <w:style w:type="character" w:customStyle="1" w:styleId="FooterChar">
    <w:name w:val="Footer Char"/>
    <w:aliases w:val="|| Footer Char"/>
    <w:basedOn w:val="DefaultParagraphFont"/>
    <w:link w:val="Footer"/>
    <w:uiPriority w:val="99"/>
    <w:rsid w:val="00D93952"/>
    <w:rPr>
      <w:rFonts w:ascii="Arial" w:hAnsi="Arial"/>
      <w:sz w:val="19"/>
      <w:lang w:eastAsia="en-US"/>
    </w:rPr>
  </w:style>
  <w:style w:type="character" w:customStyle="1" w:styleId="Heading1Char">
    <w:name w:val="Heading 1 Char"/>
    <w:aliases w:val="Section Char,Section Heading Char,h1 Char,h1 chapter heading Char,A MAJOR/BOLD Char,Normalhead1 Char,MisHead1 Char,LetHead1 Char,Main Section Char,Normal Heading 1 Char,H1 Char,l1 Char,FntHead1 Char,Agt Head 1 Char,(F8) Rubrik Char"/>
    <w:basedOn w:val="DefaultParagraphFont"/>
    <w:link w:val="Heading1"/>
    <w:uiPriority w:val="99"/>
    <w:rsid w:val="007B0630"/>
    <w:rPr>
      <w:rFonts w:eastAsia="Times New Roman"/>
      <w:b/>
      <w:bCs/>
      <w:i/>
      <w:sz w:val="56"/>
      <w:szCs w:val="28"/>
      <w:lang w:eastAsia="en-US"/>
    </w:rPr>
  </w:style>
  <w:style w:type="character" w:customStyle="1" w:styleId="Heading2Char">
    <w:name w:val="Heading 2 Char"/>
    <w:aliases w:val="Reset numbering Char,h2 Char,h2 main heading Char,B Sub/Bold Char,heading 2 Char,Heading Char,Style 2 Char,Major Char,Normalhead2 Char,MisHead2 Char,LetHead2 Char,Agt Head 2 Char,Heading 2a Char,(F9) Underrubrik Char,TP Char,H2 Char"/>
    <w:basedOn w:val="DefaultParagraphFont"/>
    <w:link w:val="Heading2"/>
    <w:uiPriority w:val="99"/>
    <w:rsid w:val="000A2F5F"/>
    <w:rPr>
      <w:rFonts w:eastAsia="Times New Roman" w:cs="Arial"/>
      <w:b/>
      <w:bCs/>
      <w:i/>
      <w:sz w:val="32"/>
      <w:szCs w:val="26"/>
      <w:lang w:eastAsia="en-US"/>
    </w:rPr>
  </w:style>
  <w:style w:type="character" w:customStyle="1" w:styleId="Heading3Char">
    <w:name w:val="Heading 3 Char"/>
    <w:aliases w:val="Level 1 - 1 Char,h3 Char,h3 sub heading Char,C Sub-Sub/Italic Char,heading 3 Char,Style 3 Char,Minor Char,(F11) Rubriklinje Char,TP Heading Char"/>
    <w:basedOn w:val="DefaultParagraphFont"/>
    <w:link w:val="Heading3"/>
    <w:uiPriority w:val="99"/>
    <w:rsid w:val="001D6E21"/>
    <w:rPr>
      <w:rFonts w:eastAsia="Times New Roman" w:cs="Arial"/>
      <w:b/>
      <w:bCs/>
      <w:i/>
      <w:color w:val="BD582C" w:themeColor="accent2"/>
      <w:sz w:val="28"/>
      <w:szCs w:val="28"/>
      <w:lang w:val="en-US"/>
    </w:rPr>
  </w:style>
  <w:style w:type="character" w:customStyle="1" w:styleId="Heading4Char">
    <w:name w:val="Heading 4 Char"/>
    <w:aliases w:val="Level 2 - a Char"/>
    <w:basedOn w:val="DefaultParagraphFont"/>
    <w:link w:val="Heading4"/>
    <w:uiPriority w:val="99"/>
    <w:rsid w:val="000D0699"/>
    <w:rPr>
      <w:rFonts w:eastAsia="Times New Roman"/>
      <w:bCs/>
      <w:i/>
      <w:iCs/>
      <w:color w:val="A32020"/>
      <w:sz w:val="28"/>
      <w:szCs w:val="28"/>
      <w:lang w:eastAsia="en-US"/>
    </w:rPr>
  </w:style>
  <w:style w:type="character" w:customStyle="1" w:styleId="Heading5Char">
    <w:name w:val="Heading 5 Char"/>
    <w:aliases w:val="Level 3 - i Char,E Bold/Centred Char,AREA HEADING Char"/>
    <w:basedOn w:val="DefaultParagraphFont"/>
    <w:link w:val="Heading5"/>
    <w:uiPriority w:val="99"/>
    <w:rsid w:val="000D0699"/>
    <w:rPr>
      <w:rFonts w:eastAsia="Times New Roman"/>
      <w:i/>
      <w:color w:val="A32020"/>
      <w:sz w:val="24"/>
      <w:szCs w:val="24"/>
      <w:lang w:eastAsia="en-US"/>
    </w:rPr>
  </w:style>
  <w:style w:type="paragraph" w:styleId="Title">
    <w:name w:val="Title"/>
    <w:basedOn w:val="Normal"/>
    <w:next w:val="Subtitle"/>
    <w:link w:val="TitleChar"/>
    <w:uiPriority w:val="99"/>
    <w:semiHidden/>
    <w:qFormat/>
    <w:rsid w:val="007B0630"/>
    <w:pPr>
      <w:contextualSpacing/>
    </w:pPr>
    <w:rPr>
      <w:rFonts w:ascii="Georgia" w:hAnsi="Georgia"/>
      <w:b/>
      <w:i/>
      <w:spacing w:val="5"/>
      <w:kern w:val="28"/>
      <w:sz w:val="80"/>
      <w:szCs w:val="52"/>
      <w:lang w:val="en-GB"/>
    </w:rPr>
  </w:style>
  <w:style w:type="character" w:customStyle="1" w:styleId="TitleChar">
    <w:name w:val="Title Char"/>
    <w:basedOn w:val="DefaultParagraphFont"/>
    <w:link w:val="Title"/>
    <w:uiPriority w:val="99"/>
    <w:semiHidden/>
    <w:rsid w:val="00D93952"/>
    <w:rPr>
      <w:rFonts w:eastAsia="Times New Roman"/>
      <w:b/>
      <w:i/>
      <w:spacing w:val="5"/>
      <w:kern w:val="28"/>
      <w:sz w:val="80"/>
      <w:szCs w:val="52"/>
      <w:lang w:eastAsia="en-US"/>
    </w:rPr>
  </w:style>
  <w:style w:type="paragraph" w:styleId="TOCHeading">
    <w:name w:val="TOC Heading"/>
    <w:basedOn w:val="Heading1"/>
    <w:next w:val="Normal"/>
    <w:uiPriority w:val="39"/>
    <w:qFormat/>
    <w:rsid w:val="007B0630"/>
    <w:pPr>
      <w:keepLines/>
      <w:pageBreakBefore w:val="0"/>
      <w:numPr>
        <w:numId w:val="0"/>
      </w:numPr>
      <w:ind w:left="360" w:hanging="360"/>
      <w:outlineLvl w:val="9"/>
    </w:pPr>
    <w:rPr>
      <w:lang w:val="en-US"/>
    </w:rPr>
  </w:style>
  <w:style w:type="paragraph" w:styleId="Subtitle">
    <w:name w:val="Subtitle"/>
    <w:basedOn w:val="Normal"/>
    <w:next w:val="Normal"/>
    <w:link w:val="SubtitleChar"/>
    <w:uiPriority w:val="99"/>
    <w:semiHidden/>
    <w:qFormat/>
    <w:rsid w:val="007B0630"/>
    <w:pPr>
      <w:numPr>
        <w:ilvl w:val="1"/>
      </w:numPr>
      <w:spacing w:after="1200"/>
    </w:pPr>
    <w:rPr>
      <w:rFonts w:ascii="Georgia" w:hAnsi="Georgia"/>
      <w:iCs/>
      <w:spacing w:val="15"/>
      <w:sz w:val="80"/>
      <w:lang w:val="en-GB"/>
    </w:rPr>
  </w:style>
  <w:style w:type="character" w:customStyle="1" w:styleId="SubtitleChar">
    <w:name w:val="Subtitle Char"/>
    <w:basedOn w:val="DefaultParagraphFont"/>
    <w:link w:val="Subtitle"/>
    <w:uiPriority w:val="99"/>
    <w:semiHidden/>
    <w:rsid w:val="007B0630"/>
    <w:rPr>
      <w:rFonts w:ascii="Georgia" w:eastAsia="Times New Roman" w:hAnsi="Georgia" w:cs="Times New Roman"/>
      <w:iCs/>
      <w:spacing w:val="15"/>
      <w:sz w:val="80"/>
      <w:szCs w:val="24"/>
    </w:rPr>
  </w:style>
  <w:style w:type="paragraph" w:styleId="TOC1">
    <w:name w:val="toc 1"/>
    <w:basedOn w:val="Normal"/>
    <w:next w:val="Normal"/>
    <w:autoRedefine/>
    <w:uiPriority w:val="39"/>
    <w:rsid w:val="0010552A"/>
    <w:pPr>
      <w:spacing w:before="120" w:line="240" w:lineRule="atLeast"/>
    </w:pPr>
    <w:rPr>
      <w:rFonts w:asciiTheme="minorHAnsi" w:eastAsia="Arial" w:hAnsiTheme="minorHAnsi"/>
      <w:b/>
      <w:bCs/>
      <w:lang w:val="en-GB"/>
    </w:rPr>
  </w:style>
  <w:style w:type="paragraph" w:styleId="TOC2">
    <w:name w:val="toc 2"/>
    <w:basedOn w:val="Normal"/>
    <w:next w:val="Normal"/>
    <w:autoRedefine/>
    <w:uiPriority w:val="39"/>
    <w:rsid w:val="006E7F7E"/>
    <w:pPr>
      <w:spacing w:line="240" w:lineRule="atLeast"/>
      <w:ind w:left="200"/>
    </w:pPr>
    <w:rPr>
      <w:rFonts w:asciiTheme="minorHAnsi" w:eastAsia="Arial" w:hAnsiTheme="minorHAnsi"/>
      <w:b/>
      <w:bCs/>
      <w:sz w:val="22"/>
      <w:szCs w:val="22"/>
      <w:lang w:val="en-GB"/>
    </w:rPr>
  </w:style>
  <w:style w:type="paragraph" w:styleId="TOC3">
    <w:name w:val="toc 3"/>
    <w:basedOn w:val="Normal"/>
    <w:next w:val="Normal"/>
    <w:autoRedefine/>
    <w:uiPriority w:val="39"/>
    <w:rsid w:val="0010552A"/>
    <w:pPr>
      <w:spacing w:line="240" w:lineRule="atLeast"/>
      <w:ind w:left="400"/>
    </w:pPr>
    <w:rPr>
      <w:rFonts w:asciiTheme="minorHAnsi" w:eastAsia="Arial" w:hAnsiTheme="minorHAnsi"/>
      <w:sz w:val="22"/>
      <w:szCs w:val="22"/>
      <w:lang w:val="en-GB"/>
    </w:rPr>
  </w:style>
  <w:style w:type="character" w:styleId="Hyperlink">
    <w:name w:val="Hyperlink"/>
    <w:basedOn w:val="DefaultParagraphFont"/>
    <w:uiPriority w:val="99"/>
    <w:rsid w:val="00D36E11"/>
    <w:rPr>
      <w:color w:val="0000FF"/>
      <w:u w:val="single"/>
    </w:rPr>
  </w:style>
  <w:style w:type="character" w:customStyle="1" w:styleId="DateChar">
    <w:name w:val="Date Char"/>
    <w:basedOn w:val="DefaultParagraphFont"/>
    <w:link w:val="Date"/>
    <w:uiPriority w:val="99"/>
    <w:semiHidden/>
    <w:rsid w:val="00983AB4"/>
    <w:rPr>
      <w:sz w:val="48"/>
      <w:szCs w:val="48"/>
    </w:rPr>
  </w:style>
  <w:style w:type="paragraph" w:styleId="Date">
    <w:name w:val="Date"/>
    <w:basedOn w:val="Normal"/>
    <w:next w:val="Normal"/>
    <w:link w:val="DateChar"/>
    <w:uiPriority w:val="99"/>
    <w:semiHidden/>
    <w:rsid w:val="00C90A0D"/>
    <w:pPr>
      <w:spacing w:after="240" w:line="240" w:lineRule="atLeast"/>
    </w:pPr>
    <w:rPr>
      <w:rFonts w:ascii="Georgia" w:eastAsia="Arial" w:hAnsi="Georgia"/>
      <w:sz w:val="48"/>
      <w:szCs w:val="48"/>
      <w:lang w:val="en-GB"/>
    </w:rPr>
  </w:style>
  <w:style w:type="paragraph" w:styleId="ListBullet">
    <w:name w:val="List Bullet"/>
    <w:basedOn w:val="Normal"/>
    <w:uiPriority w:val="99"/>
    <w:qFormat/>
    <w:rsid w:val="007B0630"/>
    <w:pPr>
      <w:numPr>
        <w:numId w:val="33"/>
      </w:numPr>
      <w:spacing w:before="120" w:after="240" w:line="240" w:lineRule="atLeast"/>
      <w:contextualSpacing/>
    </w:pPr>
    <w:rPr>
      <w:rFonts w:ascii="Georgia" w:eastAsia="Arial" w:hAnsi="Georgia"/>
      <w:sz w:val="20"/>
      <w:szCs w:val="20"/>
      <w:lang w:val="en-GB"/>
    </w:rPr>
  </w:style>
  <w:style w:type="numbering" w:customStyle="1" w:styleId="PwCListBullets1">
    <w:name w:val="PwC List Bullets 1"/>
    <w:uiPriority w:val="99"/>
    <w:rsid w:val="00D36E11"/>
    <w:pPr>
      <w:numPr>
        <w:numId w:val="1"/>
      </w:numPr>
    </w:pPr>
  </w:style>
  <w:style w:type="numbering" w:customStyle="1" w:styleId="PwCListNumbers1">
    <w:name w:val="PwC List Numbers 1"/>
    <w:uiPriority w:val="99"/>
    <w:rsid w:val="00D36E11"/>
    <w:pPr>
      <w:numPr>
        <w:numId w:val="2"/>
      </w:numPr>
    </w:pPr>
  </w:style>
  <w:style w:type="paragraph" w:styleId="ListNumber">
    <w:name w:val="List Number"/>
    <w:basedOn w:val="Normal"/>
    <w:link w:val="ListNumberChar"/>
    <w:uiPriority w:val="99"/>
    <w:qFormat/>
    <w:rsid w:val="007B0630"/>
    <w:pPr>
      <w:numPr>
        <w:numId w:val="34"/>
      </w:numPr>
      <w:spacing w:before="120" w:after="240" w:line="240" w:lineRule="atLeast"/>
      <w:contextualSpacing/>
    </w:pPr>
    <w:rPr>
      <w:rFonts w:ascii="Georgia" w:eastAsia="Arial" w:hAnsi="Georgia"/>
      <w:sz w:val="20"/>
      <w:szCs w:val="20"/>
      <w:lang w:val="en-GB"/>
    </w:rPr>
  </w:style>
  <w:style w:type="paragraph" w:styleId="ListBullet2">
    <w:name w:val="List Bullet 2"/>
    <w:basedOn w:val="Normal"/>
    <w:uiPriority w:val="99"/>
    <w:qFormat/>
    <w:rsid w:val="00A54AC0"/>
    <w:pPr>
      <w:numPr>
        <w:ilvl w:val="1"/>
        <w:numId w:val="33"/>
      </w:numPr>
      <w:spacing w:before="120" w:after="240" w:line="240" w:lineRule="atLeast"/>
      <w:contextualSpacing/>
    </w:pPr>
    <w:rPr>
      <w:rFonts w:ascii="Georgia" w:eastAsia="Arial" w:hAnsi="Georgia"/>
      <w:sz w:val="20"/>
      <w:szCs w:val="20"/>
      <w:lang w:val="en-GB"/>
    </w:rPr>
  </w:style>
  <w:style w:type="paragraph" w:styleId="ListBullet3">
    <w:name w:val="List Bullet 3"/>
    <w:basedOn w:val="Normal"/>
    <w:link w:val="ListBullet3Char"/>
    <w:uiPriority w:val="99"/>
    <w:qFormat/>
    <w:rsid w:val="00A54AC0"/>
    <w:pPr>
      <w:numPr>
        <w:ilvl w:val="2"/>
        <w:numId w:val="33"/>
      </w:numPr>
      <w:spacing w:before="120" w:after="240" w:line="240" w:lineRule="atLeast"/>
      <w:contextualSpacing/>
    </w:pPr>
    <w:rPr>
      <w:rFonts w:ascii="Georgia" w:eastAsia="Arial" w:hAnsi="Georgia"/>
      <w:sz w:val="20"/>
      <w:szCs w:val="20"/>
      <w:lang w:val="en-GB"/>
    </w:rPr>
  </w:style>
  <w:style w:type="paragraph" w:styleId="ListBullet4">
    <w:name w:val="List Bullet 4"/>
    <w:basedOn w:val="Normal"/>
    <w:link w:val="ListBullet4Char"/>
    <w:uiPriority w:val="99"/>
    <w:rsid w:val="00A54AC0"/>
    <w:pPr>
      <w:numPr>
        <w:ilvl w:val="3"/>
        <w:numId w:val="33"/>
      </w:numPr>
      <w:spacing w:before="120" w:after="240" w:line="240" w:lineRule="atLeast"/>
      <w:contextualSpacing/>
    </w:pPr>
    <w:rPr>
      <w:rFonts w:ascii="Georgia" w:eastAsia="Arial" w:hAnsi="Georgia"/>
      <w:sz w:val="20"/>
      <w:szCs w:val="20"/>
      <w:lang w:val="en-GB"/>
    </w:rPr>
  </w:style>
  <w:style w:type="paragraph" w:styleId="ListBullet5">
    <w:name w:val="List Bullet 5"/>
    <w:basedOn w:val="Normal"/>
    <w:link w:val="ListBullet5Char"/>
    <w:uiPriority w:val="99"/>
    <w:rsid w:val="00A54AC0"/>
    <w:pPr>
      <w:numPr>
        <w:ilvl w:val="4"/>
        <w:numId w:val="33"/>
      </w:numPr>
      <w:spacing w:before="120" w:after="240" w:line="240" w:lineRule="atLeast"/>
      <w:contextualSpacing/>
    </w:pPr>
    <w:rPr>
      <w:rFonts w:ascii="Georgia" w:eastAsia="Arial" w:hAnsi="Georgia"/>
      <w:sz w:val="20"/>
      <w:szCs w:val="20"/>
      <w:lang w:val="en-GB"/>
    </w:rPr>
  </w:style>
  <w:style w:type="paragraph" w:styleId="ListNumber2">
    <w:name w:val="List Number 2"/>
    <w:basedOn w:val="Normal"/>
    <w:link w:val="ListNumber2Char"/>
    <w:uiPriority w:val="99"/>
    <w:rsid w:val="00A54AC0"/>
    <w:pPr>
      <w:numPr>
        <w:numId w:val="6"/>
      </w:numPr>
      <w:tabs>
        <w:tab w:val="left" w:pos="1138"/>
      </w:tabs>
      <w:spacing w:before="120" w:after="240" w:line="240" w:lineRule="atLeast"/>
      <w:ind w:left="1124" w:hanging="562"/>
      <w:contextualSpacing/>
    </w:pPr>
    <w:rPr>
      <w:rFonts w:ascii="Georgia" w:eastAsia="Arial" w:hAnsi="Georgia"/>
      <w:sz w:val="20"/>
      <w:szCs w:val="20"/>
      <w:lang w:val="en-GB"/>
    </w:rPr>
  </w:style>
  <w:style w:type="paragraph" w:styleId="ListNumber3">
    <w:name w:val="List Number 3"/>
    <w:basedOn w:val="ListBullet3"/>
    <w:link w:val="ListNumber3Char"/>
    <w:uiPriority w:val="99"/>
    <w:rsid w:val="00A54AC0"/>
    <w:pPr>
      <w:numPr>
        <w:numId w:val="12"/>
      </w:numPr>
      <w:ind w:left="1700" w:hanging="562"/>
    </w:pPr>
  </w:style>
  <w:style w:type="paragraph" w:styleId="ListNumber4">
    <w:name w:val="List Number 4"/>
    <w:basedOn w:val="ListBullet4"/>
    <w:link w:val="ListNumber4Char"/>
    <w:uiPriority w:val="99"/>
    <w:rsid w:val="00A54AC0"/>
    <w:pPr>
      <w:numPr>
        <w:numId w:val="13"/>
      </w:numPr>
      <w:ind w:left="2261" w:hanging="562"/>
    </w:pPr>
  </w:style>
  <w:style w:type="paragraph" w:styleId="ListNumber5">
    <w:name w:val="List Number 5"/>
    <w:basedOn w:val="ListBullet5"/>
    <w:link w:val="ListNumber5Char"/>
    <w:uiPriority w:val="99"/>
    <w:rsid w:val="00A54AC0"/>
    <w:pPr>
      <w:numPr>
        <w:numId w:val="7"/>
      </w:numPr>
      <w:ind w:left="2837" w:hanging="562"/>
    </w:pPr>
  </w:style>
  <w:style w:type="paragraph" w:styleId="ListContinue">
    <w:name w:val="List Continue"/>
    <w:basedOn w:val="Normal"/>
    <w:uiPriority w:val="99"/>
    <w:semiHidden/>
    <w:rsid w:val="00A54AC0"/>
    <w:pPr>
      <w:spacing w:before="120" w:after="240" w:line="240" w:lineRule="atLeast"/>
      <w:ind w:left="562"/>
      <w:contextualSpacing/>
    </w:pPr>
    <w:rPr>
      <w:rFonts w:ascii="Georgia" w:eastAsia="Arial" w:hAnsi="Georgia"/>
      <w:sz w:val="20"/>
      <w:szCs w:val="20"/>
      <w:lang w:val="en-GB"/>
    </w:rPr>
  </w:style>
  <w:style w:type="paragraph" w:styleId="ListContinue2">
    <w:name w:val="List Continue 2"/>
    <w:basedOn w:val="Normal"/>
    <w:uiPriority w:val="99"/>
    <w:semiHidden/>
    <w:rsid w:val="00A54AC0"/>
    <w:pPr>
      <w:spacing w:before="120" w:after="240" w:line="240" w:lineRule="atLeast"/>
      <w:ind w:left="1138"/>
      <w:contextualSpacing/>
    </w:pPr>
    <w:rPr>
      <w:rFonts w:ascii="Georgia" w:eastAsia="Arial" w:hAnsi="Georgia"/>
      <w:sz w:val="20"/>
      <w:szCs w:val="20"/>
      <w:lang w:val="en-GB"/>
    </w:rPr>
  </w:style>
  <w:style w:type="paragraph" w:styleId="ListContinue3">
    <w:name w:val="List Continue 3"/>
    <w:basedOn w:val="Normal"/>
    <w:uiPriority w:val="99"/>
    <w:semiHidden/>
    <w:rsid w:val="00A54AC0"/>
    <w:pPr>
      <w:spacing w:before="120" w:after="240" w:line="240" w:lineRule="atLeast"/>
      <w:ind w:left="1699"/>
      <w:contextualSpacing/>
    </w:pPr>
    <w:rPr>
      <w:rFonts w:ascii="Georgia" w:eastAsia="Arial" w:hAnsi="Georgia"/>
      <w:sz w:val="20"/>
      <w:szCs w:val="20"/>
      <w:lang w:val="en-GB"/>
    </w:rPr>
  </w:style>
  <w:style w:type="paragraph" w:styleId="ListContinue4">
    <w:name w:val="List Continue 4"/>
    <w:basedOn w:val="Normal"/>
    <w:uiPriority w:val="99"/>
    <w:semiHidden/>
    <w:rsid w:val="00A54AC0"/>
    <w:pPr>
      <w:spacing w:before="120" w:after="240" w:line="240" w:lineRule="atLeast"/>
      <w:ind w:left="2275"/>
      <w:contextualSpacing/>
    </w:pPr>
    <w:rPr>
      <w:rFonts w:ascii="Georgia" w:eastAsia="Arial" w:hAnsi="Georgia"/>
      <w:sz w:val="20"/>
      <w:szCs w:val="20"/>
      <w:lang w:val="en-GB"/>
    </w:rPr>
  </w:style>
  <w:style w:type="paragraph" w:styleId="ListContinue5">
    <w:name w:val="List Continue 5"/>
    <w:basedOn w:val="Normal"/>
    <w:link w:val="ListContinue5Char"/>
    <w:uiPriority w:val="99"/>
    <w:semiHidden/>
    <w:rsid w:val="00A54AC0"/>
    <w:pPr>
      <w:spacing w:before="120" w:after="240" w:line="240" w:lineRule="atLeast"/>
      <w:ind w:left="2837"/>
      <w:contextualSpacing/>
    </w:pPr>
    <w:rPr>
      <w:rFonts w:ascii="Georgia" w:eastAsia="Arial" w:hAnsi="Georgia"/>
      <w:sz w:val="20"/>
      <w:szCs w:val="20"/>
      <w:lang w:val="en-GB"/>
    </w:rPr>
  </w:style>
  <w:style w:type="table" w:customStyle="1" w:styleId="PwCTableFigures">
    <w:name w:val="PwC Table Figures"/>
    <w:basedOn w:val="TableNormal"/>
    <w:uiPriority w:val="99"/>
    <w:qFormat/>
    <w:rsid w:val="00857CB9"/>
    <w:pPr>
      <w:tabs>
        <w:tab w:val="decimal" w:pos="1134"/>
      </w:tabs>
      <w:spacing w:before="60" w:after="60"/>
    </w:pPr>
    <w:rPr>
      <w:rFonts w:ascii="Arial" w:hAnsi="Arial"/>
    </w:rPr>
    <w:tblPr>
      <w:tblBorders>
        <w:insideH w:val="dotted" w:sz="4" w:space="0" w:color="A32020"/>
      </w:tblBorders>
    </w:tblPr>
    <w:tblStylePr w:type="firstRow">
      <w:rPr>
        <w:rFonts w:ascii="Arial" w:hAnsi="Arial"/>
        <w:b/>
        <w:color w:val="A32020"/>
        <w:sz w:val="22"/>
      </w:rPr>
      <w:tblPr/>
      <w:tcPr>
        <w:tcBorders>
          <w:top w:val="single" w:sz="6" w:space="0" w:color="A32020"/>
          <w:left w:val="nil"/>
          <w:bottom w:val="single" w:sz="6" w:space="0" w:color="A32020"/>
          <w:right w:val="nil"/>
          <w:insideH w:val="nil"/>
          <w:insideV w:val="nil"/>
          <w:tl2br w:val="nil"/>
          <w:tr2bl w:val="nil"/>
        </w:tcBorders>
      </w:tcPr>
    </w:tblStylePr>
    <w:tblStylePr w:type="lastRow">
      <w:rPr>
        <w:rFonts w:ascii="Arial" w:hAnsi="Arial"/>
        <w:b/>
        <w:i w:val="0"/>
        <w:color w:val="auto"/>
        <w:sz w:val="20"/>
      </w:rPr>
      <w:tblPr/>
      <w:tcPr>
        <w:tcBorders>
          <w:top w:val="single" w:sz="6" w:space="0" w:color="A32020"/>
          <w:left w:val="nil"/>
          <w:bottom w:val="single" w:sz="6" w:space="0" w:color="A32020"/>
          <w:right w:val="nil"/>
          <w:insideH w:val="nil"/>
          <w:insideV w:val="nil"/>
          <w:tl2br w:val="nil"/>
          <w:tr2bl w:val="nil"/>
        </w:tcBorders>
      </w:tcPr>
    </w:tblStylePr>
  </w:style>
  <w:style w:type="table" w:customStyle="1" w:styleId="PwCTableText">
    <w:name w:val="PwC Table Text"/>
    <w:basedOn w:val="TableNormal"/>
    <w:uiPriority w:val="99"/>
    <w:qFormat/>
    <w:rsid w:val="00857CB9"/>
    <w:pPr>
      <w:spacing w:before="60" w:after="60"/>
    </w:pPr>
    <w:tblPr>
      <w:tblStyleRowBandSize w:val="1"/>
      <w:tblBorders>
        <w:insideH w:val="dotted" w:sz="4" w:space="0" w:color="A32020"/>
      </w:tblBorders>
    </w:tblPr>
    <w:tblStylePr w:type="firstRow">
      <w:rPr>
        <w:rFonts w:ascii="Georgia" w:hAnsi="Georgia"/>
        <w:b/>
        <w:color w:val="A32020"/>
        <w:sz w:val="22"/>
      </w:rPr>
      <w:tblPr/>
      <w:tcPr>
        <w:tcBorders>
          <w:top w:val="single" w:sz="6" w:space="0" w:color="A32020"/>
          <w:bottom w:val="single" w:sz="6" w:space="0" w:color="A32020"/>
        </w:tcBorders>
      </w:tcPr>
    </w:tblStylePr>
    <w:tblStylePr w:type="lastRow">
      <w:rPr>
        <w:b/>
      </w:rPr>
      <w:tblPr/>
      <w:tcPr>
        <w:tcBorders>
          <w:top w:val="single" w:sz="6" w:space="0" w:color="A32020"/>
          <w:bottom w:val="single" w:sz="6" w:space="0" w:color="A32020"/>
        </w:tcBorders>
      </w:tcPr>
    </w:tblStylePr>
    <w:tblStylePr w:type="band1Horz">
      <w:tblPr/>
      <w:tcPr>
        <w:tcBorders>
          <w:bottom w:val="nil"/>
        </w:tcBorders>
      </w:tcPr>
    </w:tblStylePr>
  </w:style>
  <w:style w:type="paragraph" w:customStyle="1" w:styleId="SubHeading">
    <w:name w:val="Sub Heading"/>
    <w:basedOn w:val="Heading1"/>
    <w:uiPriority w:val="99"/>
    <w:semiHidden/>
    <w:qFormat/>
    <w:rsid w:val="007B0630"/>
    <w:pPr>
      <w:keepLines/>
      <w:pageBreakBefore w:val="0"/>
      <w:numPr>
        <w:numId w:val="0"/>
      </w:numPr>
    </w:pPr>
    <w:rPr>
      <w:b w:val="0"/>
      <w:i w:val="0"/>
    </w:rPr>
  </w:style>
  <w:style w:type="character" w:customStyle="1" w:styleId="Heading6Char">
    <w:name w:val="Heading 6 Char"/>
    <w:aliases w:val="Legal Level 1. Char,Level 1 Char"/>
    <w:basedOn w:val="DefaultParagraphFont"/>
    <w:link w:val="Heading6"/>
    <w:uiPriority w:val="99"/>
    <w:rsid w:val="007B0630"/>
    <w:rPr>
      <w:rFonts w:eastAsia="Times New Roman"/>
      <w:iCs/>
      <w:color w:val="A32020"/>
      <w:sz w:val="24"/>
      <w:szCs w:val="24"/>
      <w:lang w:eastAsia="en-US"/>
    </w:rPr>
  </w:style>
  <w:style w:type="character" w:customStyle="1" w:styleId="Heading7Char">
    <w:name w:val="Heading 7 Char"/>
    <w:aliases w:val="Legal Level 1.1. Char,Level 1.1 Char"/>
    <w:basedOn w:val="DefaultParagraphFont"/>
    <w:link w:val="Heading7"/>
    <w:uiPriority w:val="99"/>
    <w:rsid w:val="007B0630"/>
    <w:rPr>
      <w:rFonts w:eastAsia="Times New Roman"/>
      <w:i/>
      <w:iCs/>
      <w:lang w:eastAsia="en-US"/>
    </w:rPr>
  </w:style>
  <w:style w:type="character" w:customStyle="1" w:styleId="Heading8Char">
    <w:name w:val="Heading 8 Char"/>
    <w:aliases w:val="Legal Level 1.1.1. Char"/>
    <w:basedOn w:val="DefaultParagraphFont"/>
    <w:link w:val="Heading8"/>
    <w:uiPriority w:val="99"/>
    <w:rsid w:val="007B0630"/>
    <w:rPr>
      <w:rFonts w:eastAsia="Times New Roman"/>
      <w:i/>
      <w:lang w:eastAsia="en-US"/>
    </w:rPr>
  </w:style>
  <w:style w:type="character" w:customStyle="1" w:styleId="Heading9Char">
    <w:name w:val="Heading 9 Char"/>
    <w:aliases w:val="- Char,Legal Level 1.1.1.1. Char"/>
    <w:basedOn w:val="DefaultParagraphFont"/>
    <w:link w:val="Heading9"/>
    <w:uiPriority w:val="99"/>
    <w:rsid w:val="007B0630"/>
    <w:rPr>
      <w:rFonts w:eastAsia="Times New Roman"/>
      <w:i/>
      <w:iCs/>
      <w:lang w:eastAsia="en-US"/>
    </w:rPr>
  </w:style>
  <w:style w:type="paragraph" w:styleId="TOC4">
    <w:name w:val="toc 4"/>
    <w:basedOn w:val="Normal"/>
    <w:next w:val="Normal"/>
    <w:autoRedefine/>
    <w:uiPriority w:val="99"/>
    <w:rsid w:val="00D36E11"/>
    <w:pPr>
      <w:spacing w:line="240" w:lineRule="atLeast"/>
      <w:ind w:left="600"/>
    </w:pPr>
    <w:rPr>
      <w:rFonts w:asciiTheme="minorHAnsi" w:eastAsia="Arial" w:hAnsiTheme="minorHAnsi"/>
      <w:sz w:val="20"/>
      <w:szCs w:val="20"/>
      <w:lang w:val="en-GB"/>
    </w:rPr>
  </w:style>
  <w:style w:type="paragraph" w:styleId="TOC5">
    <w:name w:val="toc 5"/>
    <w:basedOn w:val="Normal"/>
    <w:next w:val="Normal"/>
    <w:autoRedefine/>
    <w:uiPriority w:val="99"/>
    <w:rsid w:val="00D36E11"/>
    <w:pPr>
      <w:spacing w:line="240" w:lineRule="atLeast"/>
      <w:ind w:left="800"/>
    </w:pPr>
    <w:rPr>
      <w:rFonts w:asciiTheme="minorHAnsi" w:eastAsia="Arial" w:hAnsiTheme="minorHAnsi"/>
      <w:sz w:val="20"/>
      <w:szCs w:val="20"/>
      <w:lang w:val="en-GB"/>
    </w:rPr>
  </w:style>
  <w:style w:type="paragraph" w:styleId="TOC6">
    <w:name w:val="toc 6"/>
    <w:basedOn w:val="Normal"/>
    <w:next w:val="Normal"/>
    <w:autoRedefine/>
    <w:uiPriority w:val="99"/>
    <w:rsid w:val="00D36E11"/>
    <w:pPr>
      <w:spacing w:line="240" w:lineRule="atLeast"/>
      <w:ind w:left="1000"/>
    </w:pPr>
    <w:rPr>
      <w:rFonts w:asciiTheme="minorHAnsi" w:eastAsia="Arial" w:hAnsiTheme="minorHAnsi"/>
      <w:sz w:val="20"/>
      <w:szCs w:val="20"/>
      <w:lang w:val="en-GB"/>
    </w:rPr>
  </w:style>
  <w:style w:type="paragraph" w:styleId="TOC7">
    <w:name w:val="toc 7"/>
    <w:basedOn w:val="Normal"/>
    <w:next w:val="Normal"/>
    <w:autoRedefine/>
    <w:uiPriority w:val="99"/>
    <w:rsid w:val="00D36E11"/>
    <w:pPr>
      <w:spacing w:line="240" w:lineRule="atLeast"/>
      <w:ind w:left="1200"/>
    </w:pPr>
    <w:rPr>
      <w:rFonts w:asciiTheme="minorHAnsi" w:eastAsia="Arial" w:hAnsiTheme="minorHAnsi"/>
      <w:sz w:val="20"/>
      <w:szCs w:val="20"/>
      <w:lang w:val="en-GB"/>
    </w:rPr>
  </w:style>
  <w:style w:type="paragraph" w:styleId="TOC8">
    <w:name w:val="toc 8"/>
    <w:basedOn w:val="Normal"/>
    <w:next w:val="Normal"/>
    <w:autoRedefine/>
    <w:uiPriority w:val="99"/>
    <w:rsid w:val="00D36E11"/>
    <w:pPr>
      <w:spacing w:line="240" w:lineRule="atLeast"/>
      <w:ind w:left="1400"/>
    </w:pPr>
    <w:rPr>
      <w:rFonts w:asciiTheme="minorHAnsi" w:eastAsia="Arial" w:hAnsiTheme="minorHAnsi"/>
      <w:sz w:val="20"/>
      <w:szCs w:val="20"/>
      <w:lang w:val="en-GB"/>
    </w:rPr>
  </w:style>
  <w:style w:type="paragraph" w:styleId="TOC9">
    <w:name w:val="toc 9"/>
    <w:basedOn w:val="Normal"/>
    <w:next w:val="Normal"/>
    <w:autoRedefine/>
    <w:uiPriority w:val="99"/>
    <w:rsid w:val="00D36E11"/>
    <w:pPr>
      <w:spacing w:line="240" w:lineRule="atLeast"/>
      <w:ind w:left="1600"/>
    </w:pPr>
    <w:rPr>
      <w:rFonts w:asciiTheme="minorHAnsi" w:eastAsia="Arial" w:hAnsiTheme="minorHAnsi"/>
      <w:sz w:val="20"/>
      <w:szCs w:val="20"/>
      <w:lang w:val="en-GB"/>
    </w:rPr>
  </w:style>
  <w:style w:type="character" w:customStyle="1" w:styleId="DateChar1">
    <w:name w:val="Date Char1"/>
    <w:basedOn w:val="DefaultParagraphFont"/>
    <w:uiPriority w:val="99"/>
    <w:semiHidden/>
    <w:rsid w:val="00C90A0D"/>
  </w:style>
  <w:style w:type="paragraph" w:styleId="Quote">
    <w:name w:val="Quote"/>
    <w:basedOn w:val="Normal"/>
    <w:next w:val="Normal"/>
    <w:link w:val="QuoteChar"/>
    <w:uiPriority w:val="99"/>
    <w:qFormat/>
    <w:rsid w:val="007B0630"/>
    <w:pPr>
      <w:spacing w:after="240" w:line="240" w:lineRule="atLeast"/>
    </w:pPr>
    <w:rPr>
      <w:rFonts w:ascii="Georgia" w:eastAsia="Arial" w:hAnsi="Georgia"/>
      <w:i/>
      <w:iCs/>
      <w:color w:val="000000"/>
      <w:sz w:val="20"/>
      <w:szCs w:val="20"/>
      <w:lang w:val="en-GB"/>
    </w:rPr>
  </w:style>
  <w:style w:type="character" w:customStyle="1" w:styleId="QuoteChar">
    <w:name w:val="Quote Char"/>
    <w:basedOn w:val="DefaultParagraphFont"/>
    <w:link w:val="Quote"/>
    <w:uiPriority w:val="99"/>
    <w:rsid w:val="007B0630"/>
    <w:rPr>
      <w:i/>
      <w:iCs/>
      <w:color w:val="000000"/>
    </w:rPr>
  </w:style>
  <w:style w:type="paragraph" w:styleId="Caption">
    <w:name w:val="caption"/>
    <w:aliases w:val="for exhibit titles,for exhibit titles1,for exhibit titles2,for exhibit titles11"/>
    <w:basedOn w:val="Normal"/>
    <w:next w:val="Normal"/>
    <w:link w:val="CaptionChar"/>
    <w:uiPriority w:val="99"/>
    <w:unhideWhenUsed/>
    <w:qFormat/>
    <w:rsid w:val="007B0630"/>
    <w:pPr>
      <w:keepNext/>
      <w:spacing w:after="200"/>
    </w:pPr>
    <w:rPr>
      <w:rFonts w:ascii="Georgia" w:eastAsia="Arial" w:hAnsi="Georgia"/>
      <w:b/>
      <w:bCs/>
      <w:color w:val="A32020"/>
      <w:sz w:val="20"/>
      <w:szCs w:val="18"/>
      <w:lang w:val="en-GB"/>
    </w:rPr>
  </w:style>
  <w:style w:type="character" w:styleId="PageNumber">
    <w:name w:val="page number"/>
    <w:basedOn w:val="DefaultParagraphFont"/>
    <w:uiPriority w:val="99"/>
    <w:semiHidden/>
    <w:rsid w:val="00AD03E6"/>
  </w:style>
  <w:style w:type="paragraph" w:customStyle="1" w:styleId="Guidance">
    <w:name w:val="Guidance"/>
    <w:basedOn w:val="BodyText"/>
    <w:link w:val="GuidanceChar"/>
    <w:uiPriority w:val="99"/>
    <w:semiHidden/>
    <w:qFormat/>
    <w:rsid w:val="007B0630"/>
    <w:pPr>
      <w:spacing w:after="0"/>
    </w:pPr>
    <w:rPr>
      <w:rFonts w:ascii="Arial" w:eastAsia="Times New Roman" w:hAnsi="Arial"/>
      <w:color w:val="00A5FF"/>
      <w:sz w:val="16"/>
      <w:szCs w:val="16"/>
      <w:lang w:bidi="en-US"/>
    </w:rPr>
  </w:style>
  <w:style w:type="paragraph" w:customStyle="1" w:styleId="Source">
    <w:name w:val="Source"/>
    <w:basedOn w:val="BodyText"/>
    <w:link w:val="SourceChar"/>
    <w:uiPriority w:val="99"/>
    <w:qFormat/>
    <w:rsid w:val="007B0630"/>
    <w:rPr>
      <w:i/>
      <w:sz w:val="16"/>
    </w:rPr>
  </w:style>
  <w:style w:type="character" w:customStyle="1" w:styleId="GuidanceChar">
    <w:name w:val="Guidance Char"/>
    <w:basedOn w:val="BodyTextChar"/>
    <w:link w:val="Guidance"/>
    <w:uiPriority w:val="99"/>
    <w:semiHidden/>
    <w:rsid w:val="007B0630"/>
    <w:rPr>
      <w:rFonts w:ascii="Arial" w:eastAsia="Times New Roman" w:hAnsi="Arial" w:cstheme="minorBidi"/>
      <w:color w:val="00A5FF"/>
      <w:sz w:val="16"/>
      <w:szCs w:val="16"/>
      <w:lang w:val="en-US" w:eastAsia="en-US" w:bidi="en-US"/>
    </w:rPr>
  </w:style>
  <w:style w:type="character" w:customStyle="1" w:styleId="SourceChar">
    <w:name w:val="Source Char"/>
    <w:basedOn w:val="BodyTextChar"/>
    <w:link w:val="Source"/>
    <w:uiPriority w:val="99"/>
    <w:rsid w:val="007B0630"/>
    <w:rPr>
      <w:rFonts w:eastAsiaTheme="minorHAnsi" w:cstheme="minorBidi"/>
      <w:i/>
      <w:sz w:val="16"/>
      <w:lang w:val="en-US" w:eastAsia="en-US"/>
    </w:rPr>
  </w:style>
  <w:style w:type="paragraph" w:customStyle="1" w:styleId="PreSection1Heading1">
    <w:name w:val="Pre Section 1 Heading 1"/>
    <w:basedOn w:val="Heading1"/>
    <w:link w:val="PreSection1Heading1Char"/>
    <w:uiPriority w:val="99"/>
    <w:qFormat/>
    <w:rsid w:val="007B0630"/>
    <w:pPr>
      <w:numPr>
        <w:numId w:val="0"/>
      </w:numPr>
    </w:pPr>
  </w:style>
  <w:style w:type="paragraph" w:customStyle="1" w:styleId="Appendix1">
    <w:name w:val="Appendix 1"/>
    <w:basedOn w:val="Heading1"/>
    <w:link w:val="Appendix1Char"/>
    <w:uiPriority w:val="99"/>
    <w:qFormat/>
    <w:rsid w:val="007B0630"/>
    <w:pPr>
      <w:numPr>
        <w:numId w:val="36"/>
      </w:numPr>
    </w:pPr>
  </w:style>
  <w:style w:type="character" w:customStyle="1" w:styleId="PreSection1Heading1Char">
    <w:name w:val="Pre Section 1 Heading 1 Char"/>
    <w:basedOn w:val="Heading1Char"/>
    <w:link w:val="PreSection1Heading1"/>
    <w:uiPriority w:val="99"/>
    <w:rsid w:val="007B0630"/>
    <w:rPr>
      <w:rFonts w:ascii="Georgia" w:eastAsia="Times New Roman" w:hAnsi="Georgia" w:cs="Times New Roman"/>
      <w:b/>
      <w:bCs/>
      <w:i/>
      <w:sz w:val="56"/>
      <w:szCs w:val="28"/>
      <w:lang w:eastAsia="en-US"/>
    </w:rPr>
  </w:style>
  <w:style w:type="paragraph" w:customStyle="1" w:styleId="Exhibit1">
    <w:name w:val="Exhibit 1"/>
    <w:basedOn w:val="Heading1"/>
    <w:link w:val="Exhibit1Char"/>
    <w:uiPriority w:val="99"/>
    <w:qFormat/>
    <w:rsid w:val="007B0630"/>
    <w:pPr>
      <w:numPr>
        <w:numId w:val="35"/>
      </w:numPr>
    </w:pPr>
  </w:style>
  <w:style w:type="character" w:customStyle="1" w:styleId="Appendix1Char">
    <w:name w:val="Appendix 1 Char"/>
    <w:basedOn w:val="Heading1Char"/>
    <w:link w:val="Appendix1"/>
    <w:uiPriority w:val="99"/>
    <w:rsid w:val="007B0630"/>
    <w:rPr>
      <w:rFonts w:eastAsia="Times New Roman"/>
      <w:b/>
      <w:bCs/>
      <w:i/>
      <w:sz w:val="56"/>
      <w:szCs w:val="28"/>
      <w:lang w:eastAsia="en-US"/>
    </w:rPr>
  </w:style>
  <w:style w:type="character" w:customStyle="1" w:styleId="Exhibit1Char">
    <w:name w:val="Exhibit 1 Char"/>
    <w:basedOn w:val="Heading1Char"/>
    <w:link w:val="Exhibit1"/>
    <w:uiPriority w:val="99"/>
    <w:rsid w:val="007B0630"/>
    <w:rPr>
      <w:rFonts w:eastAsia="Times New Roman"/>
      <w:b/>
      <w:bCs/>
      <w:i/>
      <w:sz w:val="56"/>
      <w:szCs w:val="28"/>
      <w:lang w:eastAsia="en-US"/>
    </w:rPr>
  </w:style>
  <w:style w:type="character" w:styleId="PlaceholderText">
    <w:name w:val="Placeholder Text"/>
    <w:basedOn w:val="DefaultParagraphFont"/>
    <w:uiPriority w:val="99"/>
    <w:semiHidden/>
    <w:rsid w:val="007A0E40"/>
    <w:rPr>
      <w:color w:val="808080"/>
    </w:rPr>
  </w:style>
  <w:style w:type="paragraph" w:customStyle="1" w:styleId="Appendix2">
    <w:name w:val="Appendix 2"/>
    <w:basedOn w:val="Heading2"/>
    <w:link w:val="Appendix2Char"/>
    <w:uiPriority w:val="99"/>
    <w:qFormat/>
    <w:rsid w:val="007B0630"/>
  </w:style>
  <w:style w:type="paragraph" w:customStyle="1" w:styleId="Appendix3">
    <w:name w:val="Appendix 3"/>
    <w:basedOn w:val="Heading3"/>
    <w:link w:val="Appendix3Char"/>
    <w:uiPriority w:val="99"/>
    <w:qFormat/>
    <w:rsid w:val="007B0630"/>
    <w:pPr>
      <w:numPr>
        <w:numId w:val="36"/>
      </w:numPr>
    </w:pPr>
  </w:style>
  <w:style w:type="character" w:customStyle="1" w:styleId="Appendix2Char">
    <w:name w:val="Appendix 2 Char"/>
    <w:basedOn w:val="Heading2Char"/>
    <w:link w:val="Appendix2"/>
    <w:uiPriority w:val="99"/>
    <w:rsid w:val="007B0630"/>
    <w:rPr>
      <w:rFonts w:eastAsia="Times New Roman" w:cs="Arial"/>
      <w:b/>
      <w:bCs/>
      <w:i/>
      <w:sz w:val="32"/>
      <w:szCs w:val="26"/>
      <w:lang w:eastAsia="en-US"/>
    </w:rPr>
  </w:style>
  <w:style w:type="paragraph" w:customStyle="1" w:styleId="Appendix4">
    <w:name w:val="Appendix 4"/>
    <w:basedOn w:val="Heading4"/>
    <w:link w:val="Appendix4Char"/>
    <w:uiPriority w:val="99"/>
    <w:rsid w:val="00FC635E"/>
    <w:pPr>
      <w:numPr>
        <w:numId w:val="36"/>
      </w:numPr>
    </w:pPr>
  </w:style>
  <w:style w:type="character" w:customStyle="1" w:styleId="Appendix3Char">
    <w:name w:val="Appendix 3 Char"/>
    <w:basedOn w:val="Heading3Char"/>
    <w:link w:val="Appendix3"/>
    <w:uiPriority w:val="99"/>
    <w:rsid w:val="007B0630"/>
    <w:rPr>
      <w:rFonts w:eastAsia="Times New Roman" w:cs="Arial"/>
      <w:b/>
      <w:bCs/>
      <w:i/>
      <w:color w:val="BD582C" w:themeColor="accent2"/>
      <w:sz w:val="28"/>
      <w:szCs w:val="28"/>
      <w:lang w:val="en-US"/>
    </w:rPr>
  </w:style>
  <w:style w:type="paragraph" w:customStyle="1" w:styleId="Appendix5">
    <w:name w:val="Appendix 5"/>
    <w:basedOn w:val="Heading5"/>
    <w:link w:val="Appendix5Char"/>
    <w:uiPriority w:val="99"/>
    <w:rsid w:val="00FC635E"/>
    <w:pPr>
      <w:numPr>
        <w:numId w:val="36"/>
      </w:numPr>
    </w:pPr>
  </w:style>
  <w:style w:type="character" w:customStyle="1" w:styleId="Appendix4Char">
    <w:name w:val="Appendix 4 Char"/>
    <w:basedOn w:val="Heading4Char"/>
    <w:link w:val="Appendix4"/>
    <w:uiPriority w:val="99"/>
    <w:rsid w:val="00983AB4"/>
    <w:rPr>
      <w:rFonts w:eastAsia="Times New Roman"/>
      <w:bCs/>
      <w:i/>
      <w:iCs/>
      <w:color w:val="A32020"/>
      <w:sz w:val="28"/>
      <w:szCs w:val="28"/>
      <w:lang w:eastAsia="en-US"/>
    </w:rPr>
  </w:style>
  <w:style w:type="paragraph" w:customStyle="1" w:styleId="Appendix6">
    <w:name w:val="Appendix 6"/>
    <w:basedOn w:val="Heading6"/>
    <w:link w:val="Appendix6Char"/>
    <w:uiPriority w:val="99"/>
    <w:rsid w:val="00FC635E"/>
    <w:pPr>
      <w:numPr>
        <w:numId w:val="36"/>
      </w:numPr>
    </w:pPr>
  </w:style>
  <w:style w:type="character" w:customStyle="1" w:styleId="Appendix5Char">
    <w:name w:val="Appendix 5 Char"/>
    <w:basedOn w:val="Heading5Char"/>
    <w:link w:val="Appendix5"/>
    <w:uiPriority w:val="99"/>
    <w:rsid w:val="00983AB4"/>
    <w:rPr>
      <w:rFonts w:eastAsia="Times New Roman"/>
      <w:i/>
      <w:color w:val="A32020"/>
      <w:sz w:val="24"/>
      <w:szCs w:val="24"/>
      <w:lang w:eastAsia="en-US"/>
    </w:rPr>
  </w:style>
  <w:style w:type="paragraph" w:customStyle="1" w:styleId="Appendix7">
    <w:name w:val="Appendix 7"/>
    <w:basedOn w:val="Heading7"/>
    <w:link w:val="Appendix7Char"/>
    <w:uiPriority w:val="99"/>
    <w:rsid w:val="00FC635E"/>
    <w:pPr>
      <w:numPr>
        <w:numId w:val="36"/>
      </w:numPr>
    </w:pPr>
    <w:rPr>
      <w:i w:val="0"/>
      <w:color w:val="A32020"/>
    </w:rPr>
  </w:style>
  <w:style w:type="character" w:customStyle="1" w:styleId="Appendix6Char">
    <w:name w:val="Appendix 6 Char"/>
    <w:basedOn w:val="Heading6Char"/>
    <w:link w:val="Appendix6"/>
    <w:uiPriority w:val="99"/>
    <w:rsid w:val="00983AB4"/>
    <w:rPr>
      <w:rFonts w:eastAsia="Times New Roman"/>
      <w:iCs/>
      <w:color w:val="A32020"/>
      <w:sz w:val="24"/>
      <w:szCs w:val="24"/>
      <w:lang w:eastAsia="en-US"/>
    </w:rPr>
  </w:style>
  <w:style w:type="paragraph" w:customStyle="1" w:styleId="Appendix8">
    <w:name w:val="Appendix 8"/>
    <w:basedOn w:val="Heading8"/>
    <w:link w:val="Appendix8Char"/>
    <w:uiPriority w:val="99"/>
    <w:rsid w:val="00FC635E"/>
    <w:pPr>
      <w:numPr>
        <w:numId w:val="36"/>
      </w:numPr>
    </w:pPr>
    <w:rPr>
      <w:i w:val="0"/>
      <w:color w:val="A32020"/>
    </w:rPr>
  </w:style>
  <w:style w:type="character" w:customStyle="1" w:styleId="Appendix7Char">
    <w:name w:val="Appendix 7 Char"/>
    <w:basedOn w:val="Heading7Char"/>
    <w:link w:val="Appendix7"/>
    <w:uiPriority w:val="99"/>
    <w:rsid w:val="00983AB4"/>
    <w:rPr>
      <w:rFonts w:eastAsia="Times New Roman"/>
      <w:i w:val="0"/>
      <w:iCs/>
      <w:color w:val="A32020"/>
      <w:lang w:eastAsia="en-US"/>
    </w:rPr>
  </w:style>
  <w:style w:type="paragraph" w:customStyle="1" w:styleId="Appendix9">
    <w:name w:val="Appendix 9"/>
    <w:basedOn w:val="Heading9"/>
    <w:link w:val="Appendix9Char"/>
    <w:uiPriority w:val="99"/>
    <w:rsid w:val="00FC635E"/>
    <w:pPr>
      <w:numPr>
        <w:numId w:val="36"/>
      </w:numPr>
    </w:pPr>
    <w:rPr>
      <w:i w:val="0"/>
      <w:color w:val="A32020"/>
    </w:rPr>
  </w:style>
  <w:style w:type="character" w:customStyle="1" w:styleId="Appendix8Char">
    <w:name w:val="Appendix 8 Char"/>
    <w:basedOn w:val="Heading8Char"/>
    <w:link w:val="Appendix8"/>
    <w:uiPriority w:val="99"/>
    <w:rsid w:val="00983AB4"/>
    <w:rPr>
      <w:rFonts w:eastAsia="Times New Roman"/>
      <w:i w:val="0"/>
      <w:color w:val="A32020"/>
      <w:lang w:eastAsia="en-US"/>
    </w:rPr>
  </w:style>
  <w:style w:type="paragraph" w:customStyle="1" w:styleId="Exhibit2">
    <w:name w:val="Exhibit 2"/>
    <w:basedOn w:val="Appendix2"/>
    <w:link w:val="Exhibit2Char"/>
    <w:uiPriority w:val="99"/>
    <w:rsid w:val="00502F64"/>
  </w:style>
  <w:style w:type="character" w:customStyle="1" w:styleId="Appendix9Char">
    <w:name w:val="Appendix 9 Char"/>
    <w:basedOn w:val="Heading9Char"/>
    <w:link w:val="Appendix9"/>
    <w:uiPriority w:val="99"/>
    <w:rsid w:val="00983AB4"/>
    <w:rPr>
      <w:rFonts w:eastAsia="Times New Roman"/>
      <w:i w:val="0"/>
      <w:iCs/>
      <w:color w:val="A32020"/>
      <w:lang w:eastAsia="en-US"/>
    </w:rPr>
  </w:style>
  <w:style w:type="paragraph" w:customStyle="1" w:styleId="Exhibit3">
    <w:name w:val="Exhibit 3"/>
    <w:basedOn w:val="Appendix3"/>
    <w:link w:val="Exhibit3Char"/>
    <w:uiPriority w:val="99"/>
    <w:rsid w:val="00502F64"/>
    <w:pPr>
      <w:numPr>
        <w:numId w:val="35"/>
      </w:numPr>
    </w:pPr>
  </w:style>
  <w:style w:type="character" w:customStyle="1" w:styleId="Exhibit2Char">
    <w:name w:val="Exhibit 2 Char"/>
    <w:basedOn w:val="Appendix2Char"/>
    <w:link w:val="Exhibit2"/>
    <w:uiPriority w:val="99"/>
    <w:rsid w:val="00983AB4"/>
    <w:rPr>
      <w:rFonts w:eastAsia="Times New Roman" w:cs="Arial"/>
      <w:b/>
      <w:bCs/>
      <w:i/>
      <w:sz w:val="32"/>
      <w:szCs w:val="26"/>
      <w:lang w:eastAsia="en-US"/>
    </w:rPr>
  </w:style>
  <w:style w:type="paragraph" w:customStyle="1" w:styleId="Exhibit4">
    <w:name w:val="Exhibit 4"/>
    <w:basedOn w:val="Appendix4"/>
    <w:link w:val="Exhibit4Char"/>
    <w:uiPriority w:val="99"/>
    <w:rsid w:val="00502F64"/>
    <w:pPr>
      <w:numPr>
        <w:numId w:val="35"/>
      </w:numPr>
    </w:pPr>
  </w:style>
  <w:style w:type="character" w:customStyle="1" w:styleId="Exhibit3Char">
    <w:name w:val="Exhibit 3 Char"/>
    <w:basedOn w:val="Appendix3Char"/>
    <w:link w:val="Exhibit3"/>
    <w:uiPriority w:val="99"/>
    <w:rsid w:val="00983AB4"/>
    <w:rPr>
      <w:rFonts w:eastAsia="Times New Roman" w:cs="Arial"/>
      <w:b/>
      <w:bCs/>
      <w:i/>
      <w:color w:val="BD582C" w:themeColor="accent2"/>
      <w:sz w:val="28"/>
      <w:szCs w:val="28"/>
      <w:lang w:val="en-US"/>
    </w:rPr>
  </w:style>
  <w:style w:type="paragraph" w:customStyle="1" w:styleId="Exhibit5">
    <w:name w:val="Exhibit 5"/>
    <w:basedOn w:val="Appendix5"/>
    <w:link w:val="Exhibit5Char"/>
    <w:uiPriority w:val="99"/>
    <w:rsid w:val="00502F64"/>
    <w:pPr>
      <w:numPr>
        <w:numId w:val="35"/>
      </w:numPr>
    </w:pPr>
  </w:style>
  <w:style w:type="character" w:customStyle="1" w:styleId="Exhibit4Char">
    <w:name w:val="Exhibit 4 Char"/>
    <w:basedOn w:val="Appendix4Char"/>
    <w:link w:val="Exhibit4"/>
    <w:uiPriority w:val="99"/>
    <w:rsid w:val="00983AB4"/>
    <w:rPr>
      <w:rFonts w:eastAsia="Times New Roman"/>
      <w:bCs/>
      <w:i/>
      <w:iCs/>
      <w:color w:val="A32020"/>
      <w:sz w:val="28"/>
      <w:szCs w:val="28"/>
      <w:lang w:eastAsia="en-US"/>
    </w:rPr>
  </w:style>
  <w:style w:type="paragraph" w:customStyle="1" w:styleId="Exhibit6">
    <w:name w:val="Exhibit 6"/>
    <w:basedOn w:val="Appendix6"/>
    <w:link w:val="Exhibit6Char"/>
    <w:uiPriority w:val="99"/>
    <w:rsid w:val="00502F64"/>
    <w:pPr>
      <w:numPr>
        <w:numId w:val="35"/>
      </w:numPr>
    </w:pPr>
  </w:style>
  <w:style w:type="character" w:customStyle="1" w:styleId="Exhibit5Char">
    <w:name w:val="Exhibit 5 Char"/>
    <w:basedOn w:val="Appendix5Char"/>
    <w:link w:val="Exhibit5"/>
    <w:uiPriority w:val="99"/>
    <w:rsid w:val="00983AB4"/>
    <w:rPr>
      <w:rFonts w:eastAsia="Times New Roman"/>
      <w:i/>
      <w:color w:val="A32020"/>
      <w:sz w:val="24"/>
      <w:szCs w:val="24"/>
      <w:lang w:eastAsia="en-US"/>
    </w:rPr>
  </w:style>
  <w:style w:type="paragraph" w:customStyle="1" w:styleId="Exhibit7">
    <w:name w:val="Exhibit 7"/>
    <w:basedOn w:val="Appendix7"/>
    <w:link w:val="Exhibit7Char"/>
    <w:uiPriority w:val="99"/>
    <w:rsid w:val="00502F64"/>
    <w:pPr>
      <w:numPr>
        <w:numId w:val="35"/>
      </w:numPr>
    </w:pPr>
  </w:style>
  <w:style w:type="character" w:customStyle="1" w:styleId="Exhibit6Char">
    <w:name w:val="Exhibit 6 Char"/>
    <w:basedOn w:val="Appendix6Char"/>
    <w:link w:val="Exhibit6"/>
    <w:uiPriority w:val="99"/>
    <w:rsid w:val="00983AB4"/>
    <w:rPr>
      <w:rFonts w:eastAsia="Times New Roman"/>
      <w:iCs/>
      <w:color w:val="A32020"/>
      <w:sz w:val="24"/>
      <w:szCs w:val="24"/>
      <w:lang w:eastAsia="en-US"/>
    </w:rPr>
  </w:style>
  <w:style w:type="paragraph" w:customStyle="1" w:styleId="Exhibit8">
    <w:name w:val="Exhibit 8"/>
    <w:basedOn w:val="Appendix8"/>
    <w:link w:val="Exhibit8Char"/>
    <w:uiPriority w:val="99"/>
    <w:rsid w:val="00502F64"/>
    <w:pPr>
      <w:numPr>
        <w:numId w:val="35"/>
      </w:numPr>
    </w:pPr>
  </w:style>
  <w:style w:type="character" w:customStyle="1" w:styleId="Exhibit7Char">
    <w:name w:val="Exhibit 7 Char"/>
    <w:basedOn w:val="Appendix7Char"/>
    <w:link w:val="Exhibit7"/>
    <w:uiPriority w:val="99"/>
    <w:rsid w:val="00983AB4"/>
    <w:rPr>
      <w:rFonts w:eastAsia="Times New Roman"/>
      <w:i w:val="0"/>
      <w:iCs/>
      <w:color w:val="A32020"/>
      <w:lang w:eastAsia="en-US"/>
    </w:rPr>
  </w:style>
  <w:style w:type="paragraph" w:customStyle="1" w:styleId="Exhibit9">
    <w:name w:val="Exhibit 9"/>
    <w:basedOn w:val="Appendix9"/>
    <w:link w:val="Exhibit9Char"/>
    <w:uiPriority w:val="99"/>
    <w:rsid w:val="00502F64"/>
    <w:pPr>
      <w:numPr>
        <w:numId w:val="35"/>
      </w:numPr>
    </w:pPr>
  </w:style>
  <w:style w:type="character" w:customStyle="1" w:styleId="Exhibit8Char">
    <w:name w:val="Exhibit 8 Char"/>
    <w:basedOn w:val="Appendix8Char"/>
    <w:link w:val="Exhibit8"/>
    <w:uiPriority w:val="99"/>
    <w:rsid w:val="00983AB4"/>
    <w:rPr>
      <w:rFonts w:eastAsia="Times New Roman"/>
      <w:i w:val="0"/>
      <w:color w:val="A32020"/>
      <w:lang w:eastAsia="en-US"/>
    </w:rPr>
  </w:style>
  <w:style w:type="character" w:customStyle="1" w:styleId="Exhibit9Char">
    <w:name w:val="Exhibit 9 Char"/>
    <w:basedOn w:val="Appendix9Char"/>
    <w:link w:val="Exhibit9"/>
    <w:uiPriority w:val="99"/>
    <w:rsid w:val="00983AB4"/>
    <w:rPr>
      <w:rFonts w:eastAsia="Times New Roman"/>
      <w:i w:val="0"/>
      <w:iCs/>
      <w:color w:val="A32020"/>
      <w:lang w:eastAsia="en-US"/>
    </w:rPr>
  </w:style>
  <w:style w:type="paragraph" w:styleId="PlainText">
    <w:name w:val="Plain Text"/>
    <w:basedOn w:val="Normal"/>
    <w:link w:val="PlainTextChar"/>
    <w:uiPriority w:val="99"/>
    <w:semiHidden/>
    <w:rsid w:val="008D0E35"/>
    <w:rPr>
      <w:rFonts w:ascii="Consolas" w:eastAsia="Arial" w:hAnsi="Consolas"/>
      <w:sz w:val="21"/>
      <w:szCs w:val="21"/>
      <w:lang w:val="en-GB"/>
    </w:rPr>
  </w:style>
  <w:style w:type="character" w:customStyle="1" w:styleId="PlainTextChar">
    <w:name w:val="Plain Text Char"/>
    <w:basedOn w:val="DefaultParagraphFont"/>
    <w:link w:val="PlainText"/>
    <w:uiPriority w:val="99"/>
    <w:semiHidden/>
    <w:rsid w:val="00983AB4"/>
    <w:rPr>
      <w:rFonts w:ascii="Consolas" w:hAnsi="Consolas"/>
      <w:sz w:val="21"/>
      <w:szCs w:val="21"/>
    </w:rPr>
  </w:style>
  <w:style w:type="paragraph" w:customStyle="1" w:styleId="ListBullet6">
    <w:name w:val="List Bullet 6"/>
    <w:basedOn w:val="ListBullet5"/>
    <w:link w:val="ListBullet6Char1"/>
    <w:uiPriority w:val="99"/>
    <w:qFormat/>
    <w:rsid w:val="00A54AC0"/>
    <w:pPr>
      <w:numPr>
        <w:ilvl w:val="5"/>
      </w:numPr>
      <w:ind w:left="3399" w:hanging="562"/>
    </w:pPr>
  </w:style>
  <w:style w:type="paragraph" w:customStyle="1" w:styleId="ListBullet7">
    <w:name w:val="List Bullet 7"/>
    <w:basedOn w:val="ListBullet5"/>
    <w:link w:val="ListBullet7Char"/>
    <w:uiPriority w:val="99"/>
    <w:rsid w:val="00A54AC0"/>
    <w:pPr>
      <w:numPr>
        <w:ilvl w:val="6"/>
        <w:numId w:val="3"/>
      </w:numPr>
      <w:ind w:left="3960" w:hanging="562"/>
    </w:pPr>
  </w:style>
  <w:style w:type="character" w:customStyle="1" w:styleId="ListBullet5Char">
    <w:name w:val="List Bullet 5 Char"/>
    <w:basedOn w:val="DefaultParagraphFont"/>
    <w:link w:val="ListBullet5"/>
    <w:uiPriority w:val="99"/>
    <w:rsid w:val="00A54AC0"/>
    <w:rPr>
      <w:lang w:eastAsia="en-US"/>
    </w:rPr>
  </w:style>
  <w:style w:type="numbering" w:customStyle="1" w:styleId="SmartAppendices">
    <w:name w:val="Smart Appendices"/>
    <w:uiPriority w:val="99"/>
    <w:rsid w:val="00D93952"/>
    <w:pPr>
      <w:numPr>
        <w:numId w:val="41"/>
      </w:numPr>
    </w:pPr>
  </w:style>
  <w:style w:type="paragraph" w:customStyle="1" w:styleId="ListBullet8">
    <w:name w:val="List Bullet 8"/>
    <w:basedOn w:val="ListBullet5"/>
    <w:link w:val="ListBullet8Char"/>
    <w:uiPriority w:val="99"/>
    <w:rsid w:val="000F1067"/>
    <w:pPr>
      <w:numPr>
        <w:ilvl w:val="7"/>
        <w:numId w:val="4"/>
      </w:numPr>
    </w:pPr>
  </w:style>
  <w:style w:type="character" w:customStyle="1" w:styleId="ListBullet7Char">
    <w:name w:val="List Bullet 7 Char"/>
    <w:basedOn w:val="ListBullet5Char"/>
    <w:link w:val="ListBullet7"/>
    <w:uiPriority w:val="99"/>
    <w:rsid w:val="00A54AC0"/>
    <w:rPr>
      <w:lang w:eastAsia="en-US"/>
    </w:rPr>
  </w:style>
  <w:style w:type="paragraph" w:customStyle="1" w:styleId="ListBullet9">
    <w:name w:val="List Bullet 9"/>
    <w:basedOn w:val="ListBullet5"/>
    <w:link w:val="ListBullet9Char"/>
    <w:uiPriority w:val="99"/>
    <w:rsid w:val="000F1067"/>
    <w:pPr>
      <w:numPr>
        <w:ilvl w:val="8"/>
        <w:numId w:val="5"/>
      </w:numPr>
    </w:pPr>
  </w:style>
  <w:style w:type="character" w:customStyle="1" w:styleId="ListBullet8Char">
    <w:name w:val="List Bullet 8 Char"/>
    <w:basedOn w:val="ListBullet5Char"/>
    <w:link w:val="ListBullet8"/>
    <w:uiPriority w:val="99"/>
    <w:rsid w:val="00983AB4"/>
    <w:rPr>
      <w:lang w:eastAsia="en-US"/>
    </w:rPr>
  </w:style>
  <w:style w:type="paragraph" w:customStyle="1" w:styleId="ListContinue6">
    <w:name w:val="List Continue 6"/>
    <w:basedOn w:val="ListContinue5"/>
    <w:link w:val="ListContinue6Char"/>
    <w:uiPriority w:val="99"/>
    <w:semiHidden/>
    <w:rsid w:val="00A54AC0"/>
    <w:pPr>
      <w:ind w:left="3600"/>
    </w:pPr>
  </w:style>
  <w:style w:type="character" w:customStyle="1" w:styleId="ListBullet9Char">
    <w:name w:val="List Bullet 9 Char"/>
    <w:basedOn w:val="ListBullet5Char"/>
    <w:link w:val="ListBullet9"/>
    <w:uiPriority w:val="99"/>
    <w:rsid w:val="00983AB4"/>
    <w:rPr>
      <w:lang w:eastAsia="en-US"/>
    </w:rPr>
  </w:style>
  <w:style w:type="paragraph" w:customStyle="1" w:styleId="ListContinue7">
    <w:name w:val="List Continue 7"/>
    <w:basedOn w:val="ListContinue5"/>
    <w:link w:val="ListContinue7Char"/>
    <w:uiPriority w:val="99"/>
    <w:semiHidden/>
    <w:rsid w:val="00A54AC0"/>
    <w:pPr>
      <w:ind w:left="4320"/>
    </w:pPr>
  </w:style>
  <w:style w:type="character" w:customStyle="1" w:styleId="ListContinue5Char">
    <w:name w:val="List Continue 5 Char"/>
    <w:basedOn w:val="DefaultParagraphFont"/>
    <w:link w:val="ListContinue5"/>
    <w:uiPriority w:val="99"/>
    <w:semiHidden/>
    <w:rsid w:val="00A54AC0"/>
  </w:style>
  <w:style w:type="character" w:customStyle="1" w:styleId="ListContinue6Char">
    <w:name w:val="List Continue 6 Char"/>
    <w:basedOn w:val="ListContinue5Char"/>
    <w:link w:val="ListContinue6"/>
    <w:uiPriority w:val="99"/>
    <w:semiHidden/>
    <w:rsid w:val="00A54AC0"/>
  </w:style>
  <w:style w:type="paragraph" w:customStyle="1" w:styleId="ListContinue8">
    <w:name w:val="List Continue 8"/>
    <w:basedOn w:val="ListContinue5"/>
    <w:link w:val="ListContinue8Char"/>
    <w:uiPriority w:val="99"/>
    <w:semiHidden/>
    <w:rsid w:val="00A54AC0"/>
    <w:pPr>
      <w:ind w:left="5040"/>
    </w:pPr>
  </w:style>
  <w:style w:type="character" w:customStyle="1" w:styleId="ListContinue7Char">
    <w:name w:val="List Continue 7 Char"/>
    <w:basedOn w:val="ListContinue5Char"/>
    <w:link w:val="ListContinue7"/>
    <w:uiPriority w:val="99"/>
    <w:semiHidden/>
    <w:rsid w:val="00A54AC0"/>
  </w:style>
  <w:style w:type="paragraph" w:customStyle="1" w:styleId="ListContinue9">
    <w:name w:val="List Continue 9"/>
    <w:basedOn w:val="ListContinue5"/>
    <w:link w:val="ListContinue9Char"/>
    <w:uiPriority w:val="99"/>
    <w:semiHidden/>
    <w:rsid w:val="00A54AC0"/>
    <w:pPr>
      <w:ind w:left="5760"/>
    </w:pPr>
  </w:style>
  <w:style w:type="character" w:customStyle="1" w:styleId="ListContinue8Char">
    <w:name w:val="List Continue 8 Char"/>
    <w:basedOn w:val="ListContinue5Char"/>
    <w:link w:val="ListContinue8"/>
    <w:uiPriority w:val="99"/>
    <w:semiHidden/>
    <w:rsid w:val="00A54AC0"/>
  </w:style>
  <w:style w:type="paragraph" w:customStyle="1" w:styleId="ListNumber6">
    <w:name w:val="List Number 6"/>
    <w:basedOn w:val="ListBullet6"/>
    <w:link w:val="ListNumber6Char1"/>
    <w:uiPriority w:val="99"/>
    <w:rsid w:val="00C42775"/>
    <w:pPr>
      <w:numPr>
        <w:numId w:val="8"/>
      </w:numPr>
    </w:pPr>
  </w:style>
  <w:style w:type="character" w:customStyle="1" w:styleId="ListContinue9Char">
    <w:name w:val="List Continue 9 Char"/>
    <w:basedOn w:val="ListContinue5Char"/>
    <w:link w:val="ListContinue9"/>
    <w:uiPriority w:val="99"/>
    <w:semiHidden/>
    <w:rsid w:val="00A54AC0"/>
  </w:style>
  <w:style w:type="paragraph" w:customStyle="1" w:styleId="ListNumber7">
    <w:name w:val="List Number 7"/>
    <w:basedOn w:val="ListBullet7"/>
    <w:link w:val="ListNumber7Char"/>
    <w:uiPriority w:val="99"/>
    <w:rsid w:val="00C42775"/>
    <w:pPr>
      <w:numPr>
        <w:numId w:val="9"/>
      </w:numPr>
    </w:pPr>
  </w:style>
  <w:style w:type="character" w:customStyle="1" w:styleId="ListBullet6Char1">
    <w:name w:val="List Bullet 6 Char1"/>
    <w:basedOn w:val="ListBullet5Char"/>
    <w:link w:val="ListBullet6"/>
    <w:uiPriority w:val="99"/>
    <w:rsid w:val="00A54AC0"/>
    <w:rPr>
      <w:lang w:eastAsia="en-US"/>
    </w:rPr>
  </w:style>
  <w:style w:type="paragraph" w:customStyle="1" w:styleId="ListNumber8">
    <w:name w:val="List Number 8"/>
    <w:basedOn w:val="ListBullet8"/>
    <w:link w:val="ListNumber8Char"/>
    <w:uiPriority w:val="99"/>
    <w:rsid w:val="00C42775"/>
    <w:pPr>
      <w:numPr>
        <w:numId w:val="10"/>
      </w:numPr>
    </w:pPr>
  </w:style>
  <w:style w:type="character" w:customStyle="1" w:styleId="ListNumber7Char">
    <w:name w:val="List Number 7 Char"/>
    <w:basedOn w:val="ListBullet7Char"/>
    <w:link w:val="ListNumber7"/>
    <w:uiPriority w:val="99"/>
    <w:rsid w:val="00983AB4"/>
    <w:rPr>
      <w:lang w:eastAsia="en-US"/>
    </w:rPr>
  </w:style>
  <w:style w:type="paragraph" w:customStyle="1" w:styleId="ListNumber9">
    <w:name w:val="List Number 9"/>
    <w:basedOn w:val="ListBullet9"/>
    <w:link w:val="ListNumber9Char"/>
    <w:uiPriority w:val="99"/>
    <w:rsid w:val="00C42775"/>
    <w:pPr>
      <w:numPr>
        <w:numId w:val="11"/>
      </w:numPr>
    </w:pPr>
  </w:style>
  <w:style w:type="character" w:customStyle="1" w:styleId="ListNumber8Char">
    <w:name w:val="List Number 8 Char"/>
    <w:basedOn w:val="ListBullet8Char"/>
    <w:link w:val="ListNumber8"/>
    <w:uiPriority w:val="99"/>
    <w:rsid w:val="00983AB4"/>
    <w:rPr>
      <w:lang w:eastAsia="en-US"/>
    </w:rPr>
  </w:style>
  <w:style w:type="paragraph" w:customStyle="1" w:styleId="ListRoman">
    <w:name w:val="List Roman"/>
    <w:basedOn w:val="ListNumber"/>
    <w:link w:val="ListRomanChar1"/>
    <w:uiPriority w:val="99"/>
    <w:qFormat/>
    <w:rsid w:val="007B0630"/>
    <w:pPr>
      <w:numPr>
        <w:numId w:val="37"/>
      </w:numPr>
    </w:pPr>
  </w:style>
  <w:style w:type="character" w:customStyle="1" w:styleId="ListNumber9Char">
    <w:name w:val="List Number 9 Char"/>
    <w:basedOn w:val="ListBullet9Char"/>
    <w:link w:val="ListNumber9"/>
    <w:uiPriority w:val="99"/>
    <w:rsid w:val="00983AB4"/>
    <w:rPr>
      <w:lang w:eastAsia="en-US"/>
    </w:rPr>
  </w:style>
  <w:style w:type="paragraph" w:customStyle="1" w:styleId="ListRoman2">
    <w:name w:val="List Roman 2"/>
    <w:basedOn w:val="ListNumber2"/>
    <w:link w:val="ListRoman2Char1"/>
    <w:uiPriority w:val="99"/>
    <w:rsid w:val="004D1784"/>
    <w:pPr>
      <w:numPr>
        <w:numId w:val="14"/>
      </w:numPr>
    </w:pPr>
  </w:style>
  <w:style w:type="character" w:customStyle="1" w:styleId="ListNumberChar">
    <w:name w:val="List Number Char"/>
    <w:basedOn w:val="DefaultParagraphFont"/>
    <w:link w:val="ListNumber"/>
    <w:uiPriority w:val="99"/>
    <w:rsid w:val="007B0630"/>
    <w:rPr>
      <w:lang w:eastAsia="en-US"/>
    </w:rPr>
  </w:style>
  <w:style w:type="paragraph" w:customStyle="1" w:styleId="ListRoman3">
    <w:name w:val="List Roman 3"/>
    <w:basedOn w:val="ListNumber3"/>
    <w:link w:val="ListRoman3Char1"/>
    <w:uiPriority w:val="99"/>
    <w:rsid w:val="004D1784"/>
    <w:pPr>
      <w:numPr>
        <w:numId w:val="15"/>
      </w:numPr>
    </w:pPr>
  </w:style>
  <w:style w:type="character" w:customStyle="1" w:styleId="ListNumber2Char">
    <w:name w:val="List Number 2 Char"/>
    <w:basedOn w:val="DefaultParagraphFont"/>
    <w:link w:val="ListNumber2"/>
    <w:uiPriority w:val="99"/>
    <w:rsid w:val="00A54AC0"/>
    <w:rPr>
      <w:lang w:eastAsia="en-US"/>
    </w:rPr>
  </w:style>
  <w:style w:type="paragraph" w:customStyle="1" w:styleId="ListRoman4">
    <w:name w:val="List Roman 4"/>
    <w:basedOn w:val="ListNumber4"/>
    <w:link w:val="ListRoman4Char1"/>
    <w:uiPriority w:val="99"/>
    <w:rsid w:val="004D1784"/>
    <w:pPr>
      <w:numPr>
        <w:numId w:val="16"/>
      </w:numPr>
    </w:pPr>
  </w:style>
  <w:style w:type="character" w:customStyle="1" w:styleId="ListBullet3Char">
    <w:name w:val="List Bullet 3 Char"/>
    <w:basedOn w:val="DefaultParagraphFont"/>
    <w:link w:val="ListBullet3"/>
    <w:uiPriority w:val="99"/>
    <w:rsid w:val="00A54AC0"/>
    <w:rPr>
      <w:lang w:eastAsia="en-US"/>
    </w:rPr>
  </w:style>
  <w:style w:type="character" w:customStyle="1" w:styleId="ListNumber3Char">
    <w:name w:val="List Number 3 Char"/>
    <w:basedOn w:val="ListBullet3Char"/>
    <w:link w:val="ListNumber3"/>
    <w:uiPriority w:val="99"/>
    <w:rsid w:val="00A54AC0"/>
    <w:rPr>
      <w:lang w:eastAsia="en-US"/>
    </w:rPr>
  </w:style>
  <w:style w:type="paragraph" w:customStyle="1" w:styleId="ListRoman5">
    <w:name w:val="List Roman 5"/>
    <w:basedOn w:val="ListNumber5"/>
    <w:link w:val="ListRoman5Char1"/>
    <w:uiPriority w:val="99"/>
    <w:rsid w:val="004D1784"/>
    <w:pPr>
      <w:numPr>
        <w:numId w:val="17"/>
      </w:numPr>
    </w:pPr>
  </w:style>
  <w:style w:type="character" w:customStyle="1" w:styleId="ListBullet4Char">
    <w:name w:val="List Bullet 4 Char"/>
    <w:basedOn w:val="DefaultParagraphFont"/>
    <w:link w:val="ListBullet4"/>
    <w:uiPriority w:val="99"/>
    <w:rsid w:val="00A54AC0"/>
    <w:rPr>
      <w:lang w:eastAsia="en-US"/>
    </w:rPr>
  </w:style>
  <w:style w:type="character" w:customStyle="1" w:styleId="ListNumber4Char">
    <w:name w:val="List Number 4 Char"/>
    <w:basedOn w:val="ListBullet4Char"/>
    <w:link w:val="ListNumber4"/>
    <w:uiPriority w:val="99"/>
    <w:rsid w:val="00A54AC0"/>
    <w:rPr>
      <w:lang w:eastAsia="en-US"/>
    </w:rPr>
  </w:style>
  <w:style w:type="paragraph" w:customStyle="1" w:styleId="ListRoman6">
    <w:name w:val="List Roman 6"/>
    <w:basedOn w:val="ListNumber6"/>
    <w:link w:val="ListRoman6Char1"/>
    <w:uiPriority w:val="99"/>
    <w:rsid w:val="004D1784"/>
    <w:pPr>
      <w:numPr>
        <w:numId w:val="18"/>
      </w:numPr>
    </w:pPr>
  </w:style>
  <w:style w:type="character" w:customStyle="1" w:styleId="ListNumber5Char">
    <w:name w:val="List Number 5 Char"/>
    <w:basedOn w:val="ListBullet5Char"/>
    <w:link w:val="ListNumber5"/>
    <w:uiPriority w:val="99"/>
    <w:rsid w:val="00A54AC0"/>
    <w:rPr>
      <w:lang w:eastAsia="en-US"/>
    </w:rPr>
  </w:style>
  <w:style w:type="paragraph" w:customStyle="1" w:styleId="ListRoman7">
    <w:name w:val="List Roman 7"/>
    <w:basedOn w:val="ListNumber7"/>
    <w:link w:val="ListRoman7Char"/>
    <w:uiPriority w:val="99"/>
    <w:rsid w:val="004D1784"/>
    <w:pPr>
      <w:numPr>
        <w:numId w:val="19"/>
      </w:numPr>
    </w:pPr>
  </w:style>
  <w:style w:type="character" w:customStyle="1" w:styleId="ListNumber6Char1">
    <w:name w:val="List Number 6 Char1"/>
    <w:basedOn w:val="ListBullet6Char1"/>
    <w:link w:val="ListNumber6"/>
    <w:uiPriority w:val="99"/>
    <w:rsid w:val="00983AB4"/>
    <w:rPr>
      <w:lang w:eastAsia="en-US"/>
    </w:rPr>
  </w:style>
  <w:style w:type="paragraph" w:customStyle="1" w:styleId="ListRoman8">
    <w:name w:val="List Roman 8"/>
    <w:basedOn w:val="ListNumber8"/>
    <w:link w:val="ListRoman8Char"/>
    <w:uiPriority w:val="99"/>
    <w:rsid w:val="004D1784"/>
    <w:pPr>
      <w:numPr>
        <w:numId w:val="20"/>
      </w:numPr>
    </w:pPr>
  </w:style>
  <w:style w:type="character" w:customStyle="1" w:styleId="ListRoman7Char">
    <w:name w:val="List Roman 7 Char"/>
    <w:basedOn w:val="ListNumber7Char"/>
    <w:link w:val="ListRoman7"/>
    <w:uiPriority w:val="99"/>
    <w:rsid w:val="00983AB4"/>
    <w:rPr>
      <w:lang w:eastAsia="en-US"/>
    </w:rPr>
  </w:style>
  <w:style w:type="paragraph" w:customStyle="1" w:styleId="ListRoman9">
    <w:name w:val="List Roman 9"/>
    <w:basedOn w:val="ListNumber9"/>
    <w:link w:val="ListRoman9Char"/>
    <w:uiPriority w:val="99"/>
    <w:rsid w:val="004D1784"/>
    <w:pPr>
      <w:numPr>
        <w:numId w:val="21"/>
      </w:numPr>
    </w:pPr>
  </w:style>
  <w:style w:type="character" w:customStyle="1" w:styleId="ListRoman8Char">
    <w:name w:val="List Roman 8 Char"/>
    <w:basedOn w:val="ListNumber8Char"/>
    <w:link w:val="ListRoman8"/>
    <w:uiPriority w:val="99"/>
    <w:rsid w:val="00983AB4"/>
    <w:rPr>
      <w:lang w:eastAsia="en-US"/>
    </w:rPr>
  </w:style>
  <w:style w:type="paragraph" w:customStyle="1" w:styleId="ListAlpha">
    <w:name w:val="List Alpha"/>
    <w:basedOn w:val="ListRoman"/>
    <w:link w:val="ListAlphaChar"/>
    <w:uiPriority w:val="99"/>
    <w:qFormat/>
    <w:rsid w:val="007B0630"/>
    <w:pPr>
      <w:numPr>
        <w:numId w:val="38"/>
      </w:numPr>
    </w:pPr>
  </w:style>
  <w:style w:type="character" w:customStyle="1" w:styleId="ListRoman9Char">
    <w:name w:val="List Roman 9 Char"/>
    <w:basedOn w:val="ListNumber9Char"/>
    <w:link w:val="ListRoman9"/>
    <w:uiPriority w:val="99"/>
    <w:rsid w:val="00983AB4"/>
    <w:rPr>
      <w:lang w:eastAsia="en-US"/>
    </w:rPr>
  </w:style>
  <w:style w:type="paragraph" w:customStyle="1" w:styleId="ListAlpha2">
    <w:name w:val="List Alpha 2"/>
    <w:basedOn w:val="ListRoman2"/>
    <w:link w:val="ListAlpha2Char"/>
    <w:uiPriority w:val="99"/>
    <w:rsid w:val="00A54AC0"/>
    <w:pPr>
      <w:numPr>
        <w:numId w:val="22"/>
      </w:numPr>
    </w:pPr>
  </w:style>
  <w:style w:type="character" w:customStyle="1" w:styleId="ListRomanChar1">
    <w:name w:val="List Roman Char1"/>
    <w:basedOn w:val="ListNumberChar"/>
    <w:link w:val="ListRoman"/>
    <w:uiPriority w:val="99"/>
    <w:rsid w:val="007B0630"/>
    <w:rPr>
      <w:lang w:eastAsia="en-US"/>
    </w:rPr>
  </w:style>
  <w:style w:type="character" w:customStyle="1" w:styleId="ListAlphaChar">
    <w:name w:val="List Alpha Char"/>
    <w:basedOn w:val="ListRomanChar1"/>
    <w:link w:val="ListAlpha"/>
    <w:uiPriority w:val="99"/>
    <w:rsid w:val="007B0630"/>
    <w:rPr>
      <w:lang w:eastAsia="en-US"/>
    </w:rPr>
  </w:style>
  <w:style w:type="paragraph" w:customStyle="1" w:styleId="ListAlpha3">
    <w:name w:val="List Alpha 3"/>
    <w:basedOn w:val="ListRoman3"/>
    <w:link w:val="ListAlpha3Char"/>
    <w:uiPriority w:val="99"/>
    <w:rsid w:val="00A54AC0"/>
    <w:pPr>
      <w:numPr>
        <w:numId w:val="23"/>
      </w:numPr>
      <w:ind w:left="1700" w:hanging="562"/>
    </w:pPr>
  </w:style>
  <w:style w:type="character" w:customStyle="1" w:styleId="ListRoman2Char1">
    <w:name w:val="List Roman 2 Char1"/>
    <w:basedOn w:val="ListNumber2Char"/>
    <w:link w:val="ListRoman2"/>
    <w:uiPriority w:val="99"/>
    <w:rsid w:val="00983AB4"/>
    <w:rPr>
      <w:lang w:eastAsia="en-US"/>
    </w:rPr>
  </w:style>
  <w:style w:type="character" w:customStyle="1" w:styleId="ListAlpha2Char">
    <w:name w:val="List Alpha 2 Char"/>
    <w:basedOn w:val="ListRoman2Char1"/>
    <w:link w:val="ListAlpha2"/>
    <w:uiPriority w:val="99"/>
    <w:rsid w:val="00A54AC0"/>
    <w:rPr>
      <w:lang w:eastAsia="en-US"/>
    </w:rPr>
  </w:style>
  <w:style w:type="paragraph" w:customStyle="1" w:styleId="ListAlpha4">
    <w:name w:val="List Alpha 4"/>
    <w:basedOn w:val="ListRoman4"/>
    <w:link w:val="ListAlpha4Char"/>
    <w:uiPriority w:val="99"/>
    <w:rsid w:val="00A54AC0"/>
    <w:pPr>
      <w:numPr>
        <w:numId w:val="24"/>
      </w:numPr>
      <w:ind w:left="2261" w:hanging="562"/>
    </w:pPr>
  </w:style>
  <w:style w:type="character" w:customStyle="1" w:styleId="ListRoman3Char1">
    <w:name w:val="List Roman 3 Char1"/>
    <w:basedOn w:val="ListNumber3Char"/>
    <w:link w:val="ListRoman3"/>
    <w:uiPriority w:val="99"/>
    <w:rsid w:val="00983AB4"/>
    <w:rPr>
      <w:lang w:eastAsia="en-US"/>
    </w:rPr>
  </w:style>
  <w:style w:type="character" w:customStyle="1" w:styleId="ListAlpha3Char">
    <w:name w:val="List Alpha 3 Char"/>
    <w:basedOn w:val="ListRoman3Char1"/>
    <w:link w:val="ListAlpha3"/>
    <w:uiPriority w:val="99"/>
    <w:rsid w:val="00A54AC0"/>
    <w:rPr>
      <w:lang w:eastAsia="en-US"/>
    </w:rPr>
  </w:style>
  <w:style w:type="paragraph" w:customStyle="1" w:styleId="ListAlpha5">
    <w:name w:val="List Alpha 5"/>
    <w:basedOn w:val="ListRoman5"/>
    <w:link w:val="ListAlpha5Char"/>
    <w:uiPriority w:val="99"/>
    <w:rsid w:val="00A54AC0"/>
    <w:pPr>
      <w:numPr>
        <w:numId w:val="25"/>
      </w:numPr>
      <w:ind w:left="2837" w:hanging="562"/>
    </w:pPr>
  </w:style>
  <w:style w:type="character" w:customStyle="1" w:styleId="ListRoman4Char1">
    <w:name w:val="List Roman 4 Char1"/>
    <w:basedOn w:val="ListNumber4Char"/>
    <w:link w:val="ListRoman4"/>
    <w:uiPriority w:val="99"/>
    <w:rsid w:val="00983AB4"/>
    <w:rPr>
      <w:lang w:eastAsia="en-US"/>
    </w:rPr>
  </w:style>
  <w:style w:type="character" w:customStyle="1" w:styleId="ListAlpha4Char">
    <w:name w:val="List Alpha 4 Char"/>
    <w:basedOn w:val="ListRoman4Char1"/>
    <w:link w:val="ListAlpha4"/>
    <w:uiPriority w:val="99"/>
    <w:rsid w:val="00A54AC0"/>
    <w:rPr>
      <w:lang w:eastAsia="en-US"/>
    </w:rPr>
  </w:style>
  <w:style w:type="paragraph" w:customStyle="1" w:styleId="ListAlpha6">
    <w:name w:val="List Alpha 6"/>
    <w:basedOn w:val="ListRoman6"/>
    <w:link w:val="ListAlpha6Char"/>
    <w:uiPriority w:val="99"/>
    <w:rsid w:val="00A54AC0"/>
    <w:pPr>
      <w:numPr>
        <w:numId w:val="26"/>
      </w:numPr>
      <w:ind w:left="3399" w:hanging="562"/>
    </w:pPr>
  </w:style>
  <w:style w:type="character" w:customStyle="1" w:styleId="ListRoman5Char1">
    <w:name w:val="List Roman 5 Char1"/>
    <w:basedOn w:val="ListNumber5Char"/>
    <w:link w:val="ListRoman5"/>
    <w:uiPriority w:val="99"/>
    <w:rsid w:val="00983AB4"/>
    <w:rPr>
      <w:lang w:eastAsia="en-US"/>
    </w:rPr>
  </w:style>
  <w:style w:type="character" w:customStyle="1" w:styleId="ListAlpha5Char">
    <w:name w:val="List Alpha 5 Char"/>
    <w:basedOn w:val="ListRoman5Char1"/>
    <w:link w:val="ListAlpha5"/>
    <w:uiPriority w:val="99"/>
    <w:rsid w:val="00A54AC0"/>
    <w:rPr>
      <w:lang w:eastAsia="en-US"/>
    </w:rPr>
  </w:style>
  <w:style w:type="paragraph" w:customStyle="1" w:styleId="ListAlpha7">
    <w:name w:val="List Alpha 7"/>
    <w:basedOn w:val="ListRoman7"/>
    <w:link w:val="ListAlpha7Char"/>
    <w:uiPriority w:val="99"/>
    <w:rsid w:val="00A54AC0"/>
    <w:pPr>
      <w:numPr>
        <w:numId w:val="27"/>
      </w:numPr>
      <w:ind w:left="3960" w:hanging="562"/>
    </w:pPr>
  </w:style>
  <w:style w:type="character" w:customStyle="1" w:styleId="ListRoman6Char1">
    <w:name w:val="List Roman 6 Char1"/>
    <w:basedOn w:val="ListNumber6Char1"/>
    <w:link w:val="ListRoman6"/>
    <w:uiPriority w:val="99"/>
    <w:rsid w:val="00983AB4"/>
    <w:rPr>
      <w:lang w:eastAsia="en-US"/>
    </w:rPr>
  </w:style>
  <w:style w:type="character" w:customStyle="1" w:styleId="ListAlpha6Char">
    <w:name w:val="List Alpha 6 Char"/>
    <w:basedOn w:val="ListRoman6Char1"/>
    <w:link w:val="ListAlpha6"/>
    <w:uiPriority w:val="99"/>
    <w:rsid w:val="00A54AC0"/>
    <w:rPr>
      <w:lang w:eastAsia="en-US"/>
    </w:rPr>
  </w:style>
  <w:style w:type="paragraph" w:customStyle="1" w:styleId="ListAlpha8">
    <w:name w:val="List Alpha 8"/>
    <w:basedOn w:val="ListRoman8"/>
    <w:link w:val="ListAlpha8Char"/>
    <w:uiPriority w:val="99"/>
    <w:rsid w:val="00A54AC0"/>
    <w:pPr>
      <w:numPr>
        <w:numId w:val="28"/>
      </w:numPr>
      <w:ind w:hanging="562"/>
    </w:pPr>
  </w:style>
  <w:style w:type="character" w:customStyle="1" w:styleId="ListAlpha7Char">
    <w:name w:val="List Alpha 7 Char"/>
    <w:basedOn w:val="ListRoman7Char"/>
    <w:link w:val="ListAlpha7"/>
    <w:uiPriority w:val="99"/>
    <w:rsid w:val="00A54AC0"/>
    <w:rPr>
      <w:lang w:eastAsia="en-US"/>
    </w:rPr>
  </w:style>
  <w:style w:type="paragraph" w:customStyle="1" w:styleId="ListAlpha9">
    <w:name w:val="List Alpha 9"/>
    <w:basedOn w:val="ListRoman9"/>
    <w:link w:val="ListAlpha9Char"/>
    <w:uiPriority w:val="99"/>
    <w:rsid w:val="00A54AC0"/>
    <w:pPr>
      <w:numPr>
        <w:numId w:val="29"/>
      </w:numPr>
      <w:ind w:left="5098" w:hanging="562"/>
    </w:pPr>
  </w:style>
  <w:style w:type="character" w:customStyle="1" w:styleId="ListAlpha8Char">
    <w:name w:val="List Alpha 8 Char"/>
    <w:basedOn w:val="ListRoman8Char"/>
    <w:link w:val="ListAlpha8"/>
    <w:uiPriority w:val="99"/>
    <w:rsid w:val="00A54AC0"/>
    <w:rPr>
      <w:lang w:eastAsia="en-US"/>
    </w:rPr>
  </w:style>
  <w:style w:type="character" w:customStyle="1" w:styleId="ListAlpha9Char">
    <w:name w:val="List Alpha 9 Char"/>
    <w:basedOn w:val="ListRoman9Char"/>
    <w:link w:val="ListAlpha9"/>
    <w:uiPriority w:val="99"/>
    <w:rsid w:val="00A54AC0"/>
    <w:rPr>
      <w:lang w:eastAsia="en-US"/>
    </w:rPr>
  </w:style>
  <w:style w:type="paragraph" w:customStyle="1" w:styleId="PwCAddress">
    <w:name w:val="PwC Address"/>
    <w:basedOn w:val="Normal"/>
    <w:link w:val="PwCAddressChar"/>
    <w:uiPriority w:val="99"/>
    <w:semiHidden/>
    <w:qFormat/>
    <w:rsid w:val="007B0630"/>
    <w:pPr>
      <w:spacing w:line="200" w:lineRule="atLeast"/>
    </w:pPr>
    <w:rPr>
      <w:rFonts w:ascii="Georgia" w:eastAsia="Arial" w:hAnsi="Georgia"/>
      <w:i/>
      <w:noProof/>
      <w:sz w:val="18"/>
      <w:szCs w:val="22"/>
      <w:lang w:val="en-GB" w:eastAsia="en-GB"/>
    </w:rPr>
  </w:style>
  <w:style w:type="character" w:customStyle="1" w:styleId="PwCAddressChar">
    <w:name w:val="PwC Address Char"/>
    <w:basedOn w:val="DefaultParagraphFont"/>
    <w:link w:val="PwCAddress"/>
    <w:uiPriority w:val="99"/>
    <w:semiHidden/>
    <w:rsid w:val="007B0630"/>
    <w:rPr>
      <w:i/>
      <w:noProof/>
      <w:sz w:val="18"/>
      <w:szCs w:val="22"/>
      <w:lang w:eastAsia="en-GB"/>
    </w:rPr>
  </w:style>
  <w:style w:type="numbering" w:customStyle="1" w:styleId="SmartNumbering">
    <w:name w:val="Smart Numbering"/>
    <w:uiPriority w:val="99"/>
    <w:rsid w:val="006E1FB0"/>
    <w:pPr>
      <w:numPr>
        <w:numId w:val="30"/>
      </w:numPr>
    </w:pPr>
  </w:style>
  <w:style w:type="numbering" w:customStyle="1" w:styleId="SmartBullets">
    <w:name w:val="Smart Bullets"/>
    <w:uiPriority w:val="99"/>
    <w:rsid w:val="006E1FB0"/>
    <w:pPr>
      <w:numPr>
        <w:numId w:val="31"/>
      </w:numPr>
    </w:pPr>
  </w:style>
  <w:style w:type="paragraph" w:customStyle="1" w:styleId="Dividerpage">
    <w:name w:val="Divider page"/>
    <w:uiPriority w:val="99"/>
    <w:semiHidden/>
    <w:unhideWhenUsed/>
    <w:qFormat/>
    <w:rsid w:val="007B0630"/>
    <w:pPr>
      <w:spacing w:after="240" w:line="240" w:lineRule="atLeast"/>
      <w:suppressOverlap/>
    </w:pPr>
    <w:rPr>
      <w:rFonts w:eastAsia="Times New Roman"/>
      <w:i/>
      <w:noProof/>
      <w:color w:val="FFFFFF"/>
      <w:kern w:val="28"/>
      <w:sz w:val="66"/>
      <w:szCs w:val="66"/>
      <w:lang w:val="en-US"/>
    </w:rPr>
  </w:style>
  <w:style w:type="table" w:customStyle="1" w:styleId="SmartColouredBoxTable">
    <w:name w:val="Smart Coloured Box Table"/>
    <w:basedOn w:val="TableNormal"/>
    <w:uiPriority w:val="99"/>
    <w:qFormat/>
    <w:rsid w:val="00857CB9"/>
    <w:pPr>
      <w:spacing w:before="60" w:after="60"/>
    </w:pPr>
    <w:tblPr>
      <w:tblBorders>
        <w:top w:val="single" w:sz="4" w:space="0" w:color="FFFFFF"/>
        <w:left w:val="single" w:sz="4" w:space="0" w:color="FFFFFF"/>
        <w:bottom w:val="single" w:sz="4" w:space="0" w:color="FFFFFF"/>
        <w:right w:val="single" w:sz="4" w:space="0" w:color="FFFFFF"/>
        <w:insideH w:val="single" w:sz="4" w:space="0" w:color="FFFFFF"/>
      </w:tblBorders>
    </w:tblPr>
    <w:tblStylePr w:type="firstRow">
      <w:rPr>
        <w:rFonts w:ascii="Georgia" w:hAnsi="Georgia"/>
        <w:b/>
        <w:color w:val="A32020"/>
        <w:sz w:val="22"/>
      </w:rPr>
      <w:tblPr/>
      <w:tcPr>
        <w:shd w:val="clear" w:color="auto" w:fill="FFFFFF"/>
      </w:tcPr>
    </w:tblStylePr>
    <w:tblStylePr w:type="firstCol">
      <w:tblPr/>
      <w:tcPr>
        <w:shd w:val="clear" w:color="auto" w:fill="F4CACA"/>
      </w:tcPr>
    </w:tblStylePr>
  </w:style>
  <w:style w:type="table" w:customStyle="1" w:styleId="SmartListTable">
    <w:name w:val="Smart List Table"/>
    <w:basedOn w:val="TableNormal"/>
    <w:uiPriority w:val="99"/>
    <w:qFormat/>
    <w:rsid w:val="00857CB9"/>
    <w:pPr>
      <w:spacing w:before="60" w:after="60"/>
    </w:pPr>
    <w:tblPr/>
    <w:tblStylePr w:type="firstRow">
      <w:rPr>
        <w:rFonts w:ascii="Georgia" w:hAnsi="Georgia"/>
        <w:b/>
        <w:color w:val="A32020"/>
        <w:sz w:val="22"/>
      </w:rPr>
      <w:tblPr/>
      <w:tcPr>
        <w:tcBorders>
          <w:bottom w:val="single" w:sz="4" w:space="0" w:color="A32020"/>
        </w:tcBorders>
      </w:tcPr>
    </w:tblStylePr>
  </w:style>
  <w:style w:type="paragraph" w:customStyle="1" w:styleId="PreSection1Heading2">
    <w:name w:val="Pre Section 1 Heading 2"/>
    <w:basedOn w:val="Heading2"/>
    <w:link w:val="PreSection1Heading2Char"/>
    <w:uiPriority w:val="99"/>
    <w:qFormat/>
    <w:rsid w:val="007B0630"/>
    <w:pPr>
      <w:ind w:left="360" w:hanging="360"/>
    </w:pPr>
  </w:style>
  <w:style w:type="paragraph" w:customStyle="1" w:styleId="PreSection1Heading3">
    <w:name w:val="Pre Section 1 Heading 3"/>
    <w:basedOn w:val="Heading3"/>
    <w:link w:val="PreSection1Heading3Char"/>
    <w:uiPriority w:val="99"/>
    <w:rsid w:val="00976169"/>
    <w:pPr>
      <w:numPr>
        <w:ilvl w:val="0"/>
        <w:numId w:val="0"/>
      </w:numPr>
      <w:ind w:left="360" w:hanging="360"/>
    </w:pPr>
    <w:rPr>
      <w:noProof/>
    </w:rPr>
  </w:style>
  <w:style w:type="character" w:customStyle="1" w:styleId="PreSection1Heading2Char">
    <w:name w:val="Pre Section 1 Heading 2 Char"/>
    <w:basedOn w:val="Heading2Char"/>
    <w:link w:val="PreSection1Heading2"/>
    <w:uiPriority w:val="99"/>
    <w:rsid w:val="007B0630"/>
    <w:rPr>
      <w:rFonts w:ascii="Georgia" w:eastAsia="Times New Roman" w:hAnsi="Georgia" w:cs="Times New Roman"/>
      <w:b/>
      <w:bCs/>
      <w:i/>
      <w:color w:val="A32020"/>
      <w:sz w:val="32"/>
      <w:szCs w:val="26"/>
      <w:lang w:val="en-US" w:eastAsia="en-US"/>
    </w:rPr>
  </w:style>
  <w:style w:type="paragraph" w:customStyle="1" w:styleId="PreSection1Heading4">
    <w:name w:val="Pre Section 1 Heading 4"/>
    <w:basedOn w:val="Heading4"/>
    <w:link w:val="PreSection1Heading4Char"/>
    <w:uiPriority w:val="99"/>
    <w:rsid w:val="00976169"/>
    <w:pPr>
      <w:numPr>
        <w:ilvl w:val="0"/>
        <w:numId w:val="0"/>
      </w:numPr>
      <w:ind w:left="360" w:hanging="360"/>
    </w:pPr>
    <w:rPr>
      <w:noProof/>
    </w:rPr>
  </w:style>
  <w:style w:type="character" w:customStyle="1" w:styleId="PreSection1Heading3Char">
    <w:name w:val="Pre Section 1 Heading 3 Char"/>
    <w:basedOn w:val="Heading3Char"/>
    <w:link w:val="PreSection1Heading3"/>
    <w:uiPriority w:val="99"/>
    <w:rsid w:val="00983AB4"/>
    <w:rPr>
      <w:rFonts w:ascii="Georgia" w:eastAsia="Times New Roman" w:hAnsi="Georgia" w:cs="Times New Roman"/>
      <w:b/>
      <w:bCs/>
      <w:i/>
      <w:noProof/>
      <w:color w:val="A32020"/>
      <w:sz w:val="28"/>
      <w:szCs w:val="28"/>
      <w:lang w:val="en-US" w:eastAsia="en-US"/>
    </w:rPr>
  </w:style>
  <w:style w:type="paragraph" w:customStyle="1" w:styleId="PreSection1Heading5">
    <w:name w:val="Pre Section 1 Heading 5"/>
    <w:basedOn w:val="Heading5"/>
    <w:link w:val="PreSection1Heading5Char"/>
    <w:uiPriority w:val="99"/>
    <w:rsid w:val="00976169"/>
    <w:pPr>
      <w:numPr>
        <w:ilvl w:val="0"/>
        <w:numId w:val="0"/>
      </w:numPr>
      <w:ind w:left="360" w:hanging="360"/>
    </w:pPr>
    <w:rPr>
      <w:noProof/>
    </w:rPr>
  </w:style>
  <w:style w:type="character" w:customStyle="1" w:styleId="PreSection1Heading4Char">
    <w:name w:val="Pre Section 1 Heading 4 Char"/>
    <w:basedOn w:val="Heading4Char"/>
    <w:link w:val="PreSection1Heading4"/>
    <w:uiPriority w:val="99"/>
    <w:rsid w:val="00983AB4"/>
    <w:rPr>
      <w:rFonts w:ascii="Georgia" w:eastAsia="Times New Roman" w:hAnsi="Georgia" w:cs="Times New Roman"/>
      <w:bCs/>
      <w:i/>
      <w:iCs/>
      <w:noProof/>
      <w:color w:val="A32020"/>
      <w:sz w:val="28"/>
      <w:szCs w:val="28"/>
      <w:lang w:eastAsia="en-US"/>
    </w:rPr>
  </w:style>
  <w:style w:type="paragraph" w:customStyle="1" w:styleId="Disclaimer">
    <w:name w:val="Disclaimer"/>
    <w:basedOn w:val="Normal"/>
    <w:link w:val="DisclaimerChar"/>
    <w:uiPriority w:val="99"/>
    <w:semiHidden/>
    <w:rsid w:val="006C2FA8"/>
    <w:pPr>
      <w:spacing w:line="140" w:lineRule="atLeast"/>
    </w:pPr>
    <w:rPr>
      <w:rFonts w:ascii="Arial" w:eastAsia="Arial" w:hAnsi="Arial" w:cs="Arial"/>
      <w:noProof/>
      <w:sz w:val="12"/>
      <w:szCs w:val="22"/>
      <w:lang w:val="en-GB" w:eastAsia="en-GB"/>
    </w:rPr>
  </w:style>
  <w:style w:type="character" w:customStyle="1" w:styleId="PreSection1Heading5Char">
    <w:name w:val="Pre Section 1 Heading 5 Char"/>
    <w:basedOn w:val="Heading5Char"/>
    <w:link w:val="PreSection1Heading5"/>
    <w:uiPriority w:val="99"/>
    <w:rsid w:val="00983AB4"/>
    <w:rPr>
      <w:rFonts w:ascii="Georgia" w:eastAsia="Times New Roman" w:hAnsi="Georgia" w:cs="Times New Roman"/>
      <w:i/>
      <w:noProof/>
      <w:color w:val="A32020"/>
      <w:sz w:val="24"/>
      <w:szCs w:val="24"/>
      <w:lang w:eastAsia="en-US"/>
    </w:rPr>
  </w:style>
  <w:style w:type="character" w:customStyle="1" w:styleId="DisclaimerChar">
    <w:name w:val="Disclaimer Char"/>
    <w:basedOn w:val="DefaultParagraphFont"/>
    <w:link w:val="Disclaimer"/>
    <w:uiPriority w:val="99"/>
    <w:semiHidden/>
    <w:rsid w:val="00983AB4"/>
    <w:rPr>
      <w:rFonts w:ascii="Arial" w:hAnsi="Arial" w:cs="Arial"/>
      <w:noProof/>
      <w:sz w:val="12"/>
      <w:szCs w:val="22"/>
      <w:lang w:eastAsia="en-GB"/>
    </w:rPr>
  </w:style>
  <w:style w:type="table" w:customStyle="1" w:styleId="SmartClassicTable">
    <w:name w:val="Smart Classic Table"/>
    <w:basedOn w:val="TableNormal"/>
    <w:uiPriority w:val="99"/>
    <w:qFormat/>
    <w:rsid w:val="00855492"/>
    <w:pPr>
      <w:spacing w:before="60" w:after="60"/>
    </w:pPr>
    <w:tblPr>
      <w:tblBorders>
        <w:top w:val="single" w:sz="4" w:space="0" w:color="A32020"/>
        <w:left w:val="single" w:sz="4" w:space="0" w:color="A32020"/>
        <w:bottom w:val="single" w:sz="4" w:space="0" w:color="A32020"/>
        <w:right w:val="single" w:sz="4" w:space="0" w:color="A32020"/>
        <w:insideH w:val="single" w:sz="4" w:space="0" w:color="A32020"/>
        <w:insideV w:val="single" w:sz="4" w:space="0" w:color="A32020"/>
      </w:tblBorders>
    </w:tblPr>
    <w:tblStylePr w:type="firstRow">
      <w:rPr>
        <w:rFonts w:ascii="Georgia" w:hAnsi="Georgia"/>
        <w:b/>
        <w:color w:val="A32020"/>
        <w:sz w:val="22"/>
      </w:rPr>
    </w:tblStylePr>
  </w:style>
  <w:style w:type="table" w:customStyle="1" w:styleId="SmartBasicTable">
    <w:name w:val="Smart Basic Table"/>
    <w:basedOn w:val="TableNormal"/>
    <w:uiPriority w:val="99"/>
    <w:qFormat/>
    <w:rsid w:val="00857CB9"/>
    <w:pPr>
      <w:spacing w:before="60" w:after="60"/>
    </w:pPr>
    <w:tblPr/>
    <w:tblStylePr w:type="firstRow">
      <w:rPr>
        <w:rFonts w:ascii="Georgia" w:hAnsi="Georgia"/>
        <w:b/>
        <w:color w:val="A32020"/>
        <w:sz w:val="22"/>
      </w:rPr>
    </w:tblStylePr>
    <w:tblStylePr w:type="firstCol">
      <w:rPr>
        <w:i/>
      </w:rPr>
    </w:tblStylePr>
  </w:style>
  <w:style w:type="paragraph" w:styleId="FootnoteText">
    <w:name w:val="footnote text"/>
    <w:aliases w:val="ft,fn,FT,Char,Footnote Text Char1,Footnote Text Char1 Char Char,Footnote Text Char Char1 Char Char,FT Char Char1 Char Char,fn Char Char Char Char,Footnote Text Char Char1,FT Char Char1,FT Char Char1 Char,Testo_note Char, Char,fn Char Char"/>
    <w:basedOn w:val="Normal"/>
    <w:link w:val="FootnoteTextChar"/>
    <w:uiPriority w:val="99"/>
    <w:unhideWhenUsed/>
    <w:qFormat/>
    <w:rsid w:val="00FD679D"/>
    <w:pPr>
      <w:tabs>
        <w:tab w:val="left" w:pos="360"/>
      </w:tabs>
      <w:ind w:left="360" w:hanging="360"/>
    </w:pPr>
    <w:rPr>
      <w:rFonts w:ascii="Georgia" w:eastAsiaTheme="minorHAnsi" w:hAnsi="Georgia" w:cstheme="minorBidi"/>
      <w:sz w:val="16"/>
      <w:szCs w:val="20"/>
      <w:lang w:val="en-US"/>
    </w:rPr>
  </w:style>
  <w:style w:type="character" w:customStyle="1" w:styleId="FootnoteTextChar">
    <w:name w:val="Footnote Text Char"/>
    <w:aliases w:val="ft Char,fn Char,FT Char,Char Char,Footnote Text Char1 Char,Footnote Text Char1 Char Char Char,Footnote Text Char Char1 Char Char Char,FT Char Char1 Char Char Char,fn Char Char Char Char Char,Footnote Text Char Char1 Char, Char Char"/>
    <w:basedOn w:val="DefaultParagraphFont"/>
    <w:link w:val="FootnoteText"/>
    <w:uiPriority w:val="99"/>
    <w:rsid w:val="00FD679D"/>
    <w:rPr>
      <w:rFonts w:eastAsiaTheme="minorHAnsi" w:cstheme="minorBidi"/>
      <w:sz w:val="16"/>
      <w:lang w:val="en-US" w:eastAsia="en-US"/>
    </w:rPr>
  </w:style>
  <w:style w:type="character" w:styleId="FootnoteReference">
    <w:name w:val="footnote reference"/>
    <w:aliases w:val="fr,Style 49,Footnote EY Interstate,Footnote Arial 8 single space,fr + (Latin) Arial,(Asian) Arial,Black,Black + 10 pt,Black + (Latin) Arial,Style 18,fr1,fr2,fr3,Style 491,Style 181,fr11,fr4,Style 492,Style 182,fr12,fr5,Style 493,fr13"/>
    <w:basedOn w:val="DefaultParagraphFont"/>
    <w:uiPriority w:val="99"/>
    <w:unhideWhenUsed/>
    <w:qFormat/>
    <w:rsid w:val="00FD679D"/>
    <w:rPr>
      <w:vertAlign w:val="superscript"/>
    </w:rPr>
  </w:style>
  <w:style w:type="table" w:styleId="TableGrid">
    <w:name w:val="Table Grid"/>
    <w:aliases w:val="Smart Text Table"/>
    <w:basedOn w:val="TableNormal"/>
    <w:uiPriority w:val="59"/>
    <w:rsid w:val="000731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rsid w:val="000731E2"/>
    <w:rPr>
      <w:rFonts w:ascii="Georgia" w:eastAsia="Arial" w:hAnsi="Georgia"/>
      <w:sz w:val="20"/>
      <w:szCs w:val="20"/>
      <w:lang w:val="en-GB"/>
    </w:rPr>
  </w:style>
  <w:style w:type="character" w:customStyle="1" w:styleId="EndnoteTextChar">
    <w:name w:val="Endnote Text Char"/>
    <w:basedOn w:val="DefaultParagraphFont"/>
    <w:link w:val="EndnoteText"/>
    <w:uiPriority w:val="99"/>
    <w:semiHidden/>
    <w:rsid w:val="00983AB4"/>
  </w:style>
  <w:style w:type="character" w:styleId="EndnoteReference">
    <w:name w:val="endnote reference"/>
    <w:basedOn w:val="DefaultParagraphFont"/>
    <w:uiPriority w:val="99"/>
    <w:semiHidden/>
    <w:rsid w:val="000731E2"/>
    <w:rPr>
      <w:vertAlign w:val="superscript"/>
    </w:rPr>
  </w:style>
  <w:style w:type="paragraph" w:styleId="ListParagraph">
    <w:name w:val="List Paragraph"/>
    <w:aliases w:val="TP Report List Paragraph,henry cuerpo,Level 3,List Paragraph1,level2"/>
    <w:basedOn w:val="Normal"/>
    <w:link w:val="ListParagraphChar"/>
    <w:uiPriority w:val="34"/>
    <w:unhideWhenUsed/>
    <w:qFormat/>
    <w:rsid w:val="00A54AC0"/>
    <w:pPr>
      <w:spacing w:before="120" w:after="240" w:line="240" w:lineRule="atLeast"/>
      <w:ind w:left="720"/>
      <w:contextualSpacing/>
    </w:pPr>
    <w:rPr>
      <w:rFonts w:ascii="Georgia" w:eastAsia="Arial" w:hAnsi="Georgia"/>
      <w:sz w:val="20"/>
      <w:szCs w:val="20"/>
      <w:lang w:val="en-GB"/>
    </w:rPr>
  </w:style>
  <w:style w:type="paragraph" w:customStyle="1" w:styleId="TableText">
    <w:name w:val="Table Text"/>
    <w:basedOn w:val="Normal"/>
    <w:semiHidden/>
    <w:rsid w:val="00DF3F34"/>
    <w:pPr>
      <w:spacing w:before="60" w:after="60" w:line="264" w:lineRule="auto"/>
      <w:jc w:val="both"/>
    </w:pPr>
    <w:rPr>
      <w:rFonts w:ascii="Arial" w:eastAsia="PMingLiU" w:hAnsi="Arial"/>
      <w:sz w:val="16"/>
      <w:szCs w:val="20"/>
      <w:lang w:val="en-US"/>
    </w:rPr>
  </w:style>
  <w:style w:type="paragraph" w:customStyle="1" w:styleId="TableColumnHeader">
    <w:name w:val="Table Column Header"/>
    <w:basedOn w:val="Normal"/>
    <w:semiHidden/>
    <w:rsid w:val="00DF3F34"/>
    <w:pPr>
      <w:pBdr>
        <w:top w:val="single" w:sz="4" w:space="3" w:color="FFFFFF"/>
        <w:left w:val="single" w:sz="4" w:space="6" w:color="FFFFFF"/>
        <w:bottom w:val="single" w:sz="4" w:space="3" w:color="FFFFFF"/>
        <w:right w:val="single" w:sz="4" w:space="6" w:color="FFFFFF"/>
      </w:pBdr>
      <w:shd w:val="clear" w:color="auto" w:fill="00A5D9"/>
      <w:spacing w:line="240" w:lineRule="atLeast"/>
    </w:pPr>
    <w:rPr>
      <w:rFonts w:ascii="Arial" w:eastAsia="PMingLiU" w:hAnsi="Arial" w:cs="Arial"/>
      <w:b/>
      <w:color w:val="FFFFFF"/>
      <w:sz w:val="16"/>
      <w:szCs w:val="36"/>
      <w:lang w:val="es-ES"/>
    </w:rPr>
  </w:style>
  <w:style w:type="numbering" w:customStyle="1" w:styleId="SmartListalpha">
    <w:name w:val="Smart List alpha"/>
    <w:uiPriority w:val="99"/>
    <w:rsid w:val="00FB523B"/>
    <w:pPr>
      <w:numPr>
        <w:numId w:val="39"/>
      </w:numPr>
    </w:pPr>
  </w:style>
  <w:style w:type="numbering" w:customStyle="1" w:styleId="SmartSectionHeadingsList">
    <w:name w:val="Smart Section Headings List"/>
    <w:uiPriority w:val="99"/>
    <w:rsid w:val="00FB523B"/>
    <w:pPr>
      <w:numPr>
        <w:numId w:val="40"/>
      </w:numPr>
    </w:pPr>
  </w:style>
  <w:style w:type="character" w:styleId="CommentReference">
    <w:name w:val="annotation reference"/>
    <w:basedOn w:val="DefaultParagraphFont"/>
    <w:uiPriority w:val="99"/>
    <w:rsid w:val="00C06E58"/>
    <w:rPr>
      <w:sz w:val="16"/>
      <w:szCs w:val="16"/>
    </w:rPr>
  </w:style>
  <w:style w:type="paragraph" w:styleId="CommentText">
    <w:name w:val="annotation text"/>
    <w:basedOn w:val="Normal"/>
    <w:link w:val="CommentTextChar"/>
    <w:uiPriority w:val="99"/>
    <w:rsid w:val="00C06E58"/>
    <w:pPr>
      <w:spacing w:after="240"/>
    </w:pPr>
    <w:rPr>
      <w:rFonts w:ascii="Georgia" w:eastAsia="Arial" w:hAnsi="Georgia"/>
      <w:sz w:val="20"/>
      <w:szCs w:val="20"/>
      <w:lang w:val="en-GB"/>
    </w:rPr>
  </w:style>
  <w:style w:type="character" w:customStyle="1" w:styleId="CommentTextChar">
    <w:name w:val="Comment Text Char"/>
    <w:basedOn w:val="DefaultParagraphFont"/>
    <w:link w:val="CommentText"/>
    <w:uiPriority w:val="99"/>
    <w:rsid w:val="00C06E58"/>
    <w:rPr>
      <w:lang w:eastAsia="en-US"/>
    </w:rPr>
  </w:style>
  <w:style w:type="paragraph" w:styleId="CommentSubject">
    <w:name w:val="annotation subject"/>
    <w:basedOn w:val="CommentText"/>
    <w:next w:val="CommentText"/>
    <w:link w:val="CommentSubjectChar"/>
    <w:uiPriority w:val="99"/>
    <w:semiHidden/>
    <w:rsid w:val="00C06E58"/>
    <w:rPr>
      <w:b/>
      <w:bCs/>
    </w:rPr>
  </w:style>
  <w:style w:type="character" w:customStyle="1" w:styleId="CommentSubjectChar">
    <w:name w:val="Comment Subject Char"/>
    <w:basedOn w:val="CommentTextChar"/>
    <w:link w:val="CommentSubject"/>
    <w:uiPriority w:val="99"/>
    <w:semiHidden/>
    <w:rsid w:val="00C06E58"/>
    <w:rPr>
      <w:b/>
      <w:bCs/>
      <w:lang w:eastAsia="en-US"/>
    </w:rPr>
  </w:style>
  <w:style w:type="paragraph" w:styleId="BodyText2">
    <w:name w:val="Body Text 2"/>
    <w:basedOn w:val="Normal"/>
    <w:link w:val="BodyText2Char"/>
    <w:uiPriority w:val="99"/>
    <w:semiHidden/>
    <w:rsid w:val="000637C9"/>
    <w:pPr>
      <w:spacing w:after="120" w:line="480" w:lineRule="auto"/>
    </w:pPr>
    <w:rPr>
      <w:rFonts w:ascii="Georgia" w:eastAsia="Arial" w:hAnsi="Georgia"/>
      <w:sz w:val="20"/>
      <w:szCs w:val="20"/>
      <w:lang w:val="en-GB"/>
    </w:rPr>
  </w:style>
  <w:style w:type="character" w:customStyle="1" w:styleId="BodyText2Char">
    <w:name w:val="Body Text 2 Char"/>
    <w:basedOn w:val="DefaultParagraphFont"/>
    <w:link w:val="BodyText2"/>
    <w:uiPriority w:val="99"/>
    <w:semiHidden/>
    <w:rsid w:val="000637C9"/>
    <w:rPr>
      <w:lang w:eastAsia="en-US"/>
    </w:rPr>
  </w:style>
  <w:style w:type="paragraph" w:styleId="Revision">
    <w:name w:val="Revision"/>
    <w:hidden/>
    <w:uiPriority w:val="99"/>
    <w:semiHidden/>
    <w:rsid w:val="00E8566B"/>
    <w:rPr>
      <w:lang w:eastAsia="en-US"/>
    </w:rPr>
  </w:style>
  <w:style w:type="character" w:styleId="FollowedHyperlink">
    <w:name w:val="FollowedHyperlink"/>
    <w:basedOn w:val="DefaultParagraphFont"/>
    <w:uiPriority w:val="99"/>
    <w:semiHidden/>
    <w:rsid w:val="00490E08"/>
    <w:rPr>
      <w:color w:val="8C8C8C" w:themeColor="followedHyperlink"/>
      <w:u w:val="single"/>
    </w:rPr>
  </w:style>
  <w:style w:type="numbering" w:customStyle="1" w:styleId="SmartExhibits">
    <w:name w:val="Smart Exhibits"/>
    <w:uiPriority w:val="99"/>
    <w:rsid w:val="00B64D40"/>
    <w:pPr>
      <w:numPr>
        <w:numId w:val="42"/>
      </w:numPr>
    </w:pPr>
  </w:style>
  <w:style w:type="character" w:customStyle="1" w:styleId="CaptionChar">
    <w:name w:val="Caption Char"/>
    <w:aliases w:val="for exhibit titles Char,for exhibit titles1 Char,for exhibit titles2 Char,for exhibit titles11 Char"/>
    <w:basedOn w:val="DefaultParagraphFont"/>
    <w:link w:val="Caption"/>
    <w:uiPriority w:val="99"/>
    <w:locked/>
    <w:rsid w:val="00B64D40"/>
    <w:rPr>
      <w:b/>
      <w:bCs/>
      <w:color w:val="A32020"/>
      <w:szCs w:val="18"/>
      <w:lang w:eastAsia="en-US"/>
    </w:rPr>
  </w:style>
  <w:style w:type="paragraph" w:customStyle="1" w:styleId="Stylebodytext2Linespacing15lines">
    <w:name w:val="Style body text 2 + Line spacing:  1.5 lines"/>
    <w:basedOn w:val="Normal"/>
    <w:rsid w:val="00B64D40"/>
    <w:pPr>
      <w:spacing w:after="240" w:line="360" w:lineRule="auto"/>
      <w:jc w:val="both"/>
    </w:pPr>
    <w:rPr>
      <w:rFonts w:ascii="Arial" w:hAnsi="Arial"/>
      <w:sz w:val="20"/>
      <w:szCs w:val="20"/>
      <w:lang w:val="en-US"/>
    </w:rPr>
  </w:style>
  <w:style w:type="paragraph" w:styleId="NormalWeb">
    <w:name w:val="Normal (Web)"/>
    <w:basedOn w:val="Normal"/>
    <w:uiPriority w:val="99"/>
    <w:unhideWhenUsed/>
    <w:rsid w:val="0092598E"/>
    <w:pPr>
      <w:spacing w:before="100" w:beforeAutospacing="1" w:after="100" w:afterAutospacing="1"/>
    </w:pPr>
    <w:rPr>
      <w:lang w:val="en-US"/>
    </w:rPr>
  </w:style>
  <w:style w:type="character" w:customStyle="1" w:styleId="ListParagraphChar">
    <w:name w:val="List Paragraph Char"/>
    <w:aliases w:val="TP Report List Paragraph Char,henry cuerpo Char,Level 3 Char,List Paragraph1 Char,level2 Char"/>
    <w:basedOn w:val="DefaultParagraphFont"/>
    <w:link w:val="ListParagraph"/>
    <w:uiPriority w:val="34"/>
    <w:rsid w:val="00D15708"/>
    <w:rPr>
      <w:lang w:eastAsia="en-US"/>
    </w:rPr>
  </w:style>
  <w:style w:type="character" w:customStyle="1" w:styleId="apple-converted-space">
    <w:name w:val="apple-converted-space"/>
    <w:basedOn w:val="DefaultParagraphFont"/>
    <w:rsid w:val="00ED6670"/>
  </w:style>
  <w:style w:type="paragraph" w:styleId="DocumentMap">
    <w:name w:val="Document Map"/>
    <w:basedOn w:val="Normal"/>
    <w:link w:val="DocumentMapChar"/>
    <w:uiPriority w:val="99"/>
    <w:semiHidden/>
    <w:unhideWhenUsed/>
    <w:rsid w:val="00ED6670"/>
    <w:rPr>
      <w:rFonts w:eastAsia="Arial"/>
      <w:lang w:val="en-GB"/>
    </w:rPr>
  </w:style>
  <w:style w:type="character" w:customStyle="1" w:styleId="DocumentMapChar">
    <w:name w:val="Document Map Char"/>
    <w:basedOn w:val="DefaultParagraphFont"/>
    <w:link w:val="DocumentMap"/>
    <w:uiPriority w:val="99"/>
    <w:semiHidden/>
    <w:rsid w:val="00ED6670"/>
    <w:rPr>
      <w:rFonts w:ascii="Times New Roman" w:hAnsi="Times New Roman"/>
      <w:sz w:val="24"/>
      <w:szCs w:val="24"/>
      <w:lang w:eastAsia="en-US"/>
    </w:rPr>
  </w:style>
  <w:style w:type="table" w:customStyle="1" w:styleId="SmartClassicTable1">
    <w:name w:val="Smart Classic Table1"/>
    <w:basedOn w:val="TableNormal"/>
    <w:uiPriority w:val="99"/>
    <w:qFormat/>
    <w:rsid w:val="00945134"/>
    <w:pPr>
      <w:spacing w:before="60" w:after="60"/>
    </w:pPr>
    <w:rPr>
      <w:lang w:eastAsia="en-US"/>
    </w:rPr>
    <w:tblPr>
      <w:tblBorders>
        <w:top w:val="single" w:sz="4" w:space="0" w:color="A32020"/>
        <w:left w:val="single" w:sz="4" w:space="0" w:color="A32020"/>
        <w:bottom w:val="single" w:sz="4" w:space="0" w:color="A32020"/>
        <w:right w:val="single" w:sz="4" w:space="0" w:color="A32020"/>
        <w:insideH w:val="single" w:sz="4" w:space="0" w:color="A32020"/>
        <w:insideV w:val="single" w:sz="4" w:space="0" w:color="A32020"/>
      </w:tblBorders>
    </w:tblPr>
    <w:tblStylePr w:type="firstRow">
      <w:rPr>
        <w:rFonts w:ascii="Georgia" w:hAnsi="Georgia"/>
        <w:b/>
        <w:color w:val="A32020"/>
        <w:sz w:val="22"/>
      </w:rPr>
    </w:tblStylePr>
  </w:style>
  <w:style w:type="character" w:styleId="Emphasis">
    <w:name w:val="Emphasis"/>
    <w:basedOn w:val="DefaultParagraphFont"/>
    <w:uiPriority w:val="20"/>
    <w:qFormat/>
    <w:rsid w:val="005D444B"/>
    <w:rPr>
      <w:i/>
      <w:iCs/>
    </w:rPr>
  </w:style>
  <w:style w:type="table" w:customStyle="1" w:styleId="GridTable2-Accent21">
    <w:name w:val="Grid Table 2 - Accent 21"/>
    <w:basedOn w:val="TableNormal"/>
    <w:uiPriority w:val="47"/>
    <w:rsid w:val="001059A8"/>
    <w:tblPr>
      <w:tblStyleRowBandSize w:val="1"/>
      <w:tblStyleColBandSize w:val="1"/>
      <w:tblBorders>
        <w:top w:val="single" w:sz="2" w:space="0" w:color="DF9778" w:themeColor="accent2" w:themeTint="99"/>
        <w:bottom w:val="single" w:sz="2" w:space="0" w:color="DF9778" w:themeColor="accent2" w:themeTint="99"/>
        <w:insideH w:val="single" w:sz="2" w:space="0" w:color="DF9778" w:themeColor="accent2" w:themeTint="99"/>
        <w:insideV w:val="single" w:sz="2" w:space="0" w:color="DF9778" w:themeColor="accent2" w:themeTint="99"/>
      </w:tblBorders>
    </w:tblPr>
    <w:tblStylePr w:type="firstRow">
      <w:rPr>
        <w:b/>
        <w:bCs/>
      </w:rPr>
      <w:tblPr/>
      <w:tcPr>
        <w:tcBorders>
          <w:top w:val="nil"/>
          <w:bottom w:val="single" w:sz="12" w:space="0" w:color="DF9778" w:themeColor="accent2" w:themeTint="99"/>
          <w:insideH w:val="nil"/>
          <w:insideV w:val="nil"/>
        </w:tcBorders>
        <w:shd w:val="clear" w:color="auto" w:fill="FFFFFF" w:themeFill="background1"/>
      </w:tcPr>
    </w:tblStylePr>
    <w:tblStylePr w:type="lastRow">
      <w:rPr>
        <w:b/>
        <w:bCs/>
      </w:rPr>
      <w:tblPr/>
      <w:tcPr>
        <w:tcBorders>
          <w:top w:val="double" w:sz="2" w:space="0" w:color="DF977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CD1" w:themeFill="accent2" w:themeFillTint="33"/>
      </w:tcPr>
    </w:tblStylePr>
    <w:tblStylePr w:type="band1Horz">
      <w:tblPr/>
      <w:tcPr>
        <w:shd w:val="clear" w:color="auto" w:fill="F4DCD1" w:themeFill="accent2" w:themeFillTint="33"/>
      </w:tcPr>
    </w:tblStylePr>
  </w:style>
  <w:style w:type="table" w:customStyle="1" w:styleId="GridTable1Light-Accent61">
    <w:name w:val="Grid Table 1 Light - Accent 61"/>
    <w:basedOn w:val="TableNormal"/>
    <w:uiPriority w:val="46"/>
    <w:rsid w:val="006173F7"/>
    <w:tblPr>
      <w:tblStyleRowBandSize w:val="1"/>
      <w:tblStyleColBandSize w:val="1"/>
      <w:tblBorders>
        <w:top w:val="single" w:sz="4" w:space="0" w:color="D4D9CF" w:themeColor="accent6" w:themeTint="66"/>
        <w:left w:val="single" w:sz="4" w:space="0" w:color="D4D9CF" w:themeColor="accent6" w:themeTint="66"/>
        <w:bottom w:val="single" w:sz="4" w:space="0" w:color="D4D9CF" w:themeColor="accent6" w:themeTint="66"/>
        <w:right w:val="single" w:sz="4" w:space="0" w:color="D4D9CF" w:themeColor="accent6" w:themeTint="66"/>
        <w:insideH w:val="single" w:sz="4" w:space="0" w:color="D4D9CF" w:themeColor="accent6" w:themeTint="66"/>
        <w:insideV w:val="single" w:sz="4" w:space="0" w:color="D4D9CF" w:themeColor="accent6" w:themeTint="66"/>
      </w:tblBorders>
    </w:tblPr>
    <w:tblStylePr w:type="firstRow">
      <w:rPr>
        <w:b/>
        <w:bCs/>
      </w:rPr>
      <w:tblPr/>
      <w:tcPr>
        <w:tcBorders>
          <w:bottom w:val="single" w:sz="12" w:space="0" w:color="BEC6B7" w:themeColor="accent6" w:themeTint="99"/>
        </w:tcBorders>
      </w:tcPr>
    </w:tblStylePr>
    <w:tblStylePr w:type="lastRow">
      <w:rPr>
        <w:b/>
        <w:bCs/>
      </w:rPr>
      <w:tblPr/>
      <w:tcPr>
        <w:tcBorders>
          <w:top w:val="double" w:sz="2" w:space="0" w:color="BEC6B7" w:themeColor="accent6"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6173F7"/>
    <w:tblPr>
      <w:tblStyleRowBandSize w:val="1"/>
      <w:tblStyleColBandSize w:val="1"/>
      <w:tblBorders>
        <w:top w:val="single" w:sz="4" w:space="0" w:color="F3B46B" w:themeColor="accent1" w:themeTint="99"/>
        <w:left w:val="single" w:sz="4" w:space="0" w:color="F3B46B" w:themeColor="accent1" w:themeTint="99"/>
        <w:bottom w:val="single" w:sz="4" w:space="0" w:color="F3B46B" w:themeColor="accent1" w:themeTint="99"/>
        <w:right w:val="single" w:sz="4" w:space="0" w:color="F3B46B" w:themeColor="accent1" w:themeTint="99"/>
        <w:insideH w:val="single" w:sz="4" w:space="0" w:color="F3B46B" w:themeColor="accent1" w:themeTint="99"/>
        <w:insideV w:val="single" w:sz="4" w:space="0" w:color="F3B46B" w:themeColor="accent1" w:themeTint="99"/>
      </w:tblBorders>
    </w:tblPr>
    <w:tblStylePr w:type="firstRow">
      <w:rPr>
        <w:b/>
        <w:bCs/>
        <w:color w:val="FFFFFF" w:themeColor="background1"/>
      </w:rPr>
      <w:tblPr/>
      <w:tcPr>
        <w:tcBorders>
          <w:top w:val="single" w:sz="4" w:space="0" w:color="E48312" w:themeColor="accent1"/>
          <w:left w:val="single" w:sz="4" w:space="0" w:color="E48312" w:themeColor="accent1"/>
          <w:bottom w:val="single" w:sz="4" w:space="0" w:color="E48312" w:themeColor="accent1"/>
          <w:right w:val="single" w:sz="4" w:space="0" w:color="E48312" w:themeColor="accent1"/>
          <w:insideH w:val="nil"/>
          <w:insideV w:val="nil"/>
        </w:tcBorders>
        <w:shd w:val="clear" w:color="auto" w:fill="E48312" w:themeFill="accent1"/>
      </w:tcPr>
    </w:tblStylePr>
    <w:tblStylePr w:type="lastRow">
      <w:rPr>
        <w:b/>
        <w:bCs/>
      </w:rPr>
      <w:tblPr/>
      <w:tcPr>
        <w:tcBorders>
          <w:top w:val="double" w:sz="4" w:space="0" w:color="E48312" w:themeColor="accent1"/>
        </w:tcBorders>
      </w:tcPr>
    </w:tblStylePr>
    <w:tblStylePr w:type="firstCol">
      <w:rPr>
        <w:b/>
        <w:bCs/>
      </w:rPr>
    </w:tblStylePr>
    <w:tblStylePr w:type="lastCol">
      <w:rPr>
        <w:b/>
        <w:bCs/>
      </w:rPr>
    </w:tblStylePr>
    <w:tblStylePr w:type="band1Vert">
      <w:tblPr/>
      <w:tcPr>
        <w:shd w:val="clear" w:color="auto" w:fill="FBE6CD" w:themeFill="accent1" w:themeFillTint="33"/>
      </w:tcPr>
    </w:tblStylePr>
    <w:tblStylePr w:type="band1Horz">
      <w:tblPr/>
      <w:tcPr>
        <w:shd w:val="clear" w:color="auto" w:fill="FBE6CD" w:themeFill="accent1" w:themeFillTint="33"/>
      </w:tcPr>
    </w:tblStylePr>
  </w:style>
  <w:style w:type="table" w:customStyle="1" w:styleId="GridTable5Dark-Accent11">
    <w:name w:val="Grid Table 5 Dark - Accent 11"/>
    <w:basedOn w:val="TableNormal"/>
    <w:uiPriority w:val="50"/>
    <w:rsid w:val="006173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6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4831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4831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4831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48312" w:themeFill="accent1"/>
      </w:tcPr>
    </w:tblStylePr>
    <w:tblStylePr w:type="band1Vert">
      <w:tblPr/>
      <w:tcPr>
        <w:shd w:val="clear" w:color="auto" w:fill="F7CD9D" w:themeFill="accent1" w:themeFillTint="66"/>
      </w:tcPr>
    </w:tblStylePr>
    <w:tblStylePr w:type="band1Horz">
      <w:tblPr/>
      <w:tcPr>
        <w:shd w:val="clear" w:color="auto" w:fill="F7CD9D" w:themeFill="accent1" w:themeFillTint="66"/>
      </w:tcPr>
    </w:tblStylePr>
  </w:style>
  <w:style w:type="table" w:styleId="GridTable2">
    <w:name w:val="Grid Table 2"/>
    <w:basedOn w:val="TableNormal"/>
    <w:uiPriority w:val="47"/>
    <w:rsid w:val="00741FE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741F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3">
    <w:name w:val="Grid Table 3"/>
    <w:basedOn w:val="TableNormal"/>
    <w:uiPriority w:val="48"/>
    <w:rsid w:val="00741FE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0695">
      <w:bodyDiv w:val="1"/>
      <w:marLeft w:val="0"/>
      <w:marRight w:val="0"/>
      <w:marTop w:val="0"/>
      <w:marBottom w:val="0"/>
      <w:divBdr>
        <w:top w:val="none" w:sz="0" w:space="0" w:color="auto"/>
        <w:left w:val="none" w:sz="0" w:space="0" w:color="auto"/>
        <w:bottom w:val="none" w:sz="0" w:space="0" w:color="auto"/>
        <w:right w:val="none" w:sz="0" w:space="0" w:color="auto"/>
      </w:divBdr>
    </w:div>
    <w:div w:id="13265830">
      <w:bodyDiv w:val="1"/>
      <w:marLeft w:val="0"/>
      <w:marRight w:val="0"/>
      <w:marTop w:val="0"/>
      <w:marBottom w:val="0"/>
      <w:divBdr>
        <w:top w:val="none" w:sz="0" w:space="0" w:color="auto"/>
        <w:left w:val="none" w:sz="0" w:space="0" w:color="auto"/>
        <w:bottom w:val="none" w:sz="0" w:space="0" w:color="auto"/>
        <w:right w:val="none" w:sz="0" w:space="0" w:color="auto"/>
      </w:divBdr>
    </w:div>
    <w:div w:id="20709763">
      <w:bodyDiv w:val="1"/>
      <w:marLeft w:val="0"/>
      <w:marRight w:val="0"/>
      <w:marTop w:val="0"/>
      <w:marBottom w:val="0"/>
      <w:divBdr>
        <w:top w:val="none" w:sz="0" w:space="0" w:color="auto"/>
        <w:left w:val="none" w:sz="0" w:space="0" w:color="auto"/>
        <w:bottom w:val="none" w:sz="0" w:space="0" w:color="auto"/>
        <w:right w:val="none" w:sz="0" w:space="0" w:color="auto"/>
      </w:divBdr>
    </w:div>
    <w:div w:id="38552098">
      <w:bodyDiv w:val="1"/>
      <w:marLeft w:val="0"/>
      <w:marRight w:val="0"/>
      <w:marTop w:val="0"/>
      <w:marBottom w:val="0"/>
      <w:divBdr>
        <w:top w:val="none" w:sz="0" w:space="0" w:color="auto"/>
        <w:left w:val="none" w:sz="0" w:space="0" w:color="auto"/>
        <w:bottom w:val="none" w:sz="0" w:space="0" w:color="auto"/>
        <w:right w:val="none" w:sz="0" w:space="0" w:color="auto"/>
      </w:divBdr>
    </w:div>
    <w:div w:id="58330282">
      <w:bodyDiv w:val="1"/>
      <w:marLeft w:val="0"/>
      <w:marRight w:val="0"/>
      <w:marTop w:val="0"/>
      <w:marBottom w:val="0"/>
      <w:divBdr>
        <w:top w:val="none" w:sz="0" w:space="0" w:color="auto"/>
        <w:left w:val="none" w:sz="0" w:space="0" w:color="auto"/>
        <w:bottom w:val="none" w:sz="0" w:space="0" w:color="auto"/>
        <w:right w:val="none" w:sz="0" w:space="0" w:color="auto"/>
      </w:divBdr>
    </w:div>
    <w:div w:id="68114415">
      <w:bodyDiv w:val="1"/>
      <w:marLeft w:val="0"/>
      <w:marRight w:val="0"/>
      <w:marTop w:val="0"/>
      <w:marBottom w:val="0"/>
      <w:divBdr>
        <w:top w:val="none" w:sz="0" w:space="0" w:color="auto"/>
        <w:left w:val="none" w:sz="0" w:space="0" w:color="auto"/>
        <w:bottom w:val="none" w:sz="0" w:space="0" w:color="auto"/>
        <w:right w:val="none" w:sz="0" w:space="0" w:color="auto"/>
      </w:divBdr>
    </w:div>
    <w:div w:id="69891632">
      <w:bodyDiv w:val="1"/>
      <w:marLeft w:val="0"/>
      <w:marRight w:val="0"/>
      <w:marTop w:val="0"/>
      <w:marBottom w:val="0"/>
      <w:divBdr>
        <w:top w:val="none" w:sz="0" w:space="0" w:color="auto"/>
        <w:left w:val="none" w:sz="0" w:space="0" w:color="auto"/>
        <w:bottom w:val="none" w:sz="0" w:space="0" w:color="auto"/>
        <w:right w:val="none" w:sz="0" w:space="0" w:color="auto"/>
      </w:divBdr>
    </w:div>
    <w:div w:id="82143273">
      <w:bodyDiv w:val="1"/>
      <w:marLeft w:val="0"/>
      <w:marRight w:val="0"/>
      <w:marTop w:val="0"/>
      <w:marBottom w:val="0"/>
      <w:divBdr>
        <w:top w:val="none" w:sz="0" w:space="0" w:color="auto"/>
        <w:left w:val="none" w:sz="0" w:space="0" w:color="auto"/>
        <w:bottom w:val="none" w:sz="0" w:space="0" w:color="auto"/>
        <w:right w:val="none" w:sz="0" w:space="0" w:color="auto"/>
      </w:divBdr>
    </w:div>
    <w:div w:id="82723601">
      <w:bodyDiv w:val="1"/>
      <w:marLeft w:val="0"/>
      <w:marRight w:val="0"/>
      <w:marTop w:val="0"/>
      <w:marBottom w:val="0"/>
      <w:divBdr>
        <w:top w:val="none" w:sz="0" w:space="0" w:color="auto"/>
        <w:left w:val="none" w:sz="0" w:space="0" w:color="auto"/>
        <w:bottom w:val="none" w:sz="0" w:space="0" w:color="auto"/>
        <w:right w:val="none" w:sz="0" w:space="0" w:color="auto"/>
      </w:divBdr>
    </w:div>
    <w:div w:id="84425939">
      <w:bodyDiv w:val="1"/>
      <w:marLeft w:val="0"/>
      <w:marRight w:val="0"/>
      <w:marTop w:val="0"/>
      <w:marBottom w:val="0"/>
      <w:divBdr>
        <w:top w:val="none" w:sz="0" w:space="0" w:color="auto"/>
        <w:left w:val="none" w:sz="0" w:space="0" w:color="auto"/>
        <w:bottom w:val="none" w:sz="0" w:space="0" w:color="auto"/>
        <w:right w:val="none" w:sz="0" w:space="0" w:color="auto"/>
      </w:divBdr>
    </w:div>
    <w:div w:id="102188396">
      <w:bodyDiv w:val="1"/>
      <w:marLeft w:val="0"/>
      <w:marRight w:val="0"/>
      <w:marTop w:val="0"/>
      <w:marBottom w:val="0"/>
      <w:divBdr>
        <w:top w:val="none" w:sz="0" w:space="0" w:color="auto"/>
        <w:left w:val="none" w:sz="0" w:space="0" w:color="auto"/>
        <w:bottom w:val="none" w:sz="0" w:space="0" w:color="auto"/>
        <w:right w:val="none" w:sz="0" w:space="0" w:color="auto"/>
      </w:divBdr>
    </w:div>
    <w:div w:id="109210054">
      <w:bodyDiv w:val="1"/>
      <w:marLeft w:val="0"/>
      <w:marRight w:val="0"/>
      <w:marTop w:val="0"/>
      <w:marBottom w:val="0"/>
      <w:divBdr>
        <w:top w:val="none" w:sz="0" w:space="0" w:color="auto"/>
        <w:left w:val="none" w:sz="0" w:space="0" w:color="auto"/>
        <w:bottom w:val="none" w:sz="0" w:space="0" w:color="auto"/>
        <w:right w:val="none" w:sz="0" w:space="0" w:color="auto"/>
      </w:divBdr>
    </w:div>
    <w:div w:id="121849605">
      <w:bodyDiv w:val="1"/>
      <w:marLeft w:val="0"/>
      <w:marRight w:val="0"/>
      <w:marTop w:val="0"/>
      <w:marBottom w:val="0"/>
      <w:divBdr>
        <w:top w:val="none" w:sz="0" w:space="0" w:color="auto"/>
        <w:left w:val="none" w:sz="0" w:space="0" w:color="auto"/>
        <w:bottom w:val="none" w:sz="0" w:space="0" w:color="auto"/>
        <w:right w:val="none" w:sz="0" w:space="0" w:color="auto"/>
      </w:divBdr>
    </w:div>
    <w:div w:id="121925147">
      <w:bodyDiv w:val="1"/>
      <w:marLeft w:val="0"/>
      <w:marRight w:val="0"/>
      <w:marTop w:val="0"/>
      <w:marBottom w:val="0"/>
      <w:divBdr>
        <w:top w:val="none" w:sz="0" w:space="0" w:color="auto"/>
        <w:left w:val="none" w:sz="0" w:space="0" w:color="auto"/>
        <w:bottom w:val="none" w:sz="0" w:space="0" w:color="auto"/>
        <w:right w:val="none" w:sz="0" w:space="0" w:color="auto"/>
      </w:divBdr>
      <w:divsChild>
        <w:div w:id="1872496894">
          <w:marLeft w:val="0"/>
          <w:marRight w:val="0"/>
          <w:marTop w:val="0"/>
          <w:marBottom w:val="0"/>
          <w:divBdr>
            <w:top w:val="none" w:sz="0" w:space="0" w:color="auto"/>
            <w:left w:val="none" w:sz="0" w:space="0" w:color="auto"/>
            <w:bottom w:val="none" w:sz="0" w:space="0" w:color="auto"/>
            <w:right w:val="none" w:sz="0" w:space="0" w:color="auto"/>
          </w:divBdr>
          <w:divsChild>
            <w:div w:id="1835415048">
              <w:marLeft w:val="0"/>
              <w:marRight w:val="0"/>
              <w:marTop w:val="0"/>
              <w:marBottom w:val="0"/>
              <w:divBdr>
                <w:top w:val="none" w:sz="0" w:space="0" w:color="auto"/>
                <w:left w:val="none" w:sz="0" w:space="0" w:color="auto"/>
                <w:bottom w:val="none" w:sz="0" w:space="0" w:color="auto"/>
                <w:right w:val="none" w:sz="0" w:space="0" w:color="auto"/>
              </w:divBdr>
              <w:divsChild>
                <w:div w:id="1096052043">
                  <w:marLeft w:val="0"/>
                  <w:marRight w:val="0"/>
                  <w:marTop w:val="0"/>
                  <w:marBottom w:val="0"/>
                  <w:divBdr>
                    <w:top w:val="none" w:sz="0" w:space="0" w:color="auto"/>
                    <w:left w:val="none" w:sz="0" w:space="0" w:color="auto"/>
                    <w:bottom w:val="none" w:sz="0" w:space="0" w:color="auto"/>
                    <w:right w:val="none" w:sz="0" w:space="0" w:color="auto"/>
                  </w:divBdr>
                  <w:divsChild>
                    <w:div w:id="14563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93304">
      <w:bodyDiv w:val="1"/>
      <w:marLeft w:val="0"/>
      <w:marRight w:val="0"/>
      <w:marTop w:val="0"/>
      <w:marBottom w:val="0"/>
      <w:divBdr>
        <w:top w:val="none" w:sz="0" w:space="0" w:color="auto"/>
        <w:left w:val="none" w:sz="0" w:space="0" w:color="auto"/>
        <w:bottom w:val="none" w:sz="0" w:space="0" w:color="auto"/>
        <w:right w:val="none" w:sz="0" w:space="0" w:color="auto"/>
      </w:divBdr>
      <w:divsChild>
        <w:div w:id="1662394841">
          <w:marLeft w:val="0"/>
          <w:marRight w:val="0"/>
          <w:marTop w:val="0"/>
          <w:marBottom w:val="0"/>
          <w:divBdr>
            <w:top w:val="none" w:sz="0" w:space="0" w:color="auto"/>
            <w:left w:val="none" w:sz="0" w:space="0" w:color="auto"/>
            <w:bottom w:val="none" w:sz="0" w:space="0" w:color="auto"/>
            <w:right w:val="none" w:sz="0" w:space="0" w:color="auto"/>
          </w:divBdr>
          <w:divsChild>
            <w:div w:id="1667976367">
              <w:marLeft w:val="0"/>
              <w:marRight w:val="0"/>
              <w:marTop w:val="0"/>
              <w:marBottom w:val="0"/>
              <w:divBdr>
                <w:top w:val="none" w:sz="0" w:space="0" w:color="auto"/>
                <w:left w:val="none" w:sz="0" w:space="0" w:color="auto"/>
                <w:bottom w:val="none" w:sz="0" w:space="0" w:color="auto"/>
                <w:right w:val="none" w:sz="0" w:space="0" w:color="auto"/>
              </w:divBdr>
              <w:divsChild>
                <w:div w:id="532576200">
                  <w:marLeft w:val="0"/>
                  <w:marRight w:val="0"/>
                  <w:marTop w:val="0"/>
                  <w:marBottom w:val="0"/>
                  <w:divBdr>
                    <w:top w:val="none" w:sz="0" w:space="0" w:color="auto"/>
                    <w:left w:val="none" w:sz="0" w:space="0" w:color="auto"/>
                    <w:bottom w:val="none" w:sz="0" w:space="0" w:color="auto"/>
                    <w:right w:val="none" w:sz="0" w:space="0" w:color="auto"/>
                  </w:divBdr>
                  <w:divsChild>
                    <w:div w:id="38229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86772">
      <w:bodyDiv w:val="1"/>
      <w:marLeft w:val="0"/>
      <w:marRight w:val="0"/>
      <w:marTop w:val="0"/>
      <w:marBottom w:val="0"/>
      <w:divBdr>
        <w:top w:val="none" w:sz="0" w:space="0" w:color="auto"/>
        <w:left w:val="none" w:sz="0" w:space="0" w:color="auto"/>
        <w:bottom w:val="none" w:sz="0" w:space="0" w:color="auto"/>
        <w:right w:val="none" w:sz="0" w:space="0" w:color="auto"/>
      </w:divBdr>
    </w:div>
    <w:div w:id="162398530">
      <w:bodyDiv w:val="1"/>
      <w:marLeft w:val="0"/>
      <w:marRight w:val="0"/>
      <w:marTop w:val="0"/>
      <w:marBottom w:val="0"/>
      <w:divBdr>
        <w:top w:val="none" w:sz="0" w:space="0" w:color="auto"/>
        <w:left w:val="none" w:sz="0" w:space="0" w:color="auto"/>
        <w:bottom w:val="none" w:sz="0" w:space="0" w:color="auto"/>
        <w:right w:val="none" w:sz="0" w:space="0" w:color="auto"/>
      </w:divBdr>
    </w:div>
    <w:div w:id="163014957">
      <w:bodyDiv w:val="1"/>
      <w:marLeft w:val="0"/>
      <w:marRight w:val="0"/>
      <w:marTop w:val="0"/>
      <w:marBottom w:val="0"/>
      <w:divBdr>
        <w:top w:val="none" w:sz="0" w:space="0" w:color="auto"/>
        <w:left w:val="none" w:sz="0" w:space="0" w:color="auto"/>
        <w:bottom w:val="none" w:sz="0" w:space="0" w:color="auto"/>
        <w:right w:val="none" w:sz="0" w:space="0" w:color="auto"/>
      </w:divBdr>
    </w:div>
    <w:div w:id="174462854">
      <w:bodyDiv w:val="1"/>
      <w:marLeft w:val="0"/>
      <w:marRight w:val="0"/>
      <w:marTop w:val="0"/>
      <w:marBottom w:val="0"/>
      <w:divBdr>
        <w:top w:val="none" w:sz="0" w:space="0" w:color="auto"/>
        <w:left w:val="none" w:sz="0" w:space="0" w:color="auto"/>
        <w:bottom w:val="none" w:sz="0" w:space="0" w:color="auto"/>
        <w:right w:val="none" w:sz="0" w:space="0" w:color="auto"/>
      </w:divBdr>
    </w:div>
    <w:div w:id="175581101">
      <w:bodyDiv w:val="1"/>
      <w:marLeft w:val="0"/>
      <w:marRight w:val="0"/>
      <w:marTop w:val="0"/>
      <w:marBottom w:val="0"/>
      <w:divBdr>
        <w:top w:val="none" w:sz="0" w:space="0" w:color="auto"/>
        <w:left w:val="none" w:sz="0" w:space="0" w:color="auto"/>
        <w:bottom w:val="none" w:sz="0" w:space="0" w:color="auto"/>
        <w:right w:val="none" w:sz="0" w:space="0" w:color="auto"/>
      </w:divBdr>
    </w:div>
    <w:div w:id="178466364">
      <w:bodyDiv w:val="1"/>
      <w:marLeft w:val="0"/>
      <w:marRight w:val="0"/>
      <w:marTop w:val="0"/>
      <w:marBottom w:val="0"/>
      <w:divBdr>
        <w:top w:val="none" w:sz="0" w:space="0" w:color="auto"/>
        <w:left w:val="none" w:sz="0" w:space="0" w:color="auto"/>
        <w:bottom w:val="none" w:sz="0" w:space="0" w:color="auto"/>
        <w:right w:val="none" w:sz="0" w:space="0" w:color="auto"/>
      </w:divBdr>
    </w:div>
    <w:div w:id="189538047">
      <w:bodyDiv w:val="1"/>
      <w:marLeft w:val="0"/>
      <w:marRight w:val="0"/>
      <w:marTop w:val="0"/>
      <w:marBottom w:val="0"/>
      <w:divBdr>
        <w:top w:val="none" w:sz="0" w:space="0" w:color="auto"/>
        <w:left w:val="none" w:sz="0" w:space="0" w:color="auto"/>
        <w:bottom w:val="none" w:sz="0" w:space="0" w:color="auto"/>
        <w:right w:val="none" w:sz="0" w:space="0" w:color="auto"/>
      </w:divBdr>
    </w:div>
    <w:div w:id="193999546">
      <w:bodyDiv w:val="1"/>
      <w:marLeft w:val="0"/>
      <w:marRight w:val="0"/>
      <w:marTop w:val="0"/>
      <w:marBottom w:val="0"/>
      <w:divBdr>
        <w:top w:val="none" w:sz="0" w:space="0" w:color="auto"/>
        <w:left w:val="none" w:sz="0" w:space="0" w:color="auto"/>
        <w:bottom w:val="none" w:sz="0" w:space="0" w:color="auto"/>
        <w:right w:val="none" w:sz="0" w:space="0" w:color="auto"/>
      </w:divBdr>
      <w:divsChild>
        <w:div w:id="981811648">
          <w:marLeft w:val="0"/>
          <w:marRight w:val="0"/>
          <w:marTop w:val="0"/>
          <w:marBottom w:val="0"/>
          <w:divBdr>
            <w:top w:val="none" w:sz="0" w:space="0" w:color="auto"/>
            <w:left w:val="none" w:sz="0" w:space="0" w:color="auto"/>
            <w:bottom w:val="none" w:sz="0" w:space="0" w:color="auto"/>
            <w:right w:val="none" w:sz="0" w:space="0" w:color="auto"/>
          </w:divBdr>
          <w:divsChild>
            <w:div w:id="1231770568">
              <w:marLeft w:val="0"/>
              <w:marRight w:val="0"/>
              <w:marTop w:val="0"/>
              <w:marBottom w:val="0"/>
              <w:divBdr>
                <w:top w:val="none" w:sz="0" w:space="0" w:color="auto"/>
                <w:left w:val="none" w:sz="0" w:space="0" w:color="auto"/>
                <w:bottom w:val="none" w:sz="0" w:space="0" w:color="auto"/>
                <w:right w:val="none" w:sz="0" w:space="0" w:color="auto"/>
              </w:divBdr>
              <w:divsChild>
                <w:div w:id="1151020167">
                  <w:marLeft w:val="0"/>
                  <w:marRight w:val="0"/>
                  <w:marTop w:val="0"/>
                  <w:marBottom w:val="0"/>
                  <w:divBdr>
                    <w:top w:val="none" w:sz="0" w:space="0" w:color="auto"/>
                    <w:left w:val="none" w:sz="0" w:space="0" w:color="auto"/>
                    <w:bottom w:val="none" w:sz="0" w:space="0" w:color="auto"/>
                    <w:right w:val="none" w:sz="0" w:space="0" w:color="auto"/>
                  </w:divBdr>
                  <w:divsChild>
                    <w:div w:id="2613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8589">
      <w:bodyDiv w:val="1"/>
      <w:marLeft w:val="0"/>
      <w:marRight w:val="0"/>
      <w:marTop w:val="0"/>
      <w:marBottom w:val="0"/>
      <w:divBdr>
        <w:top w:val="none" w:sz="0" w:space="0" w:color="auto"/>
        <w:left w:val="none" w:sz="0" w:space="0" w:color="auto"/>
        <w:bottom w:val="none" w:sz="0" w:space="0" w:color="auto"/>
        <w:right w:val="none" w:sz="0" w:space="0" w:color="auto"/>
      </w:divBdr>
    </w:div>
    <w:div w:id="213123369">
      <w:bodyDiv w:val="1"/>
      <w:marLeft w:val="0"/>
      <w:marRight w:val="0"/>
      <w:marTop w:val="0"/>
      <w:marBottom w:val="0"/>
      <w:divBdr>
        <w:top w:val="none" w:sz="0" w:space="0" w:color="auto"/>
        <w:left w:val="none" w:sz="0" w:space="0" w:color="auto"/>
        <w:bottom w:val="none" w:sz="0" w:space="0" w:color="auto"/>
        <w:right w:val="none" w:sz="0" w:space="0" w:color="auto"/>
      </w:divBdr>
    </w:div>
    <w:div w:id="239103855">
      <w:bodyDiv w:val="1"/>
      <w:marLeft w:val="0"/>
      <w:marRight w:val="0"/>
      <w:marTop w:val="0"/>
      <w:marBottom w:val="0"/>
      <w:divBdr>
        <w:top w:val="none" w:sz="0" w:space="0" w:color="auto"/>
        <w:left w:val="none" w:sz="0" w:space="0" w:color="auto"/>
        <w:bottom w:val="none" w:sz="0" w:space="0" w:color="auto"/>
        <w:right w:val="none" w:sz="0" w:space="0" w:color="auto"/>
      </w:divBdr>
    </w:div>
    <w:div w:id="263925723">
      <w:bodyDiv w:val="1"/>
      <w:marLeft w:val="0"/>
      <w:marRight w:val="0"/>
      <w:marTop w:val="0"/>
      <w:marBottom w:val="0"/>
      <w:divBdr>
        <w:top w:val="none" w:sz="0" w:space="0" w:color="auto"/>
        <w:left w:val="none" w:sz="0" w:space="0" w:color="auto"/>
        <w:bottom w:val="none" w:sz="0" w:space="0" w:color="auto"/>
        <w:right w:val="none" w:sz="0" w:space="0" w:color="auto"/>
      </w:divBdr>
      <w:divsChild>
        <w:div w:id="345252727">
          <w:marLeft w:val="0"/>
          <w:marRight w:val="0"/>
          <w:marTop w:val="0"/>
          <w:marBottom w:val="0"/>
          <w:divBdr>
            <w:top w:val="none" w:sz="0" w:space="0" w:color="auto"/>
            <w:left w:val="none" w:sz="0" w:space="0" w:color="auto"/>
            <w:bottom w:val="none" w:sz="0" w:space="0" w:color="auto"/>
            <w:right w:val="none" w:sz="0" w:space="0" w:color="auto"/>
          </w:divBdr>
          <w:divsChild>
            <w:div w:id="2084060318">
              <w:marLeft w:val="0"/>
              <w:marRight w:val="0"/>
              <w:marTop w:val="0"/>
              <w:marBottom w:val="0"/>
              <w:divBdr>
                <w:top w:val="none" w:sz="0" w:space="0" w:color="auto"/>
                <w:left w:val="none" w:sz="0" w:space="0" w:color="auto"/>
                <w:bottom w:val="none" w:sz="0" w:space="0" w:color="auto"/>
                <w:right w:val="none" w:sz="0" w:space="0" w:color="auto"/>
              </w:divBdr>
              <w:divsChild>
                <w:div w:id="1579553773">
                  <w:marLeft w:val="0"/>
                  <w:marRight w:val="0"/>
                  <w:marTop w:val="0"/>
                  <w:marBottom w:val="0"/>
                  <w:divBdr>
                    <w:top w:val="none" w:sz="0" w:space="0" w:color="auto"/>
                    <w:left w:val="none" w:sz="0" w:space="0" w:color="auto"/>
                    <w:bottom w:val="none" w:sz="0" w:space="0" w:color="auto"/>
                    <w:right w:val="none" w:sz="0" w:space="0" w:color="auto"/>
                  </w:divBdr>
                  <w:divsChild>
                    <w:div w:id="6059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164007">
      <w:bodyDiv w:val="1"/>
      <w:marLeft w:val="0"/>
      <w:marRight w:val="0"/>
      <w:marTop w:val="0"/>
      <w:marBottom w:val="0"/>
      <w:divBdr>
        <w:top w:val="none" w:sz="0" w:space="0" w:color="auto"/>
        <w:left w:val="none" w:sz="0" w:space="0" w:color="auto"/>
        <w:bottom w:val="none" w:sz="0" w:space="0" w:color="auto"/>
        <w:right w:val="none" w:sz="0" w:space="0" w:color="auto"/>
      </w:divBdr>
    </w:div>
    <w:div w:id="270363442">
      <w:bodyDiv w:val="1"/>
      <w:marLeft w:val="0"/>
      <w:marRight w:val="0"/>
      <w:marTop w:val="0"/>
      <w:marBottom w:val="0"/>
      <w:divBdr>
        <w:top w:val="none" w:sz="0" w:space="0" w:color="auto"/>
        <w:left w:val="none" w:sz="0" w:space="0" w:color="auto"/>
        <w:bottom w:val="none" w:sz="0" w:space="0" w:color="auto"/>
        <w:right w:val="none" w:sz="0" w:space="0" w:color="auto"/>
      </w:divBdr>
      <w:divsChild>
        <w:div w:id="248736449">
          <w:marLeft w:val="0"/>
          <w:marRight w:val="0"/>
          <w:marTop w:val="0"/>
          <w:marBottom w:val="0"/>
          <w:divBdr>
            <w:top w:val="none" w:sz="0" w:space="0" w:color="auto"/>
            <w:left w:val="none" w:sz="0" w:space="0" w:color="auto"/>
            <w:bottom w:val="none" w:sz="0" w:space="0" w:color="auto"/>
            <w:right w:val="none" w:sz="0" w:space="0" w:color="auto"/>
          </w:divBdr>
          <w:divsChild>
            <w:div w:id="316157131">
              <w:marLeft w:val="0"/>
              <w:marRight w:val="0"/>
              <w:marTop w:val="0"/>
              <w:marBottom w:val="0"/>
              <w:divBdr>
                <w:top w:val="none" w:sz="0" w:space="0" w:color="auto"/>
                <w:left w:val="none" w:sz="0" w:space="0" w:color="auto"/>
                <w:bottom w:val="none" w:sz="0" w:space="0" w:color="auto"/>
                <w:right w:val="none" w:sz="0" w:space="0" w:color="auto"/>
              </w:divBdr>
              <w:divsChild>
                <w:div w:id="1748267009">
                  <w:marLeft w:val="0"/>
                  <w:marRight w:val="0"/>
                  <w:marTop w:val="0"/>
                  <w:marBottom w:val="0"/>
                  <w:divBdr>
                    <w:top w:val="none" w:sz="0" w:space="0" w:color="auto"/>
                    <w:left w:val="none" w:sz="0" w:space="0" w:color="auto"/>
                    <w:bottom w:val="none" w:sz="0" w:space="0" w:color="auto"/>
                    <w:right w:val="none" w:sz="0" w:space="0" w:color="auto"/>
                  </w:divBdr>
                  <w:divsChild>
                    <w:div w:id="96003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333195">
      <w:bodyDiv w:val="1"/>
      <w:marLeft w:val="0"/>
      <w:marRight w:val="0"/>
      <w:marTop w:val="0"/>
      <w:marBottom w:val="0"/>
      <w:divBdr>
        <w:top w:val="none" w:sz="0" w:space="0" w:color="auto"/>
        <w:left w:val="none" w:sz="0" w:space="0" w:color="auto"/>
        <w:bottom w:val="none" w:sz="0" w:space="0" w:color="auto"/>
        <w:right w:val="none" w:sz="0" w:space="0" w:color="auto"/>
      </w:divBdr>
    </w:div>
    <w:div w:id="317852697">
      <w:bodyDiv w:val="1"/>
      <w:marLeft w:val="0"/>
      <w:marRight w:val="0"/>
      <w:marTop w:val="0"/>
      <w:marBottom w:val="0"/>
      <w:divBdr>
        <w:top w:val="none" w:sz="0" w:space="0" w:color="auto"/>
        <w:left w:val="none" w:sz="0" w:space="0" w:color="auto"/>
        <w:bottom w:val="none" w:sz="0" w:space="0" w:color="auto"/>
        <w:right w:val="none" w:sz="0" w:space="0" w:color="auto"/>
      </w:divBdr>
    </w:div>
    <w:div w:id="345444875">
      <w:bodyDiv w:val="1"/>
      <w:marLeft w:val="0"/>
      <w:marRight w:val="0"/>
      <w:marTop w:val="0"/>
      <w:marBottom w:val="0"/>
      <w:divBdr>
        <w:top w:val="none" w:sz="0" w:space="0" w:color="auto"/>
        <w:left w:val="none" w:sz="0" w:space="0" w:color="auto"/>
        <w:bottom w:val="none" w:sz="0" w:space="0" w:color="auto"/>
        <w:right w:val="none" w:sz="0" w:space="0" w:color="auto"/>
      </w:divBdr>
    </w:div>
    <w:div w:id="350498754">
      <w:bodyDiv w:val="1"/>
      <w:marLeft w:val="0"/>
      <w:marRight w:val="0"/>
      <w:marTop w:val="0"/>
      <w:marBottom w:val="0"/>
      <w:divBdr>
        <w:top w:val="none" w:sz="0" w:space="0" w:color="auto"/>
        <w:left w:val="none" w:sz="0" w:space="0" w:color="auto"/>
        <w:bottom w:val="none" w:sz="0" w:space="0" w:color="auto"/>
        <w:right w:val="none" w:sz="0" w:space="0" w:color="auto"/>
      </w:divBdr>
    </w:div>
    <w:div w:id="351036977">
      <w:bodyDiv w:val="1"/>
      <w:marLeft w:val="0"/>
      <w:marRight w:val="0"/>
      <w:marTop w:val="0"/>
      <w:marBottom w:val="0"/>
      <w:divBdr>
        <w:top w:val="none" w:sz="0" w:space="0" w:color="auto"/>
        <w:left w:val="none" w:sz="0" w:space="0" w:color="auto"/>
        <w:bottom w:val="none" w:sz="0" w:space="0" w:color="auto"/>
        <w:right w:val="none" w:sz="0" w:space="0" w:color="auto"/>
      </w:divBdr>
    </w:div>
    <w:div w:id="386613225">
      <w:bodyDiv w:val="1"/>
      <w:marLeft w:val="0"/>
      <w:marRight w:val="0"/>
      <w:marTop w:val="0"/>
      <w:marBottom w:val="0"/>
      <w:divBdr>
        <w:top w:val="none" w:sz="0" w:space="0" w:color="auto"/>
        <w:left w:val="none" w:sz="0" w:space="0" w:color="auto"/>
        <w:bottom w:val="none" w:sz="0" w:space="0" w:color="auto"/>
        <w:right w:val="none" w:sz="0" w:space="0" w:color="auto"/>
      </w:divBdr>
    </w:div>
    <w:div w:id="395589106">
      <w:bodyDiv w:val="1"/>
      <w:marLeft w:val="0"/>
      <w:marRight w:val="0"/>
      <w:marTop w:val="0"/>
      <w:marBottom w:val="0"/>
      <w:divBdr>
        <w:top w:val="none" w:sz="0" w:space="0" w:color="auto"/>
        <w:left w:val="none" w:sz="0" w:space="0" w:color="auto"/>
        <w:bottom w:val="none" w:sz="0" w:space="0" w:color="auto"/>
        <w:right w:val="none" w:sz="0" w:space="0" w:color="auto"/>
      </w:divBdr>
    </w:div>
    <w:div w:id="395589688">
      <w:bodyDiv w:val="1"/>
      <w:marLeft w:val="0"/>
      <w:marRight w:val="0"/>
      <w:marTop w:val="0"/>
      <w:marBottom w:val="0"/>
      <w:divBdr>
        <w:top w:val="none" w:sz="0" w:space="0" w:color="auto"/>
        <w:left w:val="none" w:sz="0" w:space="0" w:color="auto"/>
        <w:bottom w:val="none" w:sz="0" w:space="0" w:color="auto"/>
        <w:right w:val="none" w:sz="0" w:space="0" w:color="auto"/>
      </w:divBdr>
    </w:div>
    <w:div w:id="402604946">
      <w:bodyDiv w:val="1"/>
      <w:marLeft w:val="0"/>
      <w:marRight w:val="0"/>
      <w:marTop w:val="0"/>
      <w:marBottom w:val="0"/>
      <w:divBdr>
        <w:top w:val="none" w:sz="0" w:space="0" w:color="auto"/>
        <w:left w:val="none" w:sz="0" w:space="0" w:color="auto"/>
        <w:bottom w:val="none" w:sz="0" w:space="0" w:color="auto"/>
        <w:right w:val="none" w:sz="0" w:space="0" w:color="auto"/>
      </w:divBdr>
    </w:div>
    <w:div w:id="406731176">
      <w:bodyDiv w:val="1"/>
      <w:marLeft w:val="0"/>
      <w:marRight w:val="0"/>
      <w:marTop w:val="0"/>
      <w:marBottom w:val="0"/>
      <w:divBdr>
        <w:top w:val="none" w:sz="0" w:space="0" w:color="auto"/>
        <w:left w:val="none" w:sz="0" w:space="0" w:color="auto"/>
        <w:bottom w:val="none" w:sz="0" w:space="0" w:color="auto"/>
        <w:right w:val="none" w:sz="0" w:space="0" w:color="auto"/>
      </w:divBdr>
    </w:div>
    <w:div w:id="420638573">
      <w:bodyDiv w:val="1"/>
      <w:marLeft w:val="0"/>
      <w:marRight w:val="0"/>
      <w:marTop w:val="0"/>
      <w:marBottom w:val="0"/>
      <w:divBdr>
        <w:top w:val="none" w:sz="0" w:space="0" w:color="auto"/>
        <w:left w:val="none" w:sz="0" w:space="0" w:color="auto"/>
        <w:bottom w:val="none" w:sz="0" w:space="0" w:color="auto"/>
        <w:right w:val="none" w:sz="0" w:space="0" w:color="auto"/>
      </w:divBdr>
      <w:divsChild>
        <w:div w:id="984624936">
          <w:marLeft w:val="0"/>
          <w:marRight w:val="0"/>
          <w:marTop w:val="0"/>
          <w:marBottom w:val="0"/>
          <w:divBdr>
            <w:top w:val="none" w:sz="0" w:space="0" w:color="auto"/>
            <w:left w:val="none" w:sz="0" w:space="0" w:color="auto"/>
            <w:bottom w:val="none" w:sz="0" w:space="0" w:color="auto"/>
            <w:right w:val="none" w:sz="0" w:space="0" w:color="auto"/>
          </w:divBdr>
          <w:divsChild>
            <w:div w:id="951519908">
              <w:marLeft w:val="0"/>
              <w:marRight w:val="0"/>
              <w:marTop w:val="0"/>
              <w:marBottom w:val="0"/>
              <w:divBdr>
                <w:top w:val="none" w:sz="0" w:space="0" w:color="auto"/>
                <w:left w:val="none" w:sz="0" w:space="0" w:color="auto"/>
                <w:bottom w:val="none" w:sz="0" w:space="0" w:color="auto"/>
                <w:right w:val="none" w:sz="0" w:space="0" w:color="auto"/>
              </w:divBdr>
              <w:divsChild>
                <w:div w:id="519396834">
                  <w:marLeft w:val="0"/>
                  <w:marRight w:val="0"/>
                  <w:marTop w:val="0"/>
                  <w:marBottom w:val="0"/>
                  <w:divBdr>
                    <w:top w:val="none" w:sz="0" w:space="0" w:color="auto"/>
                    <w:left w:val="none" w:sz="0" w:space="0" w:color="auto"/>
                    <w:bottom w:val="none" w:sz="0" w:space="0" w:color="auto"/>
                    <w:right w:val="none" w:sz="0" w:space="0" w:color="auto"/>
                  </w:divBdr>
                  <w:divsChild>
                    <w:div w:id="144476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808863">
      <w:bodyDiv w:val="1"/>
      <w:marLeft w:val="0"/>
      <w:marRight w:val="0"/>
      <w:marTop w:val="0"/>
      <w:marBottom w:val="0"/>
      <w:divBdr>
        <w:top w:val="none" w:sz="0" w:space="0" w:color="auto"/>
        <w:left w:val="none" w:sz="0" w:space="0" w:color="auto"/>
        <w:bottom w:val="none" w:sz="0" w:space="0" w:color="auto"/>
        <w:right w:val="none" w:sz="0" w:space="0" w:color="auto"/>
      </w:divBdr>
      <w:divsChild>
        <w:div w:id="1261336628">
          <w:marLeft w:val="0"/>
          <w:marRight w:val="0"/>
          <w:marTop w:val="0"/>
          <w:marBottom w:val="0"/>
          <w:divBdr>
            <w:top w:val="none" w:sz="0" w:space="0" w:color="auto"/>
            <w:left w:val="none" w:sz="0" w:space="0" w:color="auto"/>
            <w:bottom w:val="none" w:sz="0" w:space="0" w:color="auto"/>
            <w:right w:val="none" w:sz="0" w:space="0" w:color="auto"/>
          </w:divBdr>
          <w:divsChild>
            <w:div w:id="1461338642">
              <w:marLeft w:val="0"/>
              <w:marRight w:val="0"/>
              <w:marTop w:val="0"/>
              <w:marBottom w:val="0"/>
              <w:divBdr>
                <w:top w:val="none" w:sz="0" w:space="0" w:color="auto"/>
                <w:left w:val="none" w:sz="0" w:space="0" w:color="auto"/>
                <w:bottom w:val="none" w:sz="0" w:space="0" w:color="auto"/>
                <w:right w:val="none" w:sz="0" w:space="0" w:color="auto"/>
              </w:divBdr>
              <w:divsChild>
                <w:div w:id="2071494567">
                  <w:marLeft w:val="0"/>
                  <w:marRight w:val="0"/>
                  <w:marTop w:val="0"/>
                  <w:marBottom w:val="0"/>
                  <w:divBdr>
                    <w:top w:val="none" w:sz="0" w:space="0" w:color="auto"/>
                    <w:left w:val="none" w:sz="0" w:space="0" w:color="auto"/>
                    <w:bottom w:val="none" w:sz="0" w:space="0" w:color="auto"/>
                    <w:right w:val="none" w:sz="0" w:space="0" w:color="auto"/>
                  </w:divBdr>
                  <w:divsChild>
                    <w:div w:id="11949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560903">
      <w:bodyDiv w:val="1"/>
      <w:marLeft w:val="0"/>
      <w:marRight w:val="0"/>
      <w:marTop w:val="0"/>
      <w:marBottom w:val="0"/>
      <w:divBdr>
        <w:top w:val="none" w:sz="0" w:space="0" w:color="auto"/>
        <w:left w:val="none" w:sz="0" w:space="0" w:color="auto"/>
        <w:bottom w:val="none" w:sz="0" w:space="0" w:color="auto"/>
        <w:right w:val="none" w:sz="0" w:space="0" w:color="auto"/>
      </w:divBdr>
    </w:div>
    <w:div w:id="449855722">
      <w:bodyDiv w:val="1"/>
      <w:marLeft w:val="0"/>
      <w:marRight w:val="0"/>
      <w:marTop w:val="0"/>
      <w:marBottom w:val="0"/>
      <w:divBdr>
        <w:top w:val="none" w:sz="0" w:space="0" w:color="auto"/>
        <w:left w:val="none" w:sz="0" w:space="0" w:color="auto"/>
        <w:bottom w:val="none" w:sz="0" w:space="0" w:color="auto"/>
        <w:right w:val="none" w:sz="0" w:space="0" w:color="auto"/>
      </w:divBdr>
    </w:div>
    <w:div w:id="451286132">
      <w:bodyDiv w:val="1"/>
      <w:marLeft w:val="0"/>
      <w:marRight w:val="0"/>
      <w:marTop w:val="0"/>
      <w:marBottom w:val="0"/>
      <w:divBdr>
        <w:top w:val="none" w:sz="0" w:space="0" w:color="auto"/>
        <w:left w:val="none" w:sz="0" w:space="0" w:color="auto"/>
        <w:bottom w:val="none" w:sz="0" w:space="0" w:color="auto"/>
        <w:right w:val="none" w:sz="0" w:space="0" w:color="auto"/>
      </w:divBdr>
    </w:div>
    <w:div w:id="463424209">
      <w:bodyDiv w:val="1"/>
      <w:marLeft w:val="0"/>
      <w:marRight w:val="0"/>
      <w:marTop w:val="0"/>
      <w:marBottom w:val="0"/>
      <w:divBdr>
        <w:top w:val="none" w:sz="0" w:space="0" w:color="auto"/>
        <w:left w:val="none" w:sz="0" w:space="0" w:color="auto"/>
        <w:bottom w:val="none" w:sz="0" w:space="0" w:color="auto"/>
        <w:right w:val="none" w:sz="0" w:space="0" w:color="auto"/>
      </w:divBdr>
    </w:div>
    <w:div w:id="485167264">
      <w:bodyDiv w:val="1"/>
      <w:marLeft w:val="0"/>
      <w:marRight w:val="0"/>
      <w:marTop w:val="0"/>
      <w:marBottom w:val="0"/>
      <w:divBdr>
        <w:top w:val="none" w:sz="0" w:space="0" w:color="auto"/>
        <w:left w:val="none" w:sz="0" w:space="0" w:color="auto"/>
        <w:bottom w:val="none" w:sz="0" w:space="0" w:color="auto"/>
        <w:right w:val="none" w:sz="0" w:space="0" w:color="auto"/>
      </w:divBdr>
      <w:divsChild>
        <w:div w:id="1348292457">
          <w:marLeft w:val="0"/>
          <w:marRight w:val="0"/>
          <w:marTop w:val="0"/>
          <w:marBottom w:val="0"/>
          <w:divBdr>
            <w:top w:val="none" w:sz="0" w:space="0" w:color="auto"/>
            <w:left w:val="none" w:sz="0" w:space="0" w:color="auto"/>
            <w:bottom w:val="none" w:sz="0" w:space="0" w:color="auto"/>
            <w:right w:val="none" w:sz="0" w:space="0" w:color="auto"/>
          </w:divBdr>
          <w:divsChild>
            <w:div w:id="1329022613">
              <w:marLeft w:val="0"/>
              <w:marRight w:val="0"/>
              <w:marTop w:val="0"/>
              <w:marBottom w:val="0"/>
              <w:divBdr>
                <w:top w:val="none" w:sz="0" w:space="0" w:color="auto"/>
                <w:left w:val="none" w:sz="0" w:space="0" w:color="auto"/>
                <w:bottom w:val="none" w:sz="0" w:space="0" w:color="auto"/>
                <w:right w:val="none" w:sz="0" w:space="0" w:color="auto"/>
              </w:divBdr>
              <w:divsChild>
                <w:div w:id="2023972709">
                  <w:marLeft w:val="0"/>
                  <w:marRight w:val="0"/>
                  <w:marTop w:val="0"/>
                  <w:marBottom w:val="0"/>
                  <w:divBdr>
                    <w:top w:val="none" w:sz="0" w:space="0" w:color="auto"/>
                    <w:left w:val="none" w:sz="0" w:space="0" w:color="auto"/>
                    <w:bottom w:val="none" w:sz="0" w:space="0" w:color="auto"/>
                    <w:right w:val="none" w:sz="0" w:space="0" w:color="auto"/>
                  </w:divBdr>
                  <w:divsChild>
                    <w:div w:id="123928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717606">
      <w:bodyDiv w:val="1"/>
      <w:marLeft w:val="0"/>
      <w:marRight w:val="0"/>
      <w:marTop w:val="0"/>
      <w:marBottom w:val="0"/>
      <w:divBdr>
        <w:top w:val="none" w:sz="0" w:space="0" w:color="auto"/>
        <w:left w:val="none" w:sz="0" w:space="0" w:color="auto"/>
        <w:bottom w:val="none" w:sz="0" w:space="0" w:color="auto"/>
        <w:right w:val="none" w:sz="0" w:space="0" w:color="auto"/>
      </w:divBdr>
    </w:div>
    <w:div w:id="490489954">
      <w:bodyDiv w:val="1"/>
      <w:marLeft w:val="0"/>
      <w:marRight w:val="0"/>
      <w:marTop w:val="0"/>
      <w:marBottom w:val="0"/>
      <w:divBdr>
        <w:top w:val="none" w:sz="0" w:space="0" w:color="auto"/>
        <w:left w:val="none" w:sz="0" w:space="0" w:color="auto"/>
        <w:bottom w:val="none" w:sz="0" w:space="0" w:color="auto"/>
        <w:right w:val="none" w:sz="0" w:space="0" w:color="auto"/>
      </w:divBdr>
    </w:div>
    <w:div w:id="500395289">
      <w:bodyDiv w:val="1"/>
      <w:marLeft w:val="0"/>
      <w:marRight w:val="0"/>
      <w:marTop w:val="0"/>
      <w:marBottom w:val="0"/>
      <w:divBdr>
        <w:top w:val="none" w:sz="0" w:space="0" w:color="auto"/>
        <w:left w:val="none" w:sz="0" w:space="0" w:color="auto"/>
        <w:bottom w:val="none" w:sz="0" w:space="0" w:color="auto"/>
        <w:right w:val="none" w:sz="0" w:space="0" w:color="auto"/>
      </w:divBdr>
    </w:div>
    <w:div w:id="507909739">
      <w:bodyDiv w:val="1"/>
      <w:marLeft w:val="0"/>
      <w:marRight w:val="0"/>
      <w:marTop w:val="0"/>
      <w:marBottom w:val="0"/>
      <w:divBdr>
        <w:top w:val="none" w:sz="0" w:space="0" w:color="auto"/>
        <w:left w:val="none" w:sz="0" w:space="0" w:color="auto"/>
        <w:bottom w:val="none" w:sz="0" w:space="0" w:color="auto"/>
        <w:right w:val="none" w:sz="0" w:space="0" w:color="auto"/>
      </w:divBdr>
    </w:div>
    <w:div w:id="521280609">
      <w:bodyDiv w:val="1"/>
      <w:marLeft w:val="0"/>
      <w:marRight w:val="0"/>
      <w:marTop w:val="0"/>
      <w:marBottom w:val="0"/>
      <w:divBdr>
        <w:top w:val="none" w:sz="0" w:space="0" w:color="auto"/>
        <w:left w:val="none" w:sz="0" w:space="0" w:color="auto"/>
        <w:bottom w:val="none" w:sz="0" w:space="0" w:color="auto"/>
        <w:right w:val="none" w:sz="0" w:space="0" w:color="auto"/>
      </w:divBdr>
    </w:div>
    <w:div w:id="565652349">
      <w:bodyDiv w:val="1"/>
      <w:marLeft w:val="0"/>
      <w:marRight w:val="0"/>
      <w:marTop w:val="0"/>
      <w:marBottom w:val="0"/>
      <w:divBdr>
        <w:top w:val="none" w:sz="0" w:space="0" w:color="auto"/>
        <w:left w:val="none" w:sz="0" w:space="0" w:color="auto"/>
        <w:bottom w:val="none" w:sz="0" w:space="0" w:color="auto"/>
        <w:right w:val="none" w:sz="0" w:space="0" w:color="auto"/>
      </w:divBdr>
      <w:divsChild>
        <w:div w:id="1397508756">
          <w:marLeft w:val="0"/>
          <w:marRight w:val="0"/>
          <w:marTop w:val="0"/>
          <w:marBottom w:val="0"/>
          <w:divBdr>
            <w:top w:val="none" w:sz="0" w:space="0" w:color="auto"/>
            <w:left w:val="none" w:sz="0" w:space="0" w:color="auto"/>
            <w:bottom w:val="none" w:sz="0" w:space="0" w:color="auto"/>
            <w:right w:val="none" w:sz="0" w:space="0" w:color="auto"/>
          </w:divBdr>
          <w:divsChild>
            <w:div w:id="1684815421">
              <w:marLeft w:val="0"/>
              <w:marRight w:val="0"/>
              <w:marTop w:val="0"/>
              <w:marBottom w:val="0"/>
              <w:divBdr>
                <w:top w:val="none" w:sz="0" w:space="0" w:color="auto"/>
                <w:left w:val="none" w:sz="0" w:space="0" w:color="auto"/>
                <w:bottom w:val="none" w:sz="0" w:space="0" w:color="auto"/>
                <w:right w:val="none" w:sz="0" w:space="0" w:color="auto"/>
              </w:divBdr>
              <w:divsChild>
                <w:div w:id="1952009027">
                  <w:marLeft w:val="0"/>
                  <w:marRight w:val="0"/>
                  <w:marTop w:val="0"/>
                  <w:marBottom w:val="0"/>
                  <w:divBdr>
                    <w:top w:val="none" w:sz="0" w:space="0" w:color="auto"/>
                    <w:left w:val="none" w:sz="0" w:space="0" w:color="auto"/>
                    <w:bottom w:val="none" w:sz="0" w:space="0" w:color="auto"/>
                    <w:right w:val="none" w:sz="0" w:space="0" w:color="auto"/>
                  </w:divBdr>
                  <w:divsChild>
                    <w:div w:id="132902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300003">
      <w:bodyDiv w:val="1"/>
      <w:marLeft w:val="0"/>
      <w:marRight w:val="0"/>
      <w:marTop w:val="0"/>
      <w:marBottom w:val="0"/>
      <w:divBdr>
        <w:top w:val="none" w:sz="0" w:space="0" w:color="auto"/>
        <w:left w:val="none" w:sz="0" w:space="0" w:color="auto"/>
        <w:bottom w:val="none" w:sz="0" w:space="0" w:color="auto"/>
        <w:right w:val="none" w:sz="0" w:space="0" w:color="auto"/>
      </w:divBdr>
    </w:div>
    <w:div w:id="594244354">
      <w:bodyDiv w:val="1"/>
      <w:marLeft w:val="0"/>
      <w:marRight w:val="0"/>
      <w:marTop w:val="0"/>
      <w:marBottom w:val="0"/>
      <w:divBdr>
        <w:top w:val="none" w:sz="0" w:space="0" w:color="auto"/>
        <w:left w:val="none" w:sz="0" w:space="0" w:color="auto"/>
        <w:bottom w:val="none" w:sz="0" w:space="0" w:color="auto"/>
        <w:right w:val="none" w:sz="0" w:space="0" w:color="auto"/>
      </w:divBdr>
    </w:div>
    <w:div w:id="607812530">
      <w:bodyDiv w:val="1"/>
      <w:marLeft w:val="0"/>
      <w:marRight w:val="0"/>
      <w:marTop w:val="0"/>
      <w:marBottom w:val="0"/>
      <w:divBdr>
        <w:top w:val="none" w:sz="0" w:space="0" w:color="auto"/>
        <w:left w:val="none" w:sz="0" w:space="0" w:color="auto"/>
        <w:bottom w:val="none" w:sz="0" w:space="0" w:color="auto"/>
        <w:right w:val="none" w:sz="0" w:space="0" w:color="auto"/>
      </w:divBdr>
    </w:div>
    <w:div w:id="608895102">
      <w:bodyDiv w:val="1"/>
      <w:marLeft w:val="0"/>
      <w:marRight w:val="0"/>
      <w:marTop w:val="0"/>
      <w:marBottom w:val="0"/>
      <w:divBdr>
        <w:top w:val="none" w:sz="0" w:space="0" w:color="auto"/>
        <w:left w:val="none" w:sz="0" w:space="0" w:color="auto"/>
        <w:bottom w:val="none" w:sz="0" w:space="0" w:color="auto"/>
        <w:right w:val="none" w:sz="0" w:space="0" w:color="auto"/>
      </w:divBdr>
      <w:divsChild>
        <w:div w:id="752359737">
          <w:marLeft w:val="0"/>
          <w:marRight w:val="0"/>
          <w:marTop w:val="0"/>
          <w:marBottom w:val="0"/>
          <w:divBdr>
            <w:top w:val="none" w:sz="0" w:space="0" w:color="auto"/>
            <w:left w:val="none" w:sz="0" w:space="0" w:color="auto"/>
            <w:bottom w:val="none" w:sz="0" w:space="0" w:color="auto"/>
            <w:right w:val="none" w:sz="0" w:space="0" w:color="auto"/>
          </w:divBdr>
          <w:divsChild>
            <w:div w:id="171379917">
              <w:marLeft w:val="0"/>
              <w:marRight w:val="0"/>
              <w:marTop w:val="0"/>
              <w:marBottom w:val="0"/>
              <w:divBdr>
                <w:top w:val="none" w:sz="0" w:space="0" w:color="auto"/>
                <w:left w:val="none" w:sz="0" w:space="0" w:color="auto"/>
                <w:bottom w:val="none" w:sz="0" w:space="0" w:color="auto"/>
                <w:right w:val="none" w:sz="0" w:space="0" w:color="auto"/>
              </w:divBdr>
              <w:divsChild>
                <w:div w:id="991254461">
                  <w:marLeft w:val="0"/>
                  <w:marRight w:val="0"/>
                  <w:marTop w:val="0"/>
                  <w:marBottom w:val="0"/>
                  <w:divBdr>
                    <w:top w:val="none" w:sz="0" w:space="0" w:color="auto"/>
                    <w:left w:val="none" w:sz="0" w:space="0" w:color="auto"/>
                    <w:bottom w:val="none" w:sz="0" w:space="0" w:color="auto"/>
                    <w:right w:val="none" w:sz="0" w:space="0" w:color="auto"/>
                  </w:divBdr>
                  <w:divsChild>
                    <w:div w:id="9197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73791">
      <w:bodyDiv w:val="1"/>
      <w:marLeft w:val="0"/>
      <w:marRight w:val="0"/>
      <w:marTop w:val="0"/>
      <w:marBottom w:val="0"/>
      <w:divBdr>
        <w:top w:val="none" w:sz="0" w:space="0" w:color="auto"/>
        <w:left w:val="none" w:sz="0" w:space="0" w:color="auto"/>
        <w:bottom w:val="none" w:sz="0" w:space="0" w:color="auto"/>
        <w:right w:val="none" w:sz="0" w:space="0" w:color="auto"/>
      </w:divBdr>
    </w:div>
    <w:div w:id="660039354">
      <w:bodyDiv w:val="1"/>
      <w:marLeft w:val="0"/>
      <w:marRight w:val="0"/>
      <w:marTop w:val="0"/>
      <w:marBottom w:val="0"/>
      <w:divBdr>
        <w:top w:val="none" w:sz="0" w:space="0" w:color="auto"/>
        <w:left w:val="none" w:sz="0" w:space="0" w:color="auto"/>
        <w:bottom w:val="none" w:sz="0" w:space="0" w:color="auto"/>
        <w:right w:val="none" w:sz="0" w:space="0" w:color="auto"/>
      </w:divBdr>
    </w:div>
    <w:div w:id="669135385">
      <w:bodyDiv w:val="1"/>
      <w:marLeft w:val="0"/>
      <w:marRight w:val="0"/>
      <w:marTop w:val="0"/>
      <w:marBottom w:val="0"/>
      <w:divBdr>
        <w:top w:val="none" w:sz="0" w:space="0" w:color="auto"/>
        <w:left w:val="none" w:sz="0" w:space="0" w:color="auto"/>
        <w:bottom w:val="none" w:sz="0" w:space="0" w:color="auto"/>
        <w:right w:val="none" w:sz="0" w:space="0" w:color="auto"/>
      </w:divBdr>
    </w:div>
    <w:div w:id="683633479">
      <w:bodyDiv w:val="1"/>
      <w:marLeft w:val="0"/>
      <w:marRight w:val="0"/>
      <w:marTop w:val="0"/>
      <w:marBottom w:val="0"/>
      <w:divBdr>
        <w:top w:val="none" w:sz="0" w:space="0" w:color="auto"/>
        <w:left w:val="none" w:sz="0" w:space="0" w:color="auto"/>
        <w:bottom w:val="none" w:sz="0" w:space="0" w:color="auto"/>
        <w:right w:val="none" w:sz="0" w:space="0" w:color="auto"/>
      </w:divBdr>
    </w:div>
    <w:div w:id="684750381">
      <w:bodyDiv w:val="1"/>
      <w:marLeft w:val="0"/>
      <w:marRight w:val="0"/>
      <w:marTop w:val="0"/>
      <w:marBottom w:val="0"/>
      <w:divBdr>
        <w:top w:val="none" w:sz="0" w:space="0" w:color="auto"/>
        <w:left w:val="none" w:sz="0" w:space="0" w:color="auto"/>
        <w:bottom w:val="none" w:sz="0" w:space="0" w:color="auto"/>
        <w:right w:val="none" w:sz="0" w:space="0" w:color="auto"/>
      </w:divBdr>
      <w:divsChild>
        <w:div w:id="1999646748">
          <w:marLeft w:val="0"/>
          <w:marRight w:val="0"/>
          <w:marTop w:val="0"/>
          <w:marBottom w:val="0"/>
          <w:divBdr>
            <w:top w:val="none" w:sz="0" w:space="0" w:color="auto"/>
            <w:left w:val="none" w:sz="0" w:space="0" w:color="auto"/>
            <w:bottom w:val="none" w:sz="0" w:space="0" w:color="auto"/>
            <w:right w:val="none" w:sz="0" w:space="0" w:color="auto"/>
          </w:divBdr>
          <w:divsChild>
            <w:div w:id="1836341234">
              <w:marLeft w:val="0"/>
              <w:marRight w:val="0"/>
              <w:marTop w:val="0"/>
              <w:marBottom w:val="0"/>
              <w:divBdr>
                <w:top w:val="none" w:sz="0" w:space="0" w:color="auto"/>
                <w:left w:val="none" w:sz="0" w:space="0" w:color="auto"/>
                <w:bottom w:val="none" w:sz="0" w:space="0" w:color="auto"/>
                <w:right w:val="none" w:sz="0" w:space="0" w:color="auto"/>
              </w:divBdr>
              <w:divsChild>
                <w:div w:id="458189794">
                  <w:marLeft w:val="0"/>
                  <w:marRight w:val="0"/>
                  <w:marTop w:val="0"/>
                  <w:marBottom w:val="0"/>
                  <w:divBdr>
                    <w:top w:val="none" w:sz="0" w:space="0" w:color="auto"/>
                    <w:left w:val="none" w:sz="0" w:space="0" w:color="auto"/>
                    <w:bottom w:val="none" w:sz="0" w:space="0" w:color="auto"/>
                    <w:right w:val="none" w:sz="0" w:space="0" w:color="auto"/>
                  </w:divBdr>
                  <w:divsChild>
                    <w:div w:id="22776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511484">
      <w:bodyDiv w:val="1"/>
      <w:marLeft w:val="0"/>
      <w:marRight w:val="0"/>
      <w:marTop w:val="0"/>
      <w:marBottom w:val="0"/>
      <w:divBdr>
        <w:top w:val="none" w:sz="0" w:space="0" w:color="auto"/>
        <w:left w:val="none" w:sz="0" w:space="0" w:color="auto"/>
        <w:bottom w:val="none" w:sz="0" w:space="0" w:color="auto"/>
        <w:right w:val="none" w:sz="0" w:space="0" w:color="auto"/>
      </w:divBdr>
    </w:div>
    <w:div w:id="727143064">
      <w:bodyDiv w:val="1"/>
      <w:marLeft w:val="0"/>
      <w:marRight w:val="0"/>
      <w:marTop w:val="0"/>
      <w:marBottom w:val="0"/>
      <w:divBdr>
        <w:top w:val="none" w:sz="0" w:space="0" w:color="auto"/>
        <w:left w:val="none" w:sz="0" w:space="0" w:color="auto"/>
        <w:bottom w:val="none" w:sz="0" w:space="0" w:color="auto"/>
        <w:right w:val="none" w:sz="0" w:space="0" w:color="auto"/>
      </w:divBdr>
    </w:div>
    <w:div w:id="749892214">
      <w:bodyDiv w:val="1"/>
      <w:marLeft w:val="0"/>
      <w:marRight w:val="0"/>
      <w:marTop w:val="0"/>
      <w:marBottom w:val="0"/>
      <w:divBdr>
        <w:top w:val="none" w:sz="0" w:space="0" w:color="auto"/>
        <w:left w:val="none" w:sz="0" w:space="0" w:color="auto"/>
        <w:bottom w:val="none" w:sz="0" w:space="0" w:color="auto"/>
        <w:right w:val="none" w:sz="0" w:space="0" w:color="auto"/>
      </w:divBdr>
      <w:divsChild>
        <w:div w:id="529949424">
          <w:marLeft w:val="0"/>
          <w:marRight w:val="0"/>
          <w:marTop w:val="0"/>
          <w:marBottom w:val="0"/>
          <w:divBdr>
            <w:top w:val="none" w:sz="0" w:space="0" w:color="auto"/>
            <w:left w:val="none" w:sz="0" w:space="0" w:color="auto"/>
            <w:bottom w:val="none" w:sz="0" w:space="0" w:color="auto"/>
            <w:right w:val="none" w:sz="0" w:space="0" w:color="auto"/>
          </w:divBdr>
          <w:divsChild>
            <w:div w:id="784498651">
              <w:marLeft w:val="0"/>
              <w:marRight w:val="0"/>
              <w:marTop w:val="0"/>
              <w:marBottom w:val="0"/>
              <w:divBdr>
                <w:top w:val="none" w:sz="0" w:space="0" w:color="auto"/>
                <w:left w:val="none" w:sz="0" w:space="0" w:color="auto"/>
                <w:bottom w:val="none" w:sz="0" w:space="0" w:color="auto"/>
                <w:right w:val="none" w:sz="0" w:space="0" w:color="auto"/>
              </w:divBdr>
              <w:divsChild>
                <w:div w:id="1477378463">
                  <w:marLeft w:val="0"/>
                  <w:marRight w:val="0"/>
                  <w:marTop w:val="0"/>
                  <w:marBottom w:val="0"/>
                  <w:divBdr>
                    <w:top w:val="none" w:sz="0" w:space="0" w:color="auto"/>
                    <w:left w:val="none" w:sz="0" w:space="0" w:color="auto"/>
                    <w:bottom w:val="none" w:sz="0" w:space="0" w:color="auto"/>
                    <w:right w:val="none" w:sz="0" w:space="0" w:color="auto"/>
                  </w:divBdr>
                  <w:divsChild>
                    <w:div w:id="16220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362419">
      <w:bodyDiv w:val="1"/>
      <w:marLeft w:val="0"/>
      <w:marRight w:val="0"/>
      <w:marTop w:val="0"/>
      <w:marBottom w:val="0"/>
      <w:divBdr>
        <w:top w:val="none" w:sz="0" w:space="0" w:color="auto"/>
        <w:left w:val="none" w:sz="0" w:space="0" w:color="auto"/>
        <w:bottom w:val="none" w:sz="0" w:space="0" w:color="auto"/>
        <w:right w:val="none" w:sz="0" w:space="0" w:color="auto"/>
      </w:divBdr>
    </w:div>
    <w:div w:id="755173152">
      <w:bodyDiv w:val="1"/>
      <w:marLeft w:val="0"/>
      <w:marRight w:val="0"/>
      <w:marTop w:val="0"/>
      <w:marBottom w:val="0"/>
      <w:divBdr>
        <w:top w:val="none" w:sz="0" w:space="0" w:color="auto"/>
        <w:left w:val="none" w:sz="0" w:space="0" w:color="auto"/>
        <w:bottom w:val="none" w:sz="0" w:space="0" w:color="auto"/>
        <w:right w:val="none" w:sz="0" w:space="0" w:color="auto"/>
      </w:divBdr>
    </w:div>
    <w:div w:id="757018683">
      <w:bodyDiv w:val="1"/>
      <w:marLeft w:val="0"/>
      <w:marRight w:val="0"/>
      <w:marTop w:val="0"/>
      <w:marBottom w:val="0"/>
      <w:divBdr>
        <w:top w:val="none" w:sz="0" w:space="0" w:color="auto"/>
        <w:left w:val="none" w:sz="0" w:space="0" w:color="auto"/>
        <w:bottom w:val="none" w:sz="0" w:space="0" w:color="auto"/>
        <w:right w:val="none" w:sz="0" w:space="0" w:color="auto"/>
      </w:divBdr>
    </w:div>
    <w:div w:id="759984530">
      <w:bodyDiv w:val="1"/>
      <w:marLeft w:val="0"/>
      <w:marRight w:val="0"/>
      <w:marTop w:val="0"/>
      <w:marBottom w:val="0"/>
      <w:divBdr>
        <w:top w:val="none" w:sz="0" w:space="0" w:color="auto"/>
        <w:left w:val="none" w:sz="0" w:space="0" w:color="auto"/>
        <w:bottom w:val="none" w:sz="0" w:space="0" w:color="auto"/>
        <w:right w:val="none" w:sz="0" w:space="0" w:color="auto"/>
      </w:divBdr>
    </w:div>
    <w:div w:id="765661288">
      <w:bodyDiv w:val="1"/>
      <w:marLeft w:val="0"/>
      <w:marRight w:val="0"/>
      <w:marTop w:val="0"/>
      <w:marBottom w:val="0"/>
      <w:divBdr>
        <w:top w:val="none" w:sz="0" w:space="0" w:color="auto"/>
        <w:left w:val="none" w:sz="0" w:space="0" w:color="auto"/>
        <w:bottom w:val="none" w:sz="0" w:space="0" w:color="auto"/>
        <w:right w:val="none" w:sz="0" w:space="0" w:color="auto"/>
      </w:divBdr>
    </w:div>
    <w:div w:id="782724795">
      <w:bodyDiv w:val="1"/>
      <w:marLeft w:val="0"/>
      <w:marRight w:val="0"/>
      <w:marTop w:val="0"/>
      <w:marBottom w:val="0"/>
      <w:divBdr>
        <w:top w:val="none" w:sz="0" w:space="0" w:color="auto"/>
        <w:left w:val="none" w:sz="0" w:space="0" w:color="auto"/>
        <w:bottom w:val="none" w:sz="0" w:space="0" w:color="auto"/>
        <w:right w:val="none" w:sz="0" w:space="0" w:color="auto"/>
      </w:divBdr>
    </w:div>
    <w:div w:id="787939927">
      <w:bodyDiv w:val="1"/>
      <w:marLeft w:val="0"/>
      <w:marRight w:val="0"/>
      <w:marTop w:val="0"/>
      <w:marBottom w:val="0"/>
      <w:divBdr>
        <w:top w:val="none" w:sz="0" w:space="0" w:color="auto"/>
        <w:left w:val="none" w:sz="0" w:space="0" w:color="auto"/>
        <w:bottom w:val="none" w:sz="0" w:space="0" w:color="auto"/>
        <w:right w:val="none" w:sz="0" w:space="0" w:color="auto"/>
      </w:divBdr>
    </w:div>
    <w:div w:id="800808045">
      <w:bodyDiv w:val="1"/>
      <w:marLeft w:val="0"/>
      <w:marRight w:val="0"/>
      <w:marTop w:val="0"/>
      <w:marBottom w:val="0"/>
      <w:divBdr>
        <w:top w:val="none" w:sz="0" w:space="0" w:color="auto"/>
        <w:left w:val="none" w:sz="0" w:space="0" w:color="auto"/>
        <w:bottom w:val="none" w:sz="0" w:space="0" w:color="auto"/>
        <w:right w:val="none" w:sz="0" w:space="0" w:color="auto"/>
      </w:divBdr>
    </w:div>
    <w:div w:id="817116537">
      <w:bodyDiv w:val="1"/>
      <w:marLeft w:val="0"/>
      <w:marRight w:val="0"/>
      <w:marTop w:val="0"/>
      <w:marBottom w:val="0"/>
      <w:divBdr>
        <w:top w:val="none" w:sz="0" w:space="0" w:color="auto"/>
        <w:left w:val="none" w:sz="0" w:space="0" w:color="auto"/>
        <w:bottom w:val="none" w:sz="0" w:space="0" w:color="auto"/>
        <w:right w:val="none" w:sz="0" w:space="0" w:color="auto"/>
      </w:divBdr>
    </w:div>
    <w:div w:id="820657680">
      <w:bodyDiv w:val="1"/>
      <w:marLeft w:val="0"/>
      <w:marRight w:val="0"/>
      <w:marTop w:val="0"/>
      <w:marBottom w:val="0"/>
      <w:divBdr>
        <w:top w:val="none" w:sz="0" w:space="0" w:color="auto"/>
        <w:left w:val="none" w:sz="0" w:space="0" w:color="auto"/>
        <w:bottom w:val="none" w:sz="0" w:space="0" w:color="auto"/>
        <w:right w:val="none" w:sz="0" w:space="0" w:color="auto"/>
      </w:divBdr>
    </w:div>
    <w:div w:id="828787536">
      <w:bodyDiv w:val="1"/>
      <w:marLeft w:val="0"/>
      <w:marRight w:val="0"/>
      <w:marTop w:val="0"/>
      <w:marBottom w:val="0"/>
      <w:divBdr>
        <w:top w:val="none" w:sz="0" w:space="0" w:color="auto"/>
        <w:left w:val="none" w:sz="0" w:space="0" w:color="auto"/>
        <w:bottom w:val="none" w:sz="0" w:space="0" w:color="auto"/>
        <w:right w:val="none" w:sz="0" w:space="0" w:color="auto"/>
      </w:divBdr>
      <w:divsChild>
        <w:div w:id="1401635209">
          <w:marLeft w:val="0"/>
          <w:marRight w:val="0"/>
          <w:marTop w:val="0"/>
          <w:marBottom w:val="0"/>
          <w:divBdr>
            <w:top w:val="none" w:sz="0" w:space="0" w:color="auto"/>
            <w:left w:val="none" w:sz="0" w:space="0" w:color="auto"/>
            <w:bottom w:val="none" w:sz="0" w:space="0" w:color="auto"/>
            <w:right w:val="none" w:sz="0" w:space="0" w:color="auto"/>
          </w:divBdr>
          <w:divsChild>
            <w:div w:id="633683254">
              <w:marLeft w:val="0"/>
              <w:marRight w:val="0"/>
              <w:marTop w:val="0"/>
              <w:marBottom w:val="0"/>
              <w:divBdr>
                <w:top w:val="none" w:sz="0" w:space="0" w:color="auto"/>
                <w:left w:val="none" w:sz="0" w:space="0" w:color="auto"/>
                <w:bottom w:val="none" w:sz="0" w:space="0" w:color="auto"/>
                <w:right w:val="none" w:sz="0" w:space="0" w:color="auto"/>
              </w:divBdr>
              <w:divsChild>
                <w:div w:id="1480656884">
                  <w:marLeft w:val="0"/>
                  <w:marRight w:val="0"/>
                  <w:marTop w:val="0"/>
                  <w:marBottom w:val="0"/>
                  <w:divBdr>
                    <w:top w:val="none" w:sz="0" w:space="0" w:color="auto"/>
                    <w:left w:val="none" w:sz="0" w:space="0" w:color="auto"/>
                    <w:bottom w:val="none" w:sz="0" w:space="0" w:color="auto"/>
                    <w:right w:val="none" w:sz="0" w:space="0" w:color="auto"/>
                  </w:divBdr>
                  <w:divsChild>
                    <w:div w:id="99306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035715">
      <w:bodyDiv w:val="1"/>
      <w:marLeft w:val="0"/>
      <w:marRight w:val="0"/>
      <w:marTop w:val="0"/>
      <w:marBottom w:val="0"/>
      <w:divBdr>
        <w:top w:val="none" w:sz="0" w:space="0" w:color="auto"/>
        <w:left w:val="none" w:sz="0" w:space="0" w:color="auto"/>
        <w:bottom w:val="none" w:sz="0" w:space="0" w:color="auto"/>
        <w:right w:val="none" w:sz="0" w:space="0" w:color="auto"/>
      </w:divBdr>
    </w:div>
    <w:div w:id="834808897">
      <w:bodyDiv w:val="1"/>
      <w:marLeft w:val="0"/>
      <w:marRight w:val="0"/>
      <w:marTop w:val="0"/>
      <w:marBottom w:val="0"/>
      <w:divBdr>
        <w:top w:val="none" w:sz="0" w:space="0" w:color="auto"/>
        <w:left w:val="none" w:sz="0" w:space="0" w:color="auto"/>
        <w:bottom w:val="none" w:sz="0" w:space="0" w:color="auto"/>
        <w:right w:val="none" w:sz="0" w:space="0" w:color="auto"/>
      </w:divBdr>
    </w:div>
    <w:div w:id="843016877">
      <w:bodyDiv w:val="1"/>
      <w:marLeft w:val="0"/>
      <w:marRight w:val="0"/>
      <w:marTop w:val="0"/>
      <w:marBottom w:val="0"/>
      <w:divBdr>
        <w:top w:val="none" w:sz="0" w:space="0" w:color="auto"/>
        <w:left w:val="none" w:sz="0" w:space="0" w:color="auto"/>
        <w:bottom w:val="none" w:sz="0" w:space="0" w:color="auto"/>
        <w:right w:val="none" w:sz="0" w:space="0" w:color="auto"/>
      </w:divBdr>
    </w:div>
    <w:div w:id="853111684">
      <w:bodyDiv w:val="1"/>
      <w:marLeft w:val="0"/>
      <w:marRight w:val="0"/>
      <w:marTop w:val="0"/>
      <w:marBottom w:val="0"/>
      <w:divBdr>
        <w:top w:val="none" w:sz="0" w:space="0" w:color="auto"/>
        <w:left w:val="none" w:sz="0" w:space="0" w:color="auto"/>
        <w:bottom w:val="none" w:sz="0" w:space="0" w:color="auto"/>
        <w:right w:val="none" w:sz="0" w:space="0" w:color="auto"/>
      </w:divBdr>
    </w:div>
    <w:div w:id="861087156">
      <w:bodyDiv w:val="1"/>
      <w:marLeft w:val="0"/>
      <w:marRight w:val="0"/>
      <w:marTop w:val="0"/>
      <w:marBottom w:val="0"/>
      <w:divBdr>
        <w:top w:val="none" w:sz="0" w:space="0" w:color="auto"/>
        <w:left w:val="none" w:sz="0" w:space="0" w:color="auto"/>
        <w:bottom w:val="none" w:sz="0" w:space="0" w:color="auto"/>
        <w:right w:val="none" w:sz="0" w:space="0" w:color="auto"/>
      </w:divBdr>
    </w:div>
    <w:div w:id="863666130">
      <w:bodyDiv w:val="1"/>
      <w:marLeft w:val="0"/>
      <w:marRight w:val="0"/>
      <w:marTop w:val="0"/>
      <w:marBottom w:val="0"/>
      <w:divBdr>
        <w:top w:val="none" w:sz="0" w:space="0" w:color="auto"/>
        <w:left w:val="none" w:sz="0" w:space="0" w:color="auto"/>
        <w:bottom w:val="none" w:sz="0" w:space="0" w:color="auto"/>
        <w:right w:val="none" w:sz="0" w:space="0" w:color="auto"/>
      </w:divBdr>
    </w:div>
    <w:div w:id="867179288">
      <w:bodyDiv w:val="1"/>
      <w:marLeft w:val="0"/>
      <w:marRight w:val="0"/>
      <w:marTop w:val="0"/>
      <w:marBottom w:val="0"/>
      <w:divBdr>
        <w:top w:val="none" w:sz="0" w:space="0" w:color="auto"/>
        <w:left w:val="none" w:sz="0" w:space="0" w:color="auto"/>
        <w:bottom w:val="none" w:sz="0" w:space="0" w:color="auto"/>
        <w:right w:val="none" w:sz="0" w:space="0" w:color="auto"/>
      </w:divBdr>
    </w:div>
    <w:div w:id="926695868">
      <w:bodyDiv w:val="1"/>
      <w:marLeft w:val="0"/>
      <w:marRight w:val="0"/>
      <w:marTop w:val="0"/>
      <w:marBottom w:val="0"/>
      <w:divBdr>
        <w:top w:val="none" w:sz="0" w:space="0" w:color="auto"/>
        <w:left w:val="none" w:sz="0" w:space="0" w:color="auto"/>
        <w:bottom w:val="none" w:sz="0" w:space="0" w:color="auto"/>
        <w:right w:val="none" w:sz="0" w:space="0" w:color="auto"/>
      </w:divBdr>
    </w:div>
    <w:div w:id="939796618">
      <w:bodyDiv w:val="1"/>
      <w:marLeft w:val="0"/>
      <w:marRight w:val="0"/>
      <w:marTop w:val="0"/>
      <w:marBottom w:val="0"/>
      <w:divBdr>
        <w:top w:val="none" w:sz="0" w:space="0" w:color="auto"/>
        <w:left w:val="none" w:sz="0" w:space="0" w:color="auto"/>
        <w:bottom w:val="none" w:sz="0" w:space="0" w:color="auto"/>
        <w:right w:val="none" w:sz="0" w:space="0" w:color="auto"/>
      </w:divBdr>
    </w:div>
    <w:div w:id="951863739">
      <w:bodyDiv w:val="1"/>
      <w:marLeft w:val="0"/>
      <w:marRight w:val="0"/>
      <w:marTop w:val="0"/>
      <w:marBottom w:val="0"/>
      <w:divBdr>
        <w:top w:val="none" w:sz="0" w:space="0" w:color="auto"/>
        <w:left w:val="none" w:sz="0" w:space="0" w:color="auto"/>
        <w:bottom w:val="none" w:sz="0" w:space="0" w:color="auto"/>
        <w:right w:val="none" w:sz="0" w:space="0" w:color="auto"/>
      </w:divBdr>
    </w:div>
    <w:div w:id="953252572">
      <w:bodyDiv w:val="1"/>
      <w:marLeft w:val="0"/>
      <w:marRight w:val="0"/>
      <w:marTop w:val="0"/>
      <w:marBottom w:val="0"/>
      <w:divBdr>
        <w:top w:val="none" w:sz="0" w:space="0" w:color="auto"/>
        <w:left w:val="none" w:sz="0" w:space="0" w:color="auto"/>
        <w:bottom w:val="none" w:sz="0" w:space="0" w:color="auto"/>
        <w:right w:val="none" w:sz="0" w:space="0" w:color="auto"/>
      </w:divBdr>
    </w:div>
    <w:div w:id="972103766">
      <w:bodyDiv w:val="1"/>
      <w:marLeft w:val="0"/>
      <w:marRight w:val="0"/>
      <w:marTop w:val="0"/>
      <w:marBottom w:val="0"/>
      <w:divBdr>
        <w:top w:val="none" w:sz="0" w:space="0" w:color="auto"/>
        <w:left w:val="none" w:sz="0" w:space="0" w:color="auto"/>
        <w:bottom w:val="none" w:sz="0" w:space="0" w:color="auto"/>
        <w:right w:val="none" w:sz="0" w:space="0" w:color="auto"/>
      </w:divBdr>
    </w:div>
    <w:div w:id="979188703">
      <w:bodyDiv w:val="1"/>
      <w:marLeft w:val="0"/>
      <w:marRight w:val="0"/>
      <w:marTop w:val="0"/>
      <w:marBottom w:val="0"/>
      <w:divBdr>
        <w:top w:val="none" w:sz="0" w:space="0" w:color="auto"/>
        <w:left w:val="none" w:sz="0" w:space="0" w:color="auto"/>
        <w:bottom w:val="none" w:sz="0" w:space="0" w:color="auto"/>
        <w:right w:val="none" w:sz="0" w:space="0" w:color="auto"/>
      </w:divBdr>
    </w:div>
    <w:div w:id="999575573">
      <w:bodyDiv w:val="1"/>
      <w:marLeft w:val="0"/>
      <w:marRight w:val="0"/>
      <w:marTop w:val="0"/>
      <w:marBottom w:val="0"/>
      <w:divBdr>
        <w:top w:val="none" w:sz="0" w:space="0" w:color="auto"/>
        <w:left w:val="none" w:sz="0" w:space="0" w:color="auto"/>
        <w:bottom w:val="none" w:sz="0" w:space="0" w:color="auto"/>
        <w:right w:val="none" w:sz="0" w:space="0" w:color="auto"/>
      </w:divBdr>
      <w:divsChild>
        <w:div w:id="1314212510">
          <w:marLeft w:val="0"/>
          <w:marRight w:val="0"/>
          <w:marTop w:val="0"/>
          <w:marBottom w:val="0"/>
          <w:divBdr>
            <w:top w:val="none" w:sz="0" w:space="0" w:color="auto"/>
            <w:left w:val="none" w:sz="0" w:space="0" w:color="auto"/>
            <w:bottom w:val="none" w:sz="0" w:space="0" w:color="auto"/>
            <w:right w:val="none" w:sz="0" w:space="0" w:color="auto"/>
          </w:divBdr>
          <w:divsChild>
            <w:div w:id="993678384">
              <w:marLeft w:val="0"/>
              <w:marRight w:val="0"/>
              <w:marTop w:val="0"/>
              <w:marBottom w:val="0"/>
              <w:divBdr>
                <w:top w:val="none" w:sz="0" w:space="0" w:color="auto"/>
                <w:left w:val="none" w:sz="0" w:space="0" w:color="auto"/>
                <w:bottom w:val="none" w:sz="0" w:space="0" w:color="auto"/>
                <w:right w:val="none" w:sz="0" w:space="0" w:color="auto"/>
              </w:divBdr>
              <w:divsChild>
                <w:div w:id="602299450">
                  <w:marLeft w:val="0"/>
                  <w:marRight w:val="0"/>
                  <w:marTop w:val="0"/>
                  <w:marBottom w:val="0"/>
                  <w:divBdr>
                    <w:top w:val="none" w:sz="0" w:space="0" w:color="auto"/>
                    <w:left w:val="none" w:sz="0" w:space="0" w:color="auto"/>
                    <w:bottom w:val="none" w:sz="0" w:space="0" w:color="auto"/>
                    <w:right w:val="none" w:sz="0" w:space="0" w:color="auto"/>
                  </w:divBdr>
                  <w:divsChild>
                    <w:div w:id="15749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812913">
      <w:bodyDiv w:val="1"/>
      <w:marLeft w:val="0"/>
      <w:marRight w:val="0"/>
      <w:marTop w:val="0"/>
      <w:marBottom w:val="0"/>
      <w:divBdr>
        <w:top w:val="none" w:sz="0" w:space="0" w:color="auto"/>
        <w:left w:val="none" w:sz="0" w:space="0" w:color="auto"/>
        <w:bottom w:val="none" w:sz="0" w:space="0" w:color="auto"/>
        <w:right w:val="none" w:sz="0" w:space="0" w:color="auto"/>
      </w:divBdr>
      <w:divsChild>
        <w:div w:id="731580194">
          <w:marLeft w:val="0"/>
          <w:marRight w:val="0"/>
          <w:marTop w:val="0"/>
          <w:marBottom w:val="0"/>
          <w:divBdr>
            <w:top w:val="none" w:sz="0" w:space="0" w:color="auto"/>
            <w:left w:val="none" w:sz="0" w:space="0" w:color="auto"/>
            <w:bottom w:val="none" w:sz="0" w:space="0" w:color="auto"/>
            <w:right w:val="none" w:sz="0" w:space="0" w:color="auto"/>
          </w:divBdr>
          <w:divsChild>
            <w:div w:id="619729740">
              <w:marLeft w:val="0"/>
              <w:marRight w:val="0"/>
              <w:marTop w:val="0"/>
              <w:marBottom w:val="0"/>
              <w:divBdr>
                <w:top w:val="none" w:sz="0" w:space="0" w:color="auto"/>
                <w:left w:val="none" w:sz="0" w:space="0" w:color="auto"/>
                <w:bottom w:val="none" w:sz="0" w:space="0" w:color="auto"/>
                <w:right w:val="none" w:sz="0" w:space="0" w:color="auto"/>
              </w:divBdr>
              <w:divsChild>
                <w:div w:id="237331664">
                  <w:marLeft w:val="0"/>
                  <w:marRight w:val="0"/>
                  <w:marTop w:val="0"/>
                  <w:marBottom w:val="0"/>
                  <w:divBdr>
                    <w:top w:val="none" w:sz="0" w:space="0" w:color="auto"/>
                    <w:left w:val="none" w:sz="0" w:space="0" w:color="auto"/>
                    <w:bottom w:val="none" w:sz="0" w:space="0" w:color="auto"/>
                    <w:right w:val="none" w:sz="0" w:space="0" w:color="auto"/>
                  </w:divBdr>
                  <w:divsChild>
                    <w:div w:id="143813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992434">
      <w:bodyDiv w:val="1"/>
      <w:marLeft w:val="0"/>
      <w:marRight w:val="0"/>
      <w:marTop w:val="0"/>
      <w:marBottom w:val="0"/>
      <w:divBdr>
        <w:top w:val="none" w:sz="0" w:space="0" w:color="auto"/>
        <w:left w:val="none" w:sz="0" w:space="0" w:color="auto"/>
        <w:bottom w:val="none" w:sz="0" w:space="0" w:color="auto"/>
        <w:right w:val="none" w:sz="0" w:space="0" w:color="auto"/>
      </w:divBdr>
    </w:div>
    <w:div w:id="1019429133">
      <w:bodyDiv w:val="1"/>
      <w:marLeft w:val="0"/>
      <w:marRight w:val="0"/>
      <w:marTop w:val="0"/>
      <w:marBottom w:val="0"/>
      <w:divBdr>
        <w:top w:val="none" w:sz="0" w:space="0" w:color="auto"/>
        <w:left w:val="none" w:sz="0" w:space="0" w:color="auto"/>
        <w:bottom w:val="none" w:sz="0" w:space="0" w:color="auto"/>
        <w:right w:val="none" w:sz="0" w:space="0" w:color="auto"/>
      </w:divBdr>
    </w:div>
    <w:div w:id="1025056768">
      <w:bodyDiv w:val="1"/>
      <w:marLeft w:val="0"/>
      <w:marRight w:val="0"/>
      <w:marTop w:val="0"/>
      <w:marBottom w:val="0"/>
      <w:divBdr>
        <w:top w:val="none" w:sz="0" w:space="0" w:color="auto"/>
        <w:left w:val="none" w:sz="0" w:space="0" w:color="auto"/>
        <w:bottom w:val="none" w:sz="0" w:space="0" w:color="auto"/>
        <w:right w:val="none" w:sz="0" w:space="0" w:color="auto"/>
      </w:divBdr>
    </w:div>
    <w:div w:id="1032270610">
      <w:bodyDiv w:val="1"/>
      <w:marLeft w:val="0"/>
      <w:marRight w:val="0"/>
      <w:marTop w:val="0"/>
      <w:marBottom w:val="0"/>
      <w:divBdr>
        <w:top w:val="none" w:sz="0" w:space="0" w:color="auto"/>
        <w:left w:val="none" w:sz="0" w:space="0" w:color="auto"/>
        <w:bottom w:val="none" w:sz="0" w:space="0" w:color="auto"/>
        <w:right w:val="none" w:sz="0" w:space="0" w:color="auto"/>
      </w:divBdr>
    </w:div>
    <w:div w:id="1040590905">
      <w:bodyDiv w:val="1"/>
      <w:marLeft w:val="0"/>
      <w:marRight w:val="0"/>
      <w:marTop w:val="0"/>
      <w:marBottom w:val="0"/>
      <w:divBdr>
        <w:top w:val="none" w:sz="0" w:space="0" w:color="auto"/>
        <w:left w:val="none" w:sz="0" w:space="0" w:color="auto"/>
        <w:bottom w:val="none" w:sz="0" w:space="0" w:color="auto"/>
        <w:right w:val="none" w:sz="0" w:space="0" w:color="auto"/>
      </w:divBdr>
    </w:div>
    <w:div w:id="1059479272">
      <w:bodyDiv w:val="1"/>
      <w:marLeft w:val="0"/>
      <w:marRight w:val="0"/>
      <w:marTop w:val="0"/>
      <w:marBottom w:val="0"/>
      <w:divBdr>
        <w:top w:val="none" w:sz="0" w:space="0" w:color="auto"/>
        <w:left w:val="none" w:sz="0" w:space="0" w:color="auto"/>
        <w:bottom w:val="none" w:sz="0" w:space="0" w:color="auto"/>
        <w:right w:val="none" w:sz="0" w:space="0" w:color="auto"/>
      </w:divBdr>
    </w:div>
    <w:div w:id="1063917044">
      <w:bodyDiv w:val="1"/>
      <w:marLeft w:val="0"/>
      <w:marRight w:val="0"/>
      <w:marTop w:val="0"/>
      <w:marBottom w:val="0"/>
      <w:divBdr>
        <w:top w:val="none" w:sz="0" w:space="0" w:color="auto"/>
        <w:left w:val="none" w:sz="0" w:space="0" w:color="auto"/>
        <w:bottom w:val="none" w:sz="0" w:space="0" w:color="auto"/>
        <w:right w:val="none" w:sz="0" w:space="0" w:color="auto"/>
      </w:divBdr>
    </w:div>
    <w:div w:id="1066760509">
      <w:bodyDiv w:val="1"/>
      <w:marLeft w:val="0"/>
      <w:marRight w:val="0"/>
      <w:marTop w:val="0"/>
      <w:marBottom w:val="0"/>
      <w:divBdr>
        <w:top w:val="none" w:sz="0" w:space="0" w:color="auto"/>
        <w:left w:val="none" w:sz="0" w:space="0" w:color="auto"/>
        <w:bottom w:val="none" w:sz="0" w:space="0" w:color="auto"/>
        <w:right w:val="none" w:sz="0" w:space="0" w:color="auto"/>
      </w:divBdr>
      <w:divsChild>
        <w:div w:id="1605962307">
          <w:marLeft w:val="0"/>
          <w:marRight w:val="0"/>
          <w:marTop w:val="0"/>
          <w:marBottom w:val="0"/>
          <w:divBdr>
            <w:top w:val="none" w:sz="0" w:space="0" w:color="auto"/>
            <w:left w:val="none" w:sz="0" w:space="0" w:color="auto"/>
            <w:bottom w:val="none" w:sz="0" w:space="0" w:color="auto"/>
            <w:right w:val="none" w:sz="0" w:space="0" w:color="auto"/>
          </w:divBdr>
          <w:divsChild>
            <w:div w:id="1247105749">
              <w:marLeft w:val="0"/>
              <w:marRight w:val="0"/>
              <w:marTop w:val="0"/>
              <w:marBottom w:val="0"/>
              <w:divBdr>
                <w:top w:val="none" w:sz="0" w:space="0" w:color="auto"/>
                <w:left w:val="none" w:sz="0" w:space="0" w:color="auto"/>
                <w:bottom w:val="none" w:sz="0" w:space="0" w:color="auto"/>
                <w:right w:val="none" w:sz="0" w:space="0" w:color="auto"/>
              </w:divBdr>
              <w:divsChild>
                <w:div w:id="1698694189">
                  <w:marLeft w:val="0"/>
                  <w:marRight w:val="0"/>
                  <w:marTop w:val="0"/>
                  <w:marBottom w:val="0"/>
                  <w:divBdr>
                    <w:top w:val="none" w:sz="0" w:space="0" w:color="auto"/>
                    <w:left w:val="none" w:sz="0" w:space="0" w:color="auto"/>
                    <w:bottom w:val="none" w:sz="0" w:space="0" w:color="auto"/>
                    <w:right w:val="none" w:sz="0" w:space="0" w:color="auto"/>
                  </w:divBdr>
                  <w:divsChild>
                    <w:div w:id="156198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003968">
      <w:bodyDiv w:val="1"/>
      <w:marLeft w:val="0"/>
      <w:marRight w:val="0"/>
      <w:marTop w:val="0"/>
      <w:marBottom w:val="0"/>
      <w:divBdr>
        <w:top w:val="none" w:sz="0" w:space="0" w:color="auto"/>
        <w:left w:val="none" w:sz="0" w:space="0" w:color="auto"/>
        <w:bottom w:val="none" w:sz="0" w:space="0" w:color="auto"/>
        <w:right w:val="none" w:sz="0" w:space="0" w:color="auto"/>
      </w:divBdr>
    </w:div>
    <w:div w:id="1082725352">
      <w:bodyDiv w:val="1"/>
      <w:marLeft w:val="0"/>
      <w:marRight w:val="0"/>
      <w:marTop w:val="0"/>
      <w:marBottom w:val="0"/>
      <w:divBdr>
        <w:top w:val="none" w:sz="0" w:space="0" w:color="auto"/>
        <w:left w:val="none" w:sz="0" w:space="0" w:color="auto"/>
        <w:bottom w:val="none" w:sz="0" w:space="0" w:color="auto"/>
        <w:right w:val="none" w:sz="0" w:space="0" w:color="auto"/>
      </w:divBdr>
    </w:div>
    <w:div w:id="1088119885">
      <w:bodyDiv w:val="1"/>
      <w:marLeft w:val="0"/>
      <w:marRight w:val="0"/>
      <w:marTop w:val="0"/>
      <w:marBottom w:val="0"/>
      <w:divBdr>
        <w:top w:val="none" w:sz="0" w:space="0" w:color="auto"/>
        <w:left w:val="none" w:sz="0" w:space="0" w:color="auto"/>
        <w:bottom w:val="none" w:sz="0" w:space="0" w:color="auto"/>
        <w:right w:val="none" w:sz="0" w:space="0" w:color="auto"/>
      </w:divBdr>
    </w:div>
    <w:div w:id="1089472054">
      <w:bodyDiv w:val="1"/>
      <w:marLeft w:val="0"/>
      <w:marRight w:val="0"/>
      <w:marTop w:val="0"/>
      <w:marBottom w:val="0"/>
      <w:divBdr>
        <w:top w:val="none" w:sz="0" w:space="0" w:color="auto"/>
        <w:left w:val="none" w:sz="0" w:space="0" w:color="auto"/>
        <w:bottom w:val="none" w:sz="0" w:space="0" w:color="auto"/>
        <w:right w:val="none" w:sz="0" w:space="0" w:color="auto"/>
      </w:divBdr>
      <w:divsChild>
        <w:div w:id="831406737">
          <w:marLeft w:val="0"/>
          <w:marRight w:val="0"/>
          <w:marTop w:val="0"/>
          <w:marBottom w:val="0"/>
          <w:divBdr>
            <w:top w:val="none" w:sz="0" w:space="0" w:color="auto"/>
            <w:left w:val="none" w:sz="0" w:space="0" w:color="auto"/>
            <w:bottom w:val="none" w:sz="0" w:space="0" w:color="auto"/>
            <w:right w:val="none" w:sz="0" w:space="0" w:color="auto"/>
          </w:divBdr>
          <w:divsChild>
            <w:div w:id="829491776">
              <w:marLeft w:val="0"/>
              <w:marRight w:val="0"/>
              <w:marTop w:val="0"/>
              <w:marBottom w:val="0"/>
              <w:divBdr>
                <w:top w:val="none" w:sz="0" w:space="0" w:color="auto"/>
                <w:left w:val="none" w:sz="0" w:space="0" w:color="auto"/>
                <w:bottom w:val="none" w:sz="0" w:space="0" w:color="auto"/>
                <w:right w:val="none" w:sz="0" w:space="0" w:color="auto"/>
              </w:divBdr>
              <w:divsChild>
                <w:div w:id="1424648864">
                  <w:marLeft w:val="0"/>
                  <w:marRight w:val="0"/>
                  <w:marTop w:val="0"/>
                  <w:marBottom w:val="0"/>
                  <w:divBdr>
                    <w:top w:val="none" w:sz="0" w:space="0" w:color="auto"/>
                    <w:left w:val="none" w:sz="0" w:space="0" w:color="auto"/>
                    <w:bottom w:val="none" w:sz="0" w:space="0" w:color="auto"/>
                    <w:right w:val="none" w:sz="0" w:space="0" w:color="auto"/>
                  </w:divBdr>
                  <w:divsChild>
                    <w:div w:id="111274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243223">
      <w:bodyDiv w:val="1"/>
      <w:marLeft w:val="0"/>
      <w:marRight w:val="0"/>
      <w:marTop w:val="0"/>
      <w:marBottom w:val="0"/>
      <w:divBdr>
        <w:top w:val="none" w:sz="0" w:space="0" w:color="auto"/>
        <w:left w:val="none" w:sz="0" w:space="0" w:color="auto"/>
        <w:bottom w:val="none" w:sz="0" w:space="0" w:color="auto"/>
        <w:right w:val="none" w:sz="0" w:space="0" w:color="auto"/>
      </w:divBdr>
    </w:div>
    <w:div w:id="1115565764">
      <w:bodyDiv w:val="1"/>
      <w:marLeft w:val="0"/>
      <w:marRight w:val="0"/>
      <w:marTop w:val="0"/>
      <w:marBottom w:val="0"/>
      <w:divBdr>
        <w:top w:val="none" w:sz="0" w:space="0" w:color="auto"/>
        <w:left w:val="none" w:sz="0" w:space="0" w:color="auto"/>
        <w:bottom w:val="none" w:sz="0" w:space="0" w:color="auto"/>
        <w:right w:val="none" w:sz="0" w:space="0" w:color="auto"/>
      </w:divBdr>
      <w:divsChild>
        <w:div w:id="457796867">
          <w:marLeft w:val="0"/>
          <w:marRight w:val="0"/>
          <w:marTop w:val="0"/>
          <w:marBottom w:val="0"/>
          <w:divBdr>
            <w:top w:val="none" w:sz="0" w:space="0" w:color="auto"/>
            <w:left w:val="none" w:sz="0" w:space="0" w:color="auto"/>
            <w:bottom w:val="none" w:sz="0" w:space="0" w:color="auto"/>
            <w:right w:val="none" w:sz="0" w:space="0" w:color="auto"/>
          </w:divBdr>
          <w:divsChild>
            <w:div w:id="1639803632">
              <w:marLeft w:val="0"/>
              <w:marRight w:val="0"/>
              <w:marTop w:val="0"/>
              <w:marBottom w:val="0"/>
              <w:divBdr>
                <w:top w:val="none" w:sz="0" w:space="0" w:color="auto"/>
                <w:left w:val="none" w:sz="0" w:space="0" w:color="auto"/>
                <w:bottom w:val="none" w:sz="0" w:space="0" w:color="auto"/>
                <w:right w:val="none" w:sz="0" w:space="0" w:color="auto"/>
              </w:divBdr>
              <w:divsChild>
                <w:div w:id="1496410605">
                  <w:marLeft w:val="0"/>
                  <w:marRight w:val="0"/>
                  <w:marTop w:val="0"/>
                  <w:marBottom w:val="0"/>
                  <w:divBdr>
                    <w:top w:val="none" w:sz="0" w:space="0" w:color="auto"/>
                    <w:left w:val="none" w:sz="0" w:space="0" w:color="auto"/>
                    <w:bottom w:val="none" w:sz="0" w:space="0" w:color="auto"/>
                    <w:right w:val="none" w:sz="0" w:space="0" w:color="auto"/>
                  </w:divBdr>
                  <w:divsChild>
                    <w:div w:id="129336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29467">
      <w:bodyDiv w:val="1"/>
      <w:marLeft w:val="0"/>
      <w:marRight w:val="0"/>
      <w:marTop w:val="0"/>
      <w:marBottom w:val="0"/>
      <w:divBdr>
        <w:top w:val="none" w:sz="0" w:space="0" w:color="auto"/>
        <w:left w:val="none" w:sz="0" w:space="0" w:color="auto"/>
        <w:bottom w:val="none" w:sz="0" w:space="0" w:color="auto"/>
        <w:right w:val="none" w:sz="0" w:space="0" w:color="auto"/>
      </w:divBdr>
    </w:div>
    <w:div w:id="1128863823">
      <w:bodyDiv w:val="1"/>
      <w:marLeft w:val="0"/>
      <w:marRight w:val="0"/>
      <w:marTop w:val="0"/>
      <w:marBottom w:val="0"/>
      <w:divBdr>
        <w:top w:val="none" w:sz="0" w:space="0" w:color="auto"/>
        <w:left w:val="none" w:sz="0" w:space="0" w:color="auto"/>
        <w:bottom w:val="none" w:sz="0" w:space="0" w:color="auto"/>
        <w:right w:val="none" w:sz="0" w:space="0" w:color="auto"/>
      </w:divBdr>
      <w:divsChild>
        <w:div w:id="868222531">
          <w:marLeft w:val="0"/>
          <w:marRight w:val="0"/>
          <w:marTop w:val="0"/>
          <w:marBottom w:val="0"/>
          <w:divBdr>
            <w:top w:val="none" w:sz="0" w:space="0" w:color="auto"/>
            <w:left w:val="none" w:sz="0" w:space="0" w:color="auto"/>
            <w:bottom w:val="none" w:sz="0" w:space="0" w:color="auto"/>
            <w:right w:val="none" w:sz="0" w:space="0" w:color="auto"/>
          </w:divBdr>
          <w:divsChild>
            <w:div w:id="699162485">
              <w:marLeft w:val="0"/>
              <w:marRight w:val="0"/>
              <w:marTop w:val="0"/>
              <w:marBottom w:val="0"/>
              <w:divBdr>
                <w:top w:val="none" w:sz="0" w:space="0" w:color="auto"/>
                <w:left w:val="none" w:sz="0" w:space="0" w:color="auto"/>
                <w:bottom w:val="none" w:sz="0" w:space="0" w:color="auto"/>
                <w:right w:val="none" w:sz="0" w:space="0" w:color="auto"/>
              </w:divBdr>
              <w:divsChild>
                <w:div w:id="199902541">
                  <w:marLeft w:val="0"/>
                  <w:marRight w:val="0"/>
                  <w:marTop w:val="0"/>
                  <w:marBottom w:val="0"/>
                  <w:divBdr>
                    <w:top w:val="none" w:sz="0" w:space="0" w:color="auto"/>
                    <w:left w:val="none" w:sz="0" w:space="0" w:color="auto"/>
                    <w:bottom w:val="none" w:sz="0" w:space="0" w:color="auto"/>
                    <w:right w:val="none" w:sz="0" w:space="0" w:color="auto"/>
                  </w:divBdr>
                  <w:divsChild>
                    <w:div w:id="1459101505">
                      <w:marLeft w:val="0"/>
                      <w:marRight w:val="0"/>
                      <w:marTop w:val="0"/>
                      <w:marBottom w:val="0"/>
                      <w:divBdr>
                        <w:top w:val="none" w:sz="0" w:space="0" w:color="auto"/>
                        <w:left w:val="none" w:sz="0" w:space="0" w:color="auto"/>
                        <w:bottom w:val="none" w:sz="0" w:space="0" w:color="auto"/>
                        <w:right w:val="none" w:sz="0" w:space="0" w:color="auto"/>
                      </w:divBdr>
                    </w:div>
                  </w:divsChild>
                </w:div>
                <w:div w:id="1406610830">
                  <w:marLeft w:val="0"/>
                  <w:marRight w:val="0"/>
                  <w:marTop w:val="0"/>
                  <w:marBottom w:val="0"/>
                  <w:divBdr>
                    <w:top w:val="none" w:sz="0" w:space="0" w:color="auto"/>
                    <w:left w:val="none" w:sz="0" w:space="0" w:color="auto"/>
                    <w:bottom w:val="none" w:sz="0" w:space="0" w:color="auto"/>
                    <w:right w:val="none" w:sz="0" w:space="0" w:color="auto"/>
                  </w:divBdr>
                  <w:divsChild>
                    <w:div w:id="116073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208227">
      <w:bodyDiv w:val="1"/>
      <w:marLeft w:val="0"/>
      <w:marRight w:val="0"/>
      <w:marTop w:val="0"/>
      <w:marBottom w:val="0"/>
      <w:divBdr>
        <w:top w:val="none" w:sz="0" w:space="0" w:color="auto"/>
        <w:left w:val="none" w:sz="0" w:space="0" w:color="auto"/>
        <w:bottom w:val="none" w:sz="0" w:space="0" w:color="auto"/>
        <w:right w:val="none" w:sz="0" w:space="0" w:color="auto"/>
      </w:divBdr>
    </w:div>
    <w:div w:id="1133645004">
      <w:bodyDiv w:val="1"/>
      <w:marLeft w:val="0"/>
      <w:marRight w:val="0"/>
      <w:marTop w:val="0"/>
      <w:marBottom w:val="0"/>
      <w:divBdr>
        <w:top w:val="none" w:sz="0" w:space="0" w:color="auto"/>
        <w:left w:val="none" w:sz="0" w:space="0" w:color="auto"/>
        <w:bottom w:val="none" w:sz="0" w:space="0" w:color="auto"/>
        <w:right w:val="none" w:sz="0" w:space="0" w:color="auto"/>
      </w:divBdr>
      <w:divsChild>
        <w:div w:id="290017748">
          <w:marLeft w:val="0"/>
          <w:marRight w:val="0"/>
          <w:marTop w:val="0"/>
          <w:marBottom w:val="0"/>
          <w:divBdr>
            <w:top w:val="none" w:sz="0" w:space="0" w:color="auto"/>
            <w:left w:val="none" w:sz="0" w:space="0" w:color="auto"/>
            <w:bottom w:val="none" w:sz="0" w:space="0" w:color="auto"/>
            <w:right w:val="none" w:sz="0" w:space="0" w:color="auto"/>
          </w:divBdr>
          <w:divsChild>
            <w:div w:id="908729423">
              <w:marLeft w:val="0"/>
              <w:marRight w:val="0"/>
              <w:marTop w:val="0"/>
              <w:marBottom w:val="0"/>
              <w:divBdr>
                <w:top w:val="none" w:sz="0" w:space="0" w:color="auto"/>
                <w:left w:val="none" w:sz="0" w:space="0" w:color="auto"/>
                <w:bottom w:val="none" w:sz="0" w:space="0" w:color="auto"/>
                <w:right w:val="none" w:sz="0" w:space="0" w:color="auto"/>
              </w:divBdr>
              <w:divsChild>
                <w:div w:id="202324891">
                  <w:marLeft w:val="0"/>
                  <w:marRight w:val="0"/>
                  <w:marTop w:val="0"/>
                  <w:marBottom w:val="0"/>
                  <w:divBdr>
                    <w:top w:val="none" w:sz="0" w:space="0" w:color="auto"/>
                    <w:left w:val="none" w:sz="0" w:space="0" w:color="auto"/>
                    <w:bottom w:val="none" w:sz="0" w:space="0" w:color="auto"/>
                    <w:right w:val="none" w:sz="0" w:space="0" w:color="auto"/>
                  </w:divBdr>
                  <w:divsChild>
                    <w:div w:id="3696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022040">
      <w:bodyDiv w:val="1"/>
      <w:marLeft w:val="0"/>
      <w:marRight w:val="0"/>
      <w:marTop w:val="0"/>
      <w:marBottom w:val="0"/>
      <w:divBdr>
        <w:top w:val="none" w:sz="0" w:space="0" w:color="auto"/>
        <w:left w:val="none" w:sz="0" w:space="0" w:color="auto"/>
        <w:bottom w:val="none" w:sz="0" w:space="0" w:color="auto"/>
        <w:right w:val="none" w:sz="0" w:space="0" w:color="auto"/>
      </w:divBdr>
      <w:divsChild>
        <w:div w:id="1841039702">
          <w:marLeft w:val="0"/>
          <w:marRight w:val="0"/>
          <w:marTop w:val="0"/>
          <w:marBottom w:val="0"/>
          <w:divBdr>
            <w:top w:val="none" w:sz="0" w:space="0" w:color="auto"/>
            <w:left w:val="none" w:sz="0" w:space="0" w:color="auto"/>
            <w:bottom w:val="none" w:sz="0" w:space="0" w:color="auto"/>
            <w:right w:val="none" w:sz="0" w:space="0" w:color="auto"/>
          </w:divBdr>
          <w:divsChild>
            <w:div w:id="67921279">
              <w:marLeft w:val="0"/>
              <w:marRight w:val="0"/>
              <w:marTop w:val="0"/>
              <w:marBottom w:val="0"/>
              <w:divBdr>
                <w:top w:val="none" w:sz="0" w:space="0" w:color="auto"/>
                <w:left w:val="none" w:sz="0" w:space="0" w:color="auto"/>
                <w:bottom w:val="none" w:sz="0" w:space="0" w:color="auto"/>
                <w:right w:val="none" w:sz="0" w:space="0" w:color="auto"/>
              </w:divBdr>
              <w:divsChild>
                <w:div w:id="2128498470">
                  <w:marLeft w:val="0"/>
                  <w:marRight w:val="0"/>
                  <w:marTop w:val="0"/>
                  <w:marBottom w:val="0"/>
                  <w:divBdr>
                    <w:top w:val="none" w:sz="0" w:space="0" w:color="auto"/>
                    <w:left w:val="none" w:sz="0" w:space="0" w:color="auto"/>
                    <w:bottom w:val="none" w:sz="0" w:space="0" w:color="auto"/>
                    <w:right w:val="none" w:sz="0" w:space="0" w:color="auto"/>
                  </w:divBdr>
                  <w:divsChild>
                    <w:div w:id="856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869731">
      <w:bodyDiv w:val="1"/>
      <w:marLeft w:val="0"/>
      <w:marRight w:val="0"/>
      <w:marTop w:val="0"/>
      <w:marBottom w:val="0"/>
      <w:divBdr>
        <w:top w:val="none" w:sz="0" w:space="0" w:color="auto"/>
        <w:left w:val="none" w:sz="0" w:space="0" w:color="auto"/>
        <w:bottom w:val="none" w:sz="0" w:space="0" w:color="auto"/>
        <w:right w:val="none" w:sz="0" w:space="0" w:color="auto"/>
      </w:divBdr>
    </w:div>
    <w:div w:id="1158694420">
      <w:bodyDiv w:val="1"/>
      <w:marLeft w:val="0"/>
      <w:marRight w:val="0"/>
      <w:marTop w:val="0"/>
      <w:marBottom w:val="0"/>
      <w:divBdr>
        <w:top w:val="none" w:sz="0" w:space="0" w:color="auto"/>
        <w:left w:val="none" w:sz="0" w:space="0" w:color="auto"/>
        <w:bottom w:val="none" w:sz="0" w:space="0" w:color="auto"/>
        <w:right w:val="none" w:sz="0" w:space="0" w:color="auto"/>
      </w:divBdr>
    </w:div>
    <w:div w:id="1171524921">
      <w:bodyDiv w:val="1"/>
      <w:marLeft w:val="0"/>
      <w:marRight w:val="0"/>
      <w:marTop w:val="0"/>
      <w:marBottom w:val="0"/>
      <w:divBdr>
        <w:top w:val="none" w:sz="0" w:space="0" w:color="auto"/>
        <w:left w:val="none" w:sz="0" w:space="0" w:color="auto"/>
        <w:bottom w:val="none" w:sz="0" w:space="0" w:color="auto"/>
        <w:right w:val="none" w:sz="0" w:space="0" w:color="auto"/>
      </w:divBdr>
    </w:div>
    <w:div w:id="1188758289">
      <w:bodyDiv w:val="1"/>
      <w:marLeft w:val="0"/>
      <w:marRight w:val="0"/>
      <w:marTop w:val="0"/>
      <w:marBottom w:val="0"/>
      <w:divBdr>
        <w:top w:val="none" w:sz="0" w:space="0" w:color="auto"/>
        <w:left w:val="none" w:sz="0" w:space="0" w:color="auto"/>
        <w:bottom w:val="none" w:sz="0" w:space="0" w:color="auto"/>
        <w:right w:val="none" w:sz="0" w:space="0" w:color="auto"/>
      </w:divBdr>
    </w:div>
    <w:div w:id="1204249202">
      <w:bodyDiv w:val="1"/>
      <w:marLeft w:val="0"/>
      <w:marRight w:val="0"/>
      <w:marTop w:val="0"/>
      <w:marBottom w:val="0"/>
      <w:divBdr>
        <w:top w:val="none" w:sz="0" w:space="0" w:color="auto"/>
        <w:left w:val="none" w:sz="0" w:space="0" w:color="auto"/>
        <w:bottom w:val="none" w:sz="0" w:space="0" w:color="auto"/>
        <w:right w:val="none" w:sz="0" w:space="0" w:color="auto"/>
      </w:divBdr>
    </w:div>
    <w:div w:id="1205605445">
      <w:bodyDiv w:val="1"/>
      <w:marLeft w:val="0"/>
      <w:marRight w:val="0"/>
      <w:marTop w:val="0"/>
      <w:marBottom w:val="0"/>
      <w:divBdr>
        <w:top w:val="none" w:sz="0" w:space="0" w:color="auto"/>
        <w:left w:val="none" w:sz="0" w:space="0" w:color="auto"/>
        <w:bottom w:val="none" w:sz="0" w:space="0" w:color="auto"/>
        <w:right w:val="none" w:sz="0" w:space="0" w:color="auto"/>
      </w:divBdr>
    </w:div>
    <w:div w:id="1222248602">
      <w:bodyDiv w:val="1"/>
      <w:marLeft w:val="0"/>
      <w:marRight w:val="0"/>
      <w:marTop w:val="0"/>
      <w:marBottom w:val="0"/>
      <w:divBdr>
        <w:top w:val="none" w:sz="0" w:space="0" w:color="auto"/>
        <w:left w:val="none" w:sz="0" w:space="0" w:color="auto"/>
        <w:bottom w:val="none" w:sz="0" w:space="0" w:color="auto"/>
        <w:right w:val="none" w:sz="0" w:space="0" w:color="auto"/>
      </w:divBdr>
    </w:div>
    <w:div w:id="1256211612">
      <w:bodyDiv w:val="1"/>
      <w:marLeft w:val="0"/>
      <w:marRight w:val="0"/>
      <w:marTop w:val="0"/>
      <w:marBottom w:val="0"/>
      <w:divBdr>
        <w:top w:val="none" w:sz="0" w:space="0" w:color="auto"/>
        <w:left w:val="none" w:sz="0" w:space="0" w:color="auto"/>
        <w:bottom w:val="none" w:sz="0" w:space="0" w:color="auto"/>
        <w:right w:val="none" w:sz="0" w:space="0" w:color="auto"/>
      </w:divBdr>
    </w:div>
    <w:div w:id="1268276567">
      <w:bodyDiv w:val="1"/>
      <w:marLeft w:val="0"/>
      <w:marRight w:val="0"/>
      <w:marTop w:val="0"/>
      <w:marBottom w:val="0"/>
      <w:divBdr>
        <w:top w:val="none" w:sz="0" w:space="0" w:color="auto"/>
        <w:left w:val="none" w:sz="0" w:space="0" w:color="auto"/>
        <w:bottom w:val="none" w:sz="0" w:space="0" w:color="auto"/>
        <w:right w:val="none" w:sz="0" w:space="0" w:color="auto"/>
      </w:divBdr>
    </w:div>
    <w:div w:id="1274746288">
      <w:bodyDiv w:val="1"/>
      <w:marLeft w:val="0"/>
      <w:marRight w:val="0"/>
      <w:marTop w:val="0"/>
      <w:marBottom w:val="0"/>
      <w:divBdr>
        <w:top w:val="none" w:sz="0" w:space="0" w:color="auto"/>
        <w:left w:val="none" w:sz="0" w:space="0" w:color="auto"/>
        <w:bottom w:val="none" w:sz="0" w:space="0" w:color="auto"/>
        <w:right w:val="none" w:sz="0" w:space="0" w:color="auto"/>
      </w:divBdr>
    </w:div>
    <w:div w:id="1277445163">
      <w:bodyDiv w:val="1"/>
      <w:marLeft w:val="0"/>
      <w:marRight w:val="0"/>
      <w:marTop w:val="0"/>
      <w:marBottom w:val="0"/>
      <w:divBdr>
        <w:top w:val="none" w:sz="0" w:space="0" w:color="auto"/>
        <w:left w:val="none" w:sz="0" w:space="0" w:color="auto"/>
        <w:bottom w:val="none" w:sz="0" w:space="0" w:color="auto"/>
        <w:right w:val="none" w:sz="0" w:space="0" w:color="auto"/>
      </w:divBdr>
    </w:div>
    <w:div w:id="1278027717">
      <w:bodyDiv w:val="1"/>
      <w:marLeft w:val="0"/>
      <w:marRight w:val="0"/>
      <w:marTop w:val="0"/>
      <w:marBottom w:val="0"/>
      <w:divBdr>
        <w:top w:val="none" w:sz="0" w:space="0" w:color="auto"/>
        <w:left w:val="none" w:sz="0" w:space="0" w:color="auto"/>
        <w:bottom w:val="none" w:sz="0" w:space="0" w:color="auto"/>
        <w:right w:val="none" w:sz="0" w:space="0" w:color="auto"/>
      </w:divBdr>
    </w:div>
    <w:div w:id="1290209734">
      <w:bodyDiv w:val="1"/>
      <w:marLeft w:val="0"/>
      <w:marRight w:val="0"/>
      <w:marTop w:val="0"/>
      <w:marBottom w:val="0"/>
      <w:divBdr>
        <w:top w:val="none" w:sz="0" w:space="0" w:color="auto"/>
        <w:left w:val="none" w:sz="0" w:space="0" w:color="auto"/>
        <w:bottom w:val="none" w:sz="0" w:space="0" w:color="auto"/>
        <w:right w:val="none" w:sz="0" w:space="0" w:color="auto"/>
      </w:divBdr>
    </w:div>
    <w:div w:id="1332954552">
      <w:bodyDiv w:val="1"/>
      <w:marLeft w:val="0"/>
      <w:marRight w:val="0"/>
      <w:marTop w:val="0"/>
      <w:marBottom w:val="0"/>
      <w:divBdr>
        <w:top w:val="none" w:sz="0" w:space="0" w:color="auto"/>
        <w:left w:val="none" w:sz="0" w:space="0" w:color="auto"/>
        <w:bottom w:val="none" w:sz="0" w:space="0" w:color="auto"/>
        <w:right w:val="none" w:sz="0" w:space="0" w:color="auto"/>
      </w:divBdr>
    </w:div>
    <w:div w:id="1339189143">
      <w:bodyDiv w:val="1"/>
      <w:marLeft w:val="0"/>
      <w:marRight w:val="0"/>
      <w:marTop w:val="0"/>
      <w:marBottom w:val="0"/>
      <w:divBdr>
        <w:top w:val="none" w:sz="0" w:space="0" w:color="auto"/>
        <w:left w:val="none" w:sz="0" w:space="0" w:color="auto"/>
        <w:bottom w:val="none" w:sz="0" w:space="0" w:color="auto"/>
        <w:right w:val="none" w:sz="0" w:space="0" w:color="auto"/>
      </w:divBdr>
      <w:divsChild>
        <w:div w:id="968556713">
          <w:marLeft w:val="0"/>
          <w:marRight w:val="0"/>
          <w:marTop w:val="0"/>
          <w:marBottom w:val="0"/>
          <w:divBdr>
            <w:top w:val="none" w:sz="0" w:space="0" w:color="auto"/>
            <w:left w:val="none" w:sz="0" w:space="0" w:color="auto"/>
            <w:bottom w:val="none" w:sz="0" w:space="0" w:color="auto"/>
            <w:right w:val="none" w:sz="0" w:space="0" w:color="auto"/>
          </w:divBdr>
          <w:divsChild>
            <w:div w:id="105007027">
              <w:marLeft w:val="0"/>
              <w:marRight w:val="0"/>
              <w:marTop w:val="0"/>
              <w:marBottom w:val="0"/>
              <w:divBdr>
                <w:top w:val="none" w:sz="0" w:space="0" w:color="auto"/>
                <w:left w:val="none" w:sz="0" w:space="0" w:color="auto"/>
                <w:bottom w:val="none" w:sz="0" w:space="0" w:color="auto"/>
                <w:right w:val="none" w:sz="0" w:space="0" w:color="auto"/>
              </w:divBdr>
              <w:divsChild>
                <w:div w:id="1247031386">
                  <w:marLeft w:val="0"/>
                  <w:marRight w:val="0"/>
                  <w:marTop w:val="0"/>
                  <w:marBottom w:val="0"/>
                  <w:divBdr>
                    <w:top w:val="none" w:sz="0" w:space="0" w:color="auto"/>
                    <w:left w:val="none" w:sz="0" w:space="0" w:color="auto"/>
                    <w:bottom w:val="none" w:sz="0" w:space="0" w:color="auto"/>
                    <w:right w:val="none" w:sz="0" w:space="0" w:color="auto"/>
                  </w:divBdr>
                  <w:divsChild>
                    <w:div w:id="157616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873764">
      <w:bodyDiv w:val="1"/>
      <w:marLeft w:val="0"/>
      <w:marRight w:val="0"/>
      <w:marTop w:val="0"/>
      <w:marBottom w:val="0"/>
      <w:divBdr>
        <w:top w:val="none" w:sz="0" w:space="0" w:color="auto"/>
        <w:left w:val="none" w:sz="0" w:space="0" w:color="auto"/>
        <w:bottom w:val="none" w:sz="0" w:space="0" w:color="auto"/>
        <w:right w:val="none" w:sz="0" w:space="0" w:color="auto"/>
      </w:divBdr>
    </w:div>
    <w:div w:id="1374695435">
      <w:bodyDiv w:val="1"/>
      <w:marLeft w:val="0"/>
      <w:marRight w:val="0"/>
      <w:marTop w:val="0"/>
      <w:marBottom w:val="0"/>
      <w:divBdr>
        <w:top w:val="none" w:sz="0" w:space="0" w:color="auto"/>
        <w:left w:val="none" w:sz="0" w:space="0" w:color="auto"/>
        <w:bottom w:val="none" w:sz="0" w:space="0" w:color="auto"/>
        <w:right w:val="none" w:sz="0" w:space="0" w:color="auto"/>
      </w:divBdr>
      <w:divsChild>
        <w:div w:id="195123458">
          <w:marLeft w:val="0"/>
          <w:marRight w:val="0"/>
          <w:marTop w:val="0"/>
          <w:marBottom w:val="0"/>
          <w:divBdr>
            <w:top w:val="none" w:sz="0" w:space="0" w:color="auto"/>
            <w:left w:val="none" w:sz="0" w:space="0" w:color="auto"/>
            <w:bottom w:val="none" w:sz="0" w:space="0" w:color="auto"/>
            <w:right w:val="none" w:sz="0" w:space="0" w:color="auto"/>
          </w:divBdr>
          <w:divsChild>
            <w:div w:id="1256599045">
              <w:marLeft w:val="0"/>
              <w:marRight w:val="0"/>
              <w:marTop w:val="0"/>
              <w:marBottom w:val="0"/>
              <w:divBdr>
                <w:top w:val="none" w:sz="0" w:space="0" w:color="auto"/>
                <w:left w:val="none" w:sz="0" w:space="0" w:color="auto"/>
                <w:bottom w:val="none" w:sz="0" w:space="0" w:color="auto"/>
                <w:right w:val="none" w:sz="0" w:space="0" w:color="auto"/>
              </w:divBdr>
              <w:divsChild>
                <w:div w:id="2077506563">
                  <w:marLeft w:val="0"/>
                  <w:marRight w:val="0"/>
                  <w:marTop w:val="0"/>
                  <w:marBottom w:val="0"/>
                  <w:divBdr>
                    <w:top w:val="none" w:sz="0" w:space="0" w:color="auto"/>
                    <w:left w:val="none" w:sz="0" w:space="0" w:color="auto"/>
                    <w:bottom w:val="none" w:sz="0" w:space="0" w:color="auto"/>
                    <w:right w:val="none" w:sz="0" w:space="0" w:color="auto"/>
                  </w:divBdr>
                  <w:divsChild>
                    <w:div w:id="80111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239808">
      <w:bodyDiv w:val="1"/>
      <w:marLeft w:val="0"/>
      <w:marRight w:val="0"/>
      <w:marTop w:val="0"/>
      <w:marBottom w:val="0"/>
      <w:divBdr>
        <w:top w:val="none" w:sz="0" w:space="0" w:color="auto"/>
        <w:left w:val="none" w:sz="0" w:space="0" w:color="auto"/>
        <w:bottom w:val="none" w:sz="0" w:space="0" w:color="auto"/>
        <w:right w:val="none" w:sz="0" w:space="0" w:color="auto"/>
      </w:divBdr>
    </w:div>
    <w:div w:id="1389256697">
      <w:bodyDiv w:val="1"/>
      <w:marLeft w:val="0"/>
      <w:marRight w:val="0"/>
      <w:marTop w:val="0"/>
      <w:marBottom w:val="0"/>
      <w:divBdr>
        <w:top w:val="none" w:sz="0" w:space="0" w:color="auto"/>
        <w:left w:val="none" w:sz="0" w:space="0" w:color="auto"/>
        <w:bottom w:val="none" w:sz="0" w:space="0" w:color="auto"/>
        <w:right w:val="none" w:sz="0" w:space="0" w:color="auto"/>
      </w:divBdr>
      <w:divsChild>
        <w:div w:id="906572786">
          <w:marLeft w:val="0"/>
          <w:marRight w:val="0"/>
          <w:marTop w:val="0"/>
          <w:marBottom w:val="0"/>
          <w:divBdr>
            <w:top w:val="none" w:sz="0" w:space="0" w:color="auto"/>
            <w:left w:val="none" w:sz="0" w:space="0" w:color="auto"/>
            <w:bottom w:val="none" w:sz="0" w:space="0" w:color="auto"/>
            <w:right w:val="none" w:sz="0" w:space="0" w:color="auto"/>
          </w:divBdr>
          <w:divsChild>
            <w:div w:id="357240741">
              <w:marLeft w:val="0"/>
              <w:marRight w:val="0"/>
              <w:marTop w:val="0"/>
              <w:marBottom w:val="0"/>
              <w:divBdr>
                <w:top w:val="none" w:sz="0" w:space="0" w:color="auto"/>
                <w:left w:val="none" w:sz="0" w:space="0" w:color="auto"/>
                <w:bottom w:val="none" w:sz="0" w:space="0" w:color="auto"/>
                <w:right w:val="none" w:sz="0" w:space="0" w:color="auto"/>
              </w:divBdr>
              <w:divsChild>
                <w:div w:id="1786462103">
                  <w:marLeft w:val="0"/>
                  <w:marRight w:val="0"/>
                  <w:marTop w:val="0"/>
                  <w:marBottom w:val="0"/>
                  <w:divBdr>
                    <w:top w:val="none" w:sz="0" w:space="0" w:color="auto"/>
                    <w:left w:val="none" w:sz="0" w:space="0" w:color="auto"/>
                    <w:bottom w:val="none" w:sz="0" w:space="0" w:color="auto"/>
                    <w:right w:val="none" w:sz="0" w:space="0" w:color="auto"/>
                  </w:divBdr>
                  <w:divsChild>
                    <w:div w:id="19032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885527">
      <w:bodyDiv w:val="1"/>
      <w:marLeft w:val="0"/>
      <w:marRight w:val="0"/>
      <w:marTop w:val="0"/>
      <w:marBottom w:val="0"/>
      <w:divBdr>
        <w:top w:val="none" w:sz="0" w:space="0" w:color="auto"/>
        <w:left w:val="none" w:sz="0" w:space="0" w:color="auto"/>
        <w:bottom w:val="none" w:sz="0" w:space="0" w:color="auto"/>
        <w:right w:val="none" w:sz="0" w:space="0" w:color="auto"/>
      </w:divBdr>
    </w:div>
    <w:div w:id="1401097411">
      <w:bodyDiv w:val="1"/>
      <w:marLeft w:val="0"/>
      <w:marRight w:val="0"/>
      <w:marTop w:val="0"/>
      <w:marBottom w:val="0"/>
      <w:divBdr>
        <w:top w:val="none" w:sz="0" w:space="0" w:color="auto"/>
        <w:left w:val="none" w:sz="0" w:space="0" w:color="auto"/>
        <w:bottom w:val="none" w:sz="0" w:space="0" w:color="auto"/>
        <w:right w:val="none" w:sz="0" w:space="0" w:color="auto"/>
      </w:divBdr>
      <w:divsChild>
        <w:div w:id="638537712">
          <w:marLeft w:val="0"/>
          <w:marRight w:val="0"/>
          <w:marTop w:val="0"/>
          <w:marBottom w:val="0"/>
          <w:divBdr>
            <w:top w:val="none" w:sz="0" w:space="0" w:color="auto"/>
            <w:left w:val="none" w:sz="0" w:space="0" w:color="auto"/>
            <w:bottom w:val="none" w:sz="0" w:space="0" w:color="auto"/>
            <w:right w:val="none" w:sz="0" w:space="0" w:color="auto"/>
          </w:divBdr>
          <w:divsChild>
            <w:div w:id="869606660">
              <w:marLeft w:val="0"/>
              <w:marRight w:val="0"/>
              <w:marTop w:val="0"/>
              <w:marBottom w:val="0"/>
              <w:divBdr>
                <w:top w:val="none" w:sz="0" w:space="0" w:color="auto"/>
                <w:left w:val="none" w:sz="0" w:space="0" w:color="auto"/>
                <w:bottom w:val="none" w:sz="0" w:space="0" w:color="auto"/>
                <w:right w:val="none" w:sz="0" w:space="0" w:color="auto"/>
              </w:divBdr>
              <w:divsChild>
                <w:div w:id="1556774021">
                  <w:marLeft w:val="0"/>
                  <w:marRight w:val="0"/>
                  <w:marTop w:val="0"/>
                  <w:marBottom w:val="0"/>
                  <w:divBdr>
                    <w:top w:val="none" w:sz="0" w:space="0" w:color="auto"/>
                    <w:left w:val="none" w:sz="0" w:space="0" w:color="auto"/>
                    <w:bottom w:val="none" w:sz="0" w:space="0" w:color="auto"/>
                    <w:right w:val="none" w:sz="0" w:space="0" w:color="auto"/>
                  </w:divBdr>
                  <w:divsChild>
                    <w:div w:id="189388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909527">
      <w:bodyDiv w:val="1"/>
      <w:marLeft w:val="0"/>
      <w:marRight w:val="0"/>
      <w:marTop w:val="0"/>
      <w:marBottom w:val="0"/>
      <w:divBdr>
        <w:top w:val="none" w:sz="0" w:space="0" w:color="auto"/>
        <w:left w:val="none" w:sz="0" w:space="0" w:color="auto"/>
        <w:bottom w:val="none" w:sz="0" w:space="0" w:color="auto"/>
        <w:right w:val="none" w:sz="0" w:space="0" w:color="auto"/>
      </w:divBdr>
      <w:divsChild>
        <w:div w:id="423385477">
          <w:marLeft w:val="0"/>
          <w:marRight w:val="0"/>
          <w:marTop w:val="0"/>
          <w:marBottom w:val="0"/>
          <w:divBdr>
            <w:top w:val="none" w:sz="0" w:space="0" w:color="auto"/>
            <w:left w:val="none" w:sz="0" w:space="0" w:color="auto"/>
            <w:bottom w:val="none" w:sz="0" w:space="0" w:color="auto"/>
            <w:right w:val="none" w:sz="0" w:space="0" w:color="auto"/>
          </w:divBdr>
          <w:divsChild>
            <w:div w:id="1721323069">
              <w:marLeft w:val="0"/>
              <w:marRight w:val="0"/>
              <w:marTop w:val="0"/>
              <w:marBottom w:val="0"/>
              <w:divBdr>
                <w:top w:val="none" w:sz="0" w:space="0" w:color="auto"/>
                <w:left w:val="none" w:sz="0" w:space="0" w:color="auto"/>
                <w:bottom w:val="none" w:sz="0" w:space="0" w:color="auto"/>
                <w:right w:val="none" w:sz="0" w:space="0" w:color="auto"/>
              </w:divBdr>
              <w:divsChild>
                <w:div w:id="199442683">
                  <w:marLeft w:val="0"/>
                  <w:marRight w:val="0"/>
                  <w:marTop w:val="0"/>
                  <w:marBottom w:val="0"/>
                  <w:divBdr>
                    <w:top w:val="none" w:sz="0" w:space="0" w:color="auto"/>
                    <w:left w:val="none" w:sz="0" w:space="0" w:color="auto"/>
                    <w:bottom w:val="none" w:sz="0" w:space="0" w:color="auto"/>
                    <w:right w:val="none" w:sz="0" w:space="0" w:color="auto"/>
                  </w:divBdr>
                  <w:divsChild>
                    <w:div w:id="119819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483838">
      <w:bodyDiv w:val="1"/>
      <w:marLeft w:val="0"/>
      <w:marRight w:val="0"/>
      <w:marTop w:val="0"/>
      <w:marBottom w:val="0"/>
      <w:divBdr>
        <w:top w:val="none" w:sz="0" w:space="0" w:color="auto"/>
        <w:left w:val="none" w:sz="0" w:space="0" w:color="auto"/>
        <w:bottom w:val="none" w:sz="0" w:space="0" w:color="auto"/>
        <w:right w:val="none" w:sz="0" w:space="0" w:color="auto"/>
      </w:divBdr>
    </w:div>
    <w:div w:id="1431007571">
      <w:bodyDiv w:val="1"/>
      <w:marLeft w:val="0"/>
      <w:marRight w:val="0"/>
      <w:marTop w:val="0"/>
      <w:marBottom w:val="0"/>
      <w:divBdr>
        <w:top w:val="none" w:sz="0" w:space="0" w:color="auto"/>
        <w:left w:val="none" w:sz="0" w:space="0" w:color="auto"/>
        <w:bottom w:val="none" w:sz="0" w:space="0" w:color="auto"/>
        <w:right w:val="none" w:sz="0" w:space="0" w:color="auto"/>
      </w:divBdr>
    </w:div>
    <w:div w:id="1436830715">
      <w:bodyDiv w:val="1"/>
      <w:marLeft w:val="0"/>
      <w:marRight w:val="0"/>
      <w:marTop w:val="0"/>
      <w:marBottom w:val="0"/>
      <w:divBdr>
        <w:top w:val="none" w:sz="0" w:space="0" w:color="auto"/>
        <w:left w:val="none" w:sz="0" w:space="0" w:color="auto"/>
        <w:bottom w:val="none" w:sz="0" w:space="0" w:color="auto"/>
        <w:right w:val="none" w:sz="0" w:space="0" w:color="auto"/>
      </w:divBdr>
    </w:div>
    <w:div w:id="1452556002">
      <w:bodyDiv w:val="1"/>
      <w:marLeft w:val="0"/>
      <w:marRight w:val="0"/>
      <w:marTop w:val="0"/>
      <w:marBottom w:val="0"/>
      <w:divBdr>
        <w:top w:val="none" w:sz="0" w:space="0" w:color="auto"/>
        <w:left w:val="none" w:sz="0" w:space="0" w:color="auto"/>
        <w:bottom w:val="none" w:sz="0" w:space="0" w:color="auto"/>
        <w:right w:val="none" w:sz="0" w:space="0" w:color="auto"/>
      </w:divBdr>
      <w:divsChild>
        <w:div w:id="256836694">
          <w:marLeft w:val="0"/>
          <w:marRight w:val="0"/>
          <w:marTop w:val="0"/>
          <w:marBottom w:val="0"/>
          <w:divBdr>
            <w:top w:val="none" w:sz="0" w:space="0" w:color="auto"/>
            <w:left w:val="none" w:sz="0" w:space="0" w:color="auto"/>
            <w:bottom w:val="none" w:sz="0" w:space="0" w:color="auto"/>
            <w:right w:val="none" w:sz="0" w:space="0" w:color="auto"/>
          </w:divBdr>
          <w:divsChild>
            <w:div w:id="839272980">
              <w:marLeft w:val="0"/>
              <w:marRight w:val="0"/>
              <w:marTop w:val="0"/>
              <w:marBottom w:val="0"/>
              <w:divBdr>
                <w:top w:val="none" w:sz="0" w:space="0" w:color="auto"/>
                <w:left w:val="none" w:sz="0" w:space="0" w:color="auto"/>
                <w:bottom w:val="none" w:sz="0" w:space="0" w:color="auto"/>
                <w:right w:val="none" w:sz="0" w:space="0" w:color="auto"/>
              </w:divBdr>
              <w:divsChild>
                <w:div w:id="1198008531">
                  <w:marLeft w:val="0"/>
                  <w:marRight w:val="0"/>
                  <w:marTop w:val="0"/>
                  <w:marBottom w:val="0"/>
                  <w:divBdr>
                    <w:top w:val="none" w:sz="0" w:space="0" w:color="auto"/>
                    <w:left w:val="none" w:sz="0" w:space="0" w:color="auto"/>
                    <w:bottom w:val="none" w:sz="0" w:space="0" w:color="auto"/>
                    <w:right w:val="none" w:sz="0" w:space="0" w:color="auto"/>
                  </w:divBdr>
                  <w:divsChild>
                    <w:div w:id="2872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302342">
      <w:bodyDiv w:val="1"/>
      <w:marLeft w:val="0"/>
      <w:marRight w:val="0"/>
      <w:marTop w:val="0"/>
      <w:marBottom w:val="0"/>
      <w:divBdr>
        <w:top w:val="none" w:sz="0" w:space="0" w:color="auto"/>
        <w:left w:val="none" w:sz="0" w:space="0" w:color="auto"/>
        <w:bottom w:val="none" w:sz="0" w:space="0" w:color="auto"/>
        <w:right w:val="none" w:sz="0" w:space="0" w:color="auto"/>
      </w:divBdr>
    </w:div>
    <w:div w:id="1465806219">
      <w:bodyDiv w:val="1"/>
      <w:marLeft w:val="0"/>
      <w:marRight w:val="0"/>
      <w:marTop w:val="0"/>
      <w:marBottom w:val="0"/>
      <w:divBdr>
        <w:top w:val="none" w:sz="0" w:space="0" w:color="auto"/>
        <w:left w:val="none" w:sz="0" w:space="0" w:color="auto"/>
        <w:bottom w:val="none" w:sz="0" w:space="0" w:color="auto"/>
        <w:right w:val="none" w:sz="0" w:space="0" w:color="auto"/>
      </w:divBdr>
    </w:div>
    <w:div w:id="1468937910">
      <w:bodyDiv w:val="1"/>
      <w:marLeft w:val="0"/>
      <w:marRight w:val="0"/>
      <w:marTop w:val="0"/>
      <w:marBottom w:val="0"/>
      <w:divBdr>
        <w:top w:val="none" w:sz="0" w:space="0" w:color="auto"/>
        <w:left w:val="none" w:sz="0" w:space="0" w:color="auto"/>
        <w:bottom w:val="none" w:sz="0" w:space="0" w:color="auto"/>
        <w:right w:val="none" w:sz="0" w:space="0" w:color="auto"/>
      </w:divBdr>
      <w:divsChild>
        <w:div w:id="629357828">
          <w:marLeft w:val="0"/>
          <w:marRight w:val="0"/>
          <w:marTop w:val="0"/>
          <w:marBottom w:val="0"/>
          <w:divBdr>
            <w:top w:val="none" w:sz="0" w:space="0" w:color="auto"/>
            <w:left w:val="none" w:sz="0" w:space="0" w:color="auto"/>
            <w:bottom w:val="none" w:sz="0" w:space="0" w:color="auto"/>
            <w:right w:val="none" w:sz="0" w:space="0" w:color="auto"/>
          </w:divBdr>
          <w:divsChild>
            <w:div w:id="2067876793">
              <w:marLeft w:val="0"/>
              <w:marRight w:val="0"/>
              <w:marTop w:val="0"/>
              <w:marBottom w:val="0"/>
              <w:divBdr>
                <w:top w:val="none" w:sz="0" w:space="0" w:color="auto"/>
                <w:left w:val="none" w:sz="0" w:space="0" w:color="auto"/>
                <w:bottom w:val="none" w:sz="0" w:space="0" w:color="auto"/>
                <w:right w:val="none" w:sz="0" w:space="0" w:color="auto"/>
              </w:divBdr>
              <w:divsChild>
                <w:div w:id="2070105932">
                  <w:marLeft w:val="0"/>
                  <w:marRight w:val="0"/>
                  <w:marTop w:val="0"/>
                  <w:marBottom w:val="0"/>
                  <w:divBdr>
                    <w:top w:val="none" w:sz="0" w:space="0" w:color="auto"/>
                    <w:left w:val="none" w:sz="0" w:space="0" w:color="auto"/>
                    <w:bottom w:val="none" w:sz="0" w:space="0" w:color="auto"/>
                    <w:right w:val="none" w:sz="0" w:space="0" w:color="auto"/>
                  </w:divBdr>
                  <w:divsChild>
                    <w:div w:id="1998411328">
                      <w:marLeft w:val="0"/>
                      <w:marRight w:val="0"/>
                      <w:marTop w:val="0"/>
                      <w:marBottom w:val="0"/>
                      <w:divBdr>
                        <w:top w:val="none" w:sz="0" w:space="0" w:color="auto"/>
                        <w:left w:val="none" w:sz="0" w:space="0" w:color="auto"/>
                        <w:bottom w:val="none" w:sz="0" w:space="0" w:color="auto"/>
                        <w:right w:val="none" w:sz="0" w:space="0" w:color="auto"/>
                      </w:divBdr>
                    </w:div>
                  </w:divsChild>
                </w:div>
                <w:div w:id="114952459">
                  <w:marLeft w:val="0"/>
                  <w:marRight w:val="0"/>
                  <w:marTop w:val="0"/>
                  <w:marBottom w:val="0"/>
                  <w:divBdr>
                    <w:top w:val="none" w:sz="0" w:space="0" w:color="auto"/>
                    <w:left w:val="none" w:sz="0" w:space="0" w:color="auto"/>
                    <w:bottom w:val="none" w:sz="0" w:space="0" w:color="auto"/>
                    <w:right w:val="none" w:sz="0" w:space="0" w:color="auto"/>
                  </w:divBdr>
                  <w:divsChild>
                    <w:div w:id="90452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644672">
      <w:bodyDiv w:val="1"/>
      <w:marLeft w:val="0"/>
      <w:marRight w:val="0"/>
      <w:marTop w:val="0"/>
      <w:marBottom w:val="0"/>
      <w:divBdr>
        <w:top w:val="none" w:sz="0" w:space="0" w:color="auto"/>
        <w:left w:val="none" w:sz="0" w:space="0" w:color="auto"/>
        <w:bottom w:val="none" w:sz="0" w:space="0" w:color="auto"/>
        <w:right w:val="none" w:sz="0" w:space="0" w:color="auto"/>
      </w:divBdr>
      <w:divsChild>
        <w:div w:id="1765955429">
          <w:marLeft w:val="0"/>
          <w:marRight w:val="0"/>
          <w:marTop w:val="0"/>
          <w:marBottom w:val="0"/>
          <w:divBdr>
            <w:top w:val="none" w:sz="0" w:space="0" w:color="auto"/>
            <w:left w:val="none" w:sz="0" w:space="0" w:color="auto"/>
            <w:bottom w:val="none" w:sz="0" w:space="0" w:color="auto"/>
            <w:right w:val="none" w:sz="0" w:space="0" w:color="auto"/>
          </w:divBdr>
          <w:divsChild>
            <w:div w:id="1422339274">
              <w:marLeft w:val="0"/>
              <w:marRight w:val="0"/>
              <w:marTop w:val="0"/>
              <w:marBottom w:val="0"/>
              <w:divBdr>
                <w:top w:val="none" w:sz="0" w:space="0" w:color="auto"/>
                <w:left w:val="none" w:sz="0" w:space="0" w:color="auto"/>
                <w:bottom w:val="none" w:sz="0" w:space="0" w:color="auto"/>
                <w:right w:val="none" w:sz="0" w:space="0" w:color="auto"/>
              </w:divBdr>
              <w:divsChild>
                <w:div w:id="199317042">
                  <w:marLeft w:val="0"/>
                  <w:marRight w:val="0"/>
                  <w:marTop w:val="0"/>
                  <w:marBottom w:val="0"/>
                  <w:divBdr>
                    <w:top w:val="none" w:sz="0" w:space="0" w:color="auto"/>
                    <w:left w:val="none" w:sz="0" w:space="0" w:color="auto"/>
                    <w:bottom w:val="none" w:sz="0" w:space="0" w:color="auto"/>
                    <w:right w:val="none" w:sz="0" w:space="0" w:color="auto"/>
                  </w:divBdr>
                  <w:divsChild>
                    <w:div w:id="22448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348235">
      <w:bodyDiv w:val="1"/>
      <w:marLeft w:val="0"/>
      <w:marRight w:val="0"/>
      <w:marTop w:val="0"/>
      <w:marBottom w:val="0"/>
      <w:divBdr>
        <w:top w:val="none" w:sz="0" w:space="0" w:color="auto"/>
        <w:left w:val="none" w:sz="0" w:space="0" w:color="auto"/>
        <w:bottom w:val="none" w:sz="0" w:space="0" w:color="auto"/>
        <w:right w:val="none" w:sz="0" w:space="0" w:color="auto"/>
      </w:divBdr>
    </w:div>
    <w:div w:id="1507943004">
      <w:bodyDiv w:val="1"/>
      <w:marLeft w:val="0"/>
      <w:marRight w:val="0"/>
      <w:marTop w:val="0"/>
      <w:marBottom w:val="0"/>
      <w:divBdr>
        <w:top w:val="none" w:sz="0" w:space="0" w:color="auto"/>
        <w:left w:val="none" w:sz="0" w:space="0" w:color="auto"/>
        <w:bottom w:val="none" w:sz="0" w:space="0" w:color="auto"/>
        <w:right w:val="none" w:sz="0" w:space="0" w:color="auto"/>
      </w:divBdr>
    </w:div>
    <w:div w:id="1521628272">
      <w:bodyDiv w:val="1"/>
      <w:marLeft w:val="0"/>
      <w:marRight w:val="0"/>
      <w:marTop w:val="0"/>
      <w:marBottom w:val="0"/>
      <w:divBdr>
        <w:top w:val="none" w:sz="0" w:space="0" w:color="auto"/>
        <w:left w:val="none" w:sz="0" w:space="0" w:color="auto"/>
        <w:bottom w:val="none" w:sz="0" w:space="0" w:color="auto"/>
        <w:right w:val="none" w:sz="0" w:space="0" w:color="auto"/>
      </w:divBdr>
    </w:div>
    <w:div w:id="1545025843">
      <w:bodyDiv w:val="1"/>
      <w:marLeft w:val="0"/>
      <w:marRight w:val="0"/>
      <w:marTop w:val="0"/>
      <w:marBottom w:val="0"/>
      <w:divBdr>
        <w:top w:val="none" w:sz="0" w:space="0" w:color="auto"/>
        <w:left w:val="none" w:sz="0" w:space="0" w:color="auto"/>
        <w:bottom w:val="none" w:sz="0" w:space="0" w:color="auto"/>
        <w:right w:val="none" w:sz="0" w:space="0" w:color="auto"/>
      </w:divBdr>
      <w:divsChild>
        <w:div w:id="2125534">
          <w:marLeft w:val="0"/>
          <w:marRight w:val="0"/>
          <w:marTop w:val="0"/>
          <w:marBottom w:val="0"/>
          <w:divBdr>
            <w:top w:val="none" w:sz="0" w:space="0" w:color="auto"/>
            <w:left w:val="none" w:sz="0" w:space="0" w:color="auto"/>
            <w:bottom w:val="none" w:sz="0" w:space="0" w:color="auto"/>
            <w:right w:val="none" w:sz="0" w:space="0" w:color="auto"/>
          </w:divBdr>
          <w:divsChild>
            <w:div w:id="1600525520">
              <w:marLeft w:val="0"/>
              <w:marRight w:val="0"/>
              <w:marTop w:val="0"/>
              <w:marBottom w:val="0"/>
              <w:divBdr>
                <w:top w:val="none" w:sz="0" w:space="0" w:color="auto"/>
                <w:left w:val="none" w:sz="0" w:space="0" w:color="auto"/>
                <w:bottom w:val="none" w:sz="0" w:space="0" w:color="auto"/>
                <w:right w:val="none" w:sz="0" w:space="0" w:color="auto"/>
              </w:divBdr>
              <w:divsChild>
                <w:div w:id="1756393609">
                  <w:marLeft w:val="0"/>
                  <w:marRight w:val="0"/>
                  <w:marTop w:val="0"/>
                  <w:marBottom w:val="0"/>
                  <w:divBdr>
                    <w:top w:val="none" w:sz="0" w:space="0" w:color="auto"/>
                    <w:left w:val="none" w:sz="0" w:space="0" w:color="auto"/>
                    <w:bottom w:val="none" w:sz="0" w:space="0" w:color="auto"/>
                    <w:right w:val="none" w:sz="0" w:space="0" w:color="auto"/>
                  </w:divBdr>
                  <w:divsChild>
                    <w:div w:id="176980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526311">
      <w:bodyDiv w:val="1"/>
      <w:marLeft w:val="0"/>
      <w:marRight w:val="0"/>
      <w:marTop w:val="0"/>
      <w:marBottom w:val="0"/>
      <w:divBdr>
        <w:top w:val="none" w:sz="0" w:space="0" w:color="auto"/>
        <w:left w:val="none" w:sz="0" w:space="0" w:color="auto"/>
        <w:bottom w:val="none" w:sz="0" w:space="0" w:color="auto"/>
        <w:right w:val="none" w:sz="0" w:space="0" w:color="auto"/>
      </w:divBdr>
    </w:div>
    <w:div w:id="1577587470">
      <w:bodyDiv w:val="1"/>
      <w:marLeft w:val="0"/>
      <w:marRight w:val="0"/>
      <w:marTop w:val="0"/>
      <w:marBottom w:val="0"/>
      <w:divBdr>
        <w:top w:val="none" w:sz="0" w:space="0" w:color="auto"/>
        <w:left w:val="none" w:sz="0" w:space="0" w:color="auto"/>
        <w:bottom w:val="none" w:sz="0" w:space="0" w:color="auto"/>
        <w:right w:val="none" w:sz="0" w:space="0" w:color="auto"/>
      </w:divBdr>
    </w:div>
    <w:div w:id="1585408627">
      <w:bodyDiv w:val="1"/>
      <w:marLeft w:val="0"/>
      <w:marRight w:val="0"/>
      <w:marTop w:val="0"/>
      <w:marBottom w:val="0"/>
      <w:divBdr>
        <w:top w:val="none" w:sz="0" w:space="0" w:color="auto"/>
        <w:left w:val="none" w:sz="0" w:space="0" w:color="auto"/>
        <w:bottom w:val="none" w:sz="0" w:space="0" w:color="auto"/>
        <w:right w:val="none" w:sz="0" w:space="0" w:color="auto"/>
      </w:divBdr>
      <w:divsChild>
        <w:div w:id="3898833">
          <w:marLeft w:val="0"/>
          <w:marRight w:val="0"/>
          <w:marTop w:val="0"/>
          <w:marBottom w:val="0"/>
          <w:divBdr>
            <w:top w:val="none" w:sz="0" w:space="0" w:color="auto"/>
            <w:left w:val="none" w:sz="0" w:space="0" w:color="auto"/>
            <w:bottom w:val="none" w:sz="0" w:space="0" w:color="auto"/>
            <w:right w:val="none" w:sz="0" w:space="0" w:color="auto"/>
          </w:divBdr>
          <w:divsChild>
            <w:div w:id="1116827886">
              <w:marLeft w:val="0"/>
              <w:marRight w:val="0"/>
              <w:marTop w:val="0"/>
              <w:marBottom w:val="0"/>
              <w:divBdr>
                <w:top w:val="none" w:sz="0" w:space="0" w:color="auto"/>
                <w:left w:val="none" w:sz="0" w:space="0" w:color="auto"/>
                <w:bottom w:val="none" w:sz="0" w:space="0" w:color="auto"/>
                <w:right w:val="none" w:sz="0" w:space="0" w:color="auto"/>
              </w:divBdr>
              <w:divsChild>
                <w:div w:id="1197543597">
                  <w:marLeft w:val="0"/>
                  <w:marRight w:val="0"/>
                  <w:marTop w:val="0"/>
                  <w:marBottom w:val="0"/>
                  <w:divBdr>
                    <w:top w:val="none" w:sz="0" w:space="0" w:color="auto"/>
                    <w:left w:val="none" w:sz="0" w:space="0" w:color="auto"/>
                    <w:bottom w:val="none" w:sz="0" w:space="0" w:color="auto"/>
                    <w:right w:val="none" w:sz="0" w:space="0" w:color="auto"/>
                  </w:divBdr>
                  <w:divsChild>
                    <w:div w:id="9017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060972">
      <w:bodyDiv w:val="1"/>
      <w:marLeft w:val="0"/>
      <w:marRight w:val="0"/>
      <w:marTop w:val="0"/>
      <w:marBottom w:val="0"/>
      <w:divBdr>
        <w:top w:val="none" w:sz="0" w:space="0" w:color="auto"/>
        <w:left w:val="none" w:sz="0" w:space="0" w:color="auto"/>
        <w:bottom w:val="none" w:sz="0" w:space="0" w:color="auto"/>
        <w:right w:val="none" w:sz="0" w:space="0" w:color="auto"/>
      </w:divBdr>
    </w:div>
    <w:div w:id="1600329910">
      <w:bodyDiv w:val="1"/>
      <w:marLeft w:val="0"/>
      <w:marRight w:val="0"/>
      <w:marTop w:val="0"/>
      <w:marBottom w:val="0"/>
      <w:divBdr>
        <w:top w:val="none" w:sz="0" w:space="0" w:color="auto"/>
        <w:left w:val="none" w:sz="0" w:space="0" w:color="auto"/>
        <w:bottom w:val="none" w:sz="0" w:space="0" w:color="auto"/>
        <w:right w:val="none" w:sz="0" w:space="0" w:color="auto"/>
      </w:divBdr>
    </w:div>
    <w:div w:id="1611163032">
      <w:bodyDiv w:val="1"/>
      <w:marLeft w:val="0"/>
      <w:marRight w:val="0"/>
      <w:marTop w:val="0"/>
      <w:marBottom w:val="0"/>
      <w:divBdr>
        <w:top w:val="none" w:sz="0" w:space="0" w:color="auto"/>
        <w:left w:val="none" w:sz="0" w:space="0" w:color="auto"/>
        <w:bottom w:val="none" w:sz="0" w:space="0" w:color="auto"/>
        <w:right w:val="none" w:sz="0" w:space="0" w:color="auto"/>
      </w:divBdr>
    </w:div>
    <w:div w:id="1632398901">
      <w:bodyDiv w:val="1"/>
      <w:marLeft w:val="0"/>
      <w:marRight w:val="0"/>
      <w:marTop w:val="0"/>
      <w:marBottom w:val="0"/>
      <w:divBdr>
        <w:top w:val="none" w:sz="0" w:space="0" w:color="auto"/>
        <w:left w:val="none" w:sz="0" w:space="0" w:color="auto"/>
        <w:bottom w:val="none" w:sz="0" w:space="0" w:color="auto"/>
        <w:right w:val="none" w:sz="0" w:space="0" w:color="auto"/>
      </w:divBdr>
    </w:div>
    <w:div w:id="1643382969">
      <w:bodyDiv w:val="1"/>
      <w:marLeft w:val="0"/>
      <w:marRight w:val="0"/>
      <w:marTop w:val="0"/>
      <w:marBottom w:val="0"/>
      <w:divBdr>
        <w:top w:val="none" w:sz="0" w:space="0" w:color="auto"/>
        <w:left w:val="none" w:sz="0" w:space="0" w:color="auto"/>
        <w:bottom w:val="none" w:sz="0" w:space="0" w:color="auto"/>
        <w:right w:val="none" w:sz="0" w:space="0" w:color="auto"/>
      </w:divBdr>
    </w:div>
    <w:div w:id="1653604487">
      <w:bodyDiv w:val="1"/>
      <w:marLeft w:val="0"/>
      <w:marRight w:val="0"/>
      <w:marTop w:val="0"/>
      <w:marBottom w:val="0"/>
      <w:divBdr>
        <w:top w:val="none" w:sz="0" w:space="0" w:color="auto"/>
        <w:left w:val="none" w:sz="0" w:space="0" w:color="auto"/>
        <w:bottom w:val="none" w:sz="0" w:space="0" w:color="auto"/>
        <w:right w:val="none" w:sz="0" w:space="0" w:color="auto"/>
      </w:divBdr>
    </w:div>
    <w:div w:id="1680960830">
      <w:bodyDiv w:val="1"/>
      <w:marLeft w:val="0"/>
      <w:marRight w:val="0"/>
      <w:marTop w:val="0"/>
      <w:marBottom w:val="0"/>
      <w:divBdr>
        <w:top w:val="none" w:sz="0" w:space="0" w:color="auto"/>
        <w:left w:val="none" w:sz="0" w:space="0" w:color="auto"/>
        <w:bottom w:val="none" w:sz="0" w:space="0" w:color="auto"/>
        <w:right w:val="none" w:sz="0" w:space="0" w:color="auto"/>
      </w:divBdr>
    </w:div>
    <w:div w:id="1695155536">
      <w:bodyDiv w:val="1"/>
      <w:marLeft w:val="0"/>
      <w:marRight w:val="0"/>
      <w:marTop w:val="0"/>
      <w:marBottom w:val="0"/>
      <w:divBdr>
        <w:top w:val="none" w:sz="0" w:space="0" w:color="auto"/>
        <w:left w:val="none" w:sz="0" w:space="0" w:color="auto"/>
        <w:bottom w:val="none" w:sz="0" w:space="0" w:color="auto"/>
        <w:right w:val="none" w:sz="0" w:space="0" w:color="auto"/>
      </w:divBdr>
    </w:div>
    <w:div w:id="1711564651">
      <w:bodyDiv w:val="1"/>
      <w:marLeft w:val="0"/>
      <w:marRight w:val="0"/>
      <w:marTop w:val="0"/>
      <w:marBottom w:val="0"/>
      <w:divBdr>
        <w:top w:val="none" w:sz="0" w:space="0" w:color="auto"/>
        <w:left w:val="none" w:sz="0" w:space="0" w:color="auto"/>
        <w:bottom w:val="none" w:sz="0" w:space="0" w:color="auto"/>
        <w:right w:val="none" w:sz="0" w:space="0" w:color="auto"/>
      </w:divBdr>
    </w:div>
    <w:div w:id="1721199435">
      <w:bodyDiv w:val="1"/>
      <w:marLeft w:val="0"/>
      <w:marRight w:val="0"/>
      <w:marTop w:val="0"/>
      <w:marBottom w:val="0"/>
      <w:divBdr>
        <w:top w:val="none" w:sz="0" w:space="0" w:color="auto"/>
        <w:left w:val="none" w:sz="0" w:space="0" w:color="auto"/>
        <w:bottom w:val="none" w:sz="0" w:space="0" w:color="auto"/>
        <w:right w:val="none" w:sz="0" w:space="0" w:color="auto"/>
      </w:divBdr>
    </w:div>
    <w:div w:id="1731230671">
      <w:bodyDiv w:val="1"/>
      <w:marLeft w:val="0"/>
      <w:marRight w:val="0"/>
      <w:marTop w:val="0"/>
      <w:marBottom w:val="0"/>
      <w:divBdr>
        <w:top w:val="none" w:sz="0" w:space="0" w:color="auto"/>
        <w:left w:val="none" w:sz="0" w:space="0" w:color="auto"/>
        <w:bottom w:val="none" w:sz="0" w:space="0" w:color="auto"/>
        <w:right w:val="none" w:sz="0" w:space="0" w:color="auto"/>
      </w:divBdr>
    </w:div>
    <w:div w:id="1736077756">
      <w:bodyDiv w:val="1"/>
      <w:marLeft w:val="0"/>
      <w:marRight w:val="0"/>
      <w:marTop w:val="0"/>
      <w:marBottom w:val="0"/>
      <w:divBdr>
        <w:top w:val="none" w:sz="0" w:space="0" w:color="auto"/>
        <w:left w:val="none" w:sz="0" w:space="0" w:color="auto"/>
        <w:bottom w:val="none" w:sz="0" w:space="0" w:color="auto"/>
        <w:right w:val="none" w:sz="0" w:space="0" w:color="auto"/>
      </w:divBdr>
    </w:div>
    <w:div w:id="1741950285">
      <w:bodyDiv w:val="1"/>
      <w:marLeft w:val="0"/>
      <w:marRight w:val="0"/>
      <w:marTop w:val="0"/>
      <w:marBottom w:val="0"/>
      <w:divBdr>
        <w:top w:val="none" w:sz="0" w:space="0" w:color="auto"/>
        <w:left w:val="none" w:sz="0" w:space="0" w:color="auto"/>
        <w:bottom w:val="none" w:sz="0" w:space="0" w:color="auto"/>
        <w:right w:val="none" w:sz="0" w:space="0" w:color="auto"/>
      </w:divBdr>
    </w:div>
    <w:div w:id="1742754538">
      <w:bodyDiv w:val="1"/>
      <w:marLeft w:val="0"/>
      <w:marRight w:val="0"/>
      <w:marTop w:val="0"/>
      <w:marBottom w:val="0"/>
      <w:divBdr>
        <w:top w:val="none" w:sz="0" w:space="0" w:color="auto"/>
        <w:left w:val="none" w:sz="0" w:space="0" w:color="auto"/>
        <w:bottom w:val="none" w:sz="0" w:space="0" w:color="auto"/>
        <w:right w:val="none" w:sz="0" w:space="0" w:color="auto"/>
      </w:divBdr>
    </w:div>
    <w:div w:id="1747336053">
      <w:bodyDiv w:val="1"/>
      <w:marLeft w:val="0"/>
      <w:marRight w:val="0"/>
      <w:marTop w:val="0"/>
      <w:marBottom w:val="0"/>
      <w:divBdr>
        <w:top w:val="none" w:sz="0" w:space="0" w:color="auto"/>
        <w:left w:val="none" w:sz="0" w:space="0" w:color="auto"/>
        <w:bottom w:val="none" w:sz="0" w:space="0" w:color="auto"/>
        <w:right w:val="none" w:sz="0" w:space="0" w:color="auto"/>
      </w:divBdr>
    </w:div>
    <w:div w:id="1765490134">
      <w:bodyDiv w:val="1"/>
      <w:marLeft w:val="0"/>
      <w:marRight w:val="0"/>
      <w:marTop w:val="0"/>
      <w:marBottom w:val="0"/>
      <w:divBdr>
        <w:top w:val="none" w:sz="0" w:space="0" w:color="auto"/>
        <w:left w:val="none" w:sz="0" w:space="0" w:color="auto"/>
        <w:bottom w:val="none" w:sz="0" w:space="0" w:color="auto"/>
        <w:right w:val="none" w:sz="0" w:space="0" w:color="auto"/>
      </w:divBdr>
    </w:div>
    <w:div w:id="1778138876">
      <w:bodyDiv w:val="1"/>
      <w:marLeft w:val="0"/>
      <w:marRight w:val="0"/>
      <w:marTop w:val="0"/>
      <w:marBottom w:val="0"/>
      <w:divBdr>
        <w:top w:val="none" w:sz="0" w:space="0" w:color="auto"/>
        <w:left w:val="none" w:sz="0" w:space="0" w:color="auto"/>
        <w:bottom w:val="none" w:sz="0" w:space="0" w:color="auto"/>
        <w:right w:val="none" w:sz="0" w:space="0" w:color="auto"/>
      </w:divBdr>
      <w:divsChild>
        <w:div w:id="474762488">
          <w:marLeft w:val="0"/>
          <w:marRight w:val="0"/>
          <w:marTop w:val="0"/>
          <w:marBottom w:val="0"/>
          <w:divBdr>
            <w:top w:val="none" w:sz="0" w:space="0" w:color="auto"/>
            <w:left w:val="none" w:sz="0" w:space="0" w:color="auto"/>
            <w:bottom w:val="none" w:sz="0" w:space="0" w:color="auto"/>
            <w:right w:val="none" w:sz="0" w:space="0" w:color="auto"/>
          </w:divBdr>
          <w:divsChild>
            <w:div w:id="545214130">
              <w:marLeft w:val="0"/>
              <w:marRight w:val="0"/>
              <w:marTop w:val="0"/>
              <w:marBottom w:val="0"/>
              <w:divBdr>
                <w:top w:val="none" w:sz="0" w:space="0" w:color="auto"/>
                <w:left w:val="none" w:sz="0" w:space="0" w:color="auto"/>
                <w:bottom w:val="none" w:sz="0" w:space="0" w:color="auto"/>
                <w:right w:val="none" w:sz="0" w:space="0" w:color="auto"/>
              </w:divBdr>
              <w:divsChild>
                <w:div w:id="927232969">
                  <w:marLeft w:val="0"/>
                  <w:marRight w:val="0"/>
                  <w:marTop w:val="0"/>
                  <w:marBottom w:val="0"/>
                  <w:divBdr>
                    <w:top w:val="none" w:sz="0" w:space="0" w:color="auto"/>
                    <w:left w:val="none" w:sz="0" w:space="0" w:color="auto"/>
                    <w:bottom w:val="none" w:sz="0" w:space="0" w:color="auto"/>
                    <w:right w:val="none" w:sz="0" w:space="0" w:color="auto"/>
                  </w:divBdr>
                  <w:divsChild>
                    <w:div w:id="157404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993774">
      <w:bodyDiv w:val="1"/>
      <w:marLeft w:val="0"/>
      <w:marRight w:val="0"/>
      <w:marTop w:val="0"/>
      <w:marBottom w:val="0"/>
      <w:divBdr>
        <w:top w:val="none" w:sz="0" w:space="0" w:color="auto"/>
        <w:left w:val="none" w:sz="0" w:space="0" w:color="auto"/>
        <w:bottom w:val="none" w:sz="0" w:space="0" w:color="auto"/>
        <w:right w:val="none" w:sz="0" w:space="0" w:color="auto"/>
      </w:divBdr>
    </w:div>
    <w:div w:id="1791586357">
      <w:bodyDiv w:val="1"/>
      <w:marLeft w:val="0"/>
      <w:marRight w:val="0"/>
      <w:marTop w:val="0"/>
      <w:marBottom w:val="0"/>
      <w:divBdr>
        <w:top w:val="none" w:sz="0" w:space="0" w:color="auto"/>
        <w:left w:val="none" w:sz="0" w:space="0" w:color="auto"/>
        <w:bottom w:val="none" w:sz="0" w:space="0" w:color="auto"/>
        <w:right w:val="none" w:sz="0" w:space="0" w:color="auto"/>
      </w:divBdr>
    </w:div>
    <w:div w:id="1807625903">
      <w:bodyDiv w:val="1"/>
      <w:marLeft w:val="0"/>
      <w:marRight w:val="0"/>
      <w:marTop w:val="0"/>
      <w:marBottom w:val="0"/>
      <w:divBdr>
        <w:top w:val="none" w:sz="0" w:space="0" w:color="auto"/>
        <w:left w:val="none" w:sz="0" w:space="0" w:color="auto"/>
        <w:bottom w:val="none" w:sz="0" w:space="0" w:color="auto"/>
        <w:right w:val="none" w:sz="0" w:space="0" w:color="auto"/>
      </w:divBdr>
    </w:div>
    <w:div w:id="1814327852">
      <w:bodyDiv w:val="1"/>
      <w:marLeft w:val="0"/>
      <w:marRight w:val="0"/>
      <w:marTop w:val="0"/>
      <w:marBottom w:val="0"/>
      <w:divBdr>
        <w:top w:val="none" w:sz="0" w:space="0" w:color="auto"/>
        <w:left w:val="none" w:sz="0" w:space="0" w:color="auto"/>
        <w:bottom w:val="none" w:sz="0" w:space="0" w:color="auto"/>
        <w:right w:val="none" w:sz="0" w:space="0" w:color="auto"/>
      </w:divBdr>
      <w:divsChild>
        <w:div w:id="1935044101">
          <w:marLeft w:val="0"/>
          <w:marRight w:val="0"/>
          <w:marTop w:val="0"/>
          <w:marBottom w:val="0"/>
          <w:divBdr>
            <w:top w:val="none" w:sz="0" w:space="0" w:color="auto"/>
            <w:left w:val="none" w:sz="0" w:space="0" w:color="auto"/>
            <w:bottom w:val="none" w:sz="0" w:space="0" w:color="auto"/>
            <w:right w:val="none" w:sz="0" w:space="0" w:color="auto"/>
          </w:divBdr>
          <w:divsChild>
            <w:div w:id="1129014359">
              <w:marLeft w:val="0"/>
              <w:marRight w:val="0"/>
              <w:marTop w:val="0"/>
              <w:marBottom w:val="0"/>
              <w:divBdr>
                <w:top w:val="none" w:sz="0" w:space="0" w:color="auto"/>
                <w:left w:val="none" w:sz="0" w:space="0" w:color="auto"/>
                <w:bottom w:val="none" w:sz="0" w:space="0" w:color="auto"/>
                <w:right w:val="none" w:sz="0" w:space="0" w:color="auto"/>
              </w:divBdr>
              <w:divsChild>
                <w:div w:id="498278053">
                  <w:marLeft w:val="0"/>
                  <w:marRight w:val="0"/>
                  <w:marTop w:val="0"/>
                  <w:marBottom w:val="0"/>
                  <w:divBdr>
                    <w:top w:val="none" w:sz="0" w:space="0" w:color="auto"/>
                    <w:left w:val="none" w:sz="0" w:space="0" w:color="auto"/>
                    <w:bottom w:val="none" w:sz="0" w:space="0" w:color="auto"/>
                    <w:right w:val="none" w:sz="0" w:space="0" w:color="auto"/>
                  </w:divBdr>
                  <w:divsChild>
                    <w:div w:id="23844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032225">
      <w:bodyDiv w:val="1"/>
      <w:marLeft w:val="0"/>
      <w:marRight w:val="0"/>
      <w:marTop w:val="0"/>
      <w:marBottom w:val="0"/>
      <w:divBdr>
        <w:top w:val="none" w:sz="0" w:space="0" w:color="auto"/>
        <w:left w:val="none" w:sz="0" w:space="0" w:color="auto"/>
        <w:bottom w:val="none" w:sz="0" w:space="0" w:color="auto"/>
        <w:right w:val="none" w:sz="0" w:space="0" w:color="auto"/>
      </w:divBdr>
      <w:divsChild>
        <w:div w:id="1796219142">
          <w:marLeft w:val="0"/>
          <w:marRight w:val="0"/>
          <w:marTop w:val="0"/>
          <w:marBottom w:val="0"/>
          <w:divBdr>
            <w:top w:val="none" w:sz="0" w:space="0" w:color="auto"/>
            <w:left w:val="none" w:sz="0" w:space="0" w:color="auto"/>
            <w:bottom w:val="none" w:sz="0" w:space="0" w:color="auto"/>
            <w:right w:val="none" w:sz="0" w:space="0" w:color="auto"/>
          </w:divBdr>
          <w:divsChild>
            <w:div w:id="541989429">
              <w:marLeft w:val="0"/>
              <w:marRight w:val="0"/>
              <w:marTop w:val="0"/>
              <w:marBottom w:val="0"/>
              <w:divBdr>
                <w:top w:val="none" w:sz="0" w:space="0" w:color="auto"/>
                <w:left w:val="none" w:sz="0" w:space="0" w:color="auto"/>
                <w:bottom w:val="none" w:sz="0" w:space="0" w:color="auto"/>
                <w:right w:val="none" w:sz="0" w:space="0" w:color="auto"/>
              </w:divBdr>
              <w:divsChild>
                <w:div w:id="1517766612">
                  <w:marLeft w:val="0"/>
                  <w:marRight w:val="0"/>
                  <w:marTop w:val="0"/>
                  <w:marBottom w:val="0"/>
                  <w:divBdr>
                    <w:top w:val="none" w:sz="0" w:space="0" w:color="auto"/>
                    <w:left w:val="none" w:sz="0" w:space="0" w:color="auto"/>
                    <w:bottom w:val="none" w:sz="0" w:space="0" w:color="auto"/>
                    <w:right w:val="none" w:sz="0" w:space="0" w:color="auto"/>
                  </w:divBdr>
                  <w:divsChild>
                    <w:div w:id="2857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422218">
      <w:bodyDiv w:val="1"/>
      <w:marLeft w:val="0"/>
      <w:marRight w:val="0"/>
      <w:marTop w:val="0"/>
      <w:marBottom w:val="0"/>
      <w:divBdr>
        <w:top w:val="none" w:sz="0" w:space="0" w:color="auto"/>
        <w:left w:val="none" w:sz="0" w:space="0" w:color="auto"/>
        <w:bottom w:val="none" w:sz="0" w:space="0" w:color="auto"/>
        <w:right w:val="none" w:sz="0" w:space="0" w:color="auto"/>
      </w:divBdr>
    </w:div>
    <w:div w:id="1847211270">
      <w:bodyDiv w:val="1"/>
      <w:marLeft w:val="0"/>
      <w:marRight w:val="0"/>
      <w:marTop w:val="0"/>
      <w:marBottom w:val="0"/>
      <w:divBdr>
        <w:top w:val="none" w:sz="0" w:space="0" w:color="auto"/>
        <w:left w:val="none" w:sz="0" w:space="0" w:color="auto"/>
        <w:bottom w:val="none" w:sz="0" w:space="0" w:color="auto"/>
        <w:right w:val="none" w:sz="0" w:space="0" w:color="auto"/>
      </w:divBdr>
    </w:div>
    <w:div w:id="1847666683">
      <w:bodyDiv w:val="1"/>
      <w:marLeft w:val="0"/>
      <w:marRight w:val="0"/>
      <w:marTop w:val="0"/>
      <w:marBottom w:val="0"/>
      <w:divBdr>
        <w:top w:val="none" w:sz="0" w:space="0" w:color="auto"/>
        <w:left w:val="none" w:sz="0" w:space="0" w:color="auto"/>
        <w:bottom w:val="none" w:sz="0" w:space="0" w:color="auto"/>
        <w:right w:val="none" w:sz="0" w:space="0" w:color="auto"/>
      </w:divBdr>
      <w:divsChild>
        <w:div w:id="1932464582">
          <w:marLeft w:val="0"/>
          <w:marRight w:val="0"/>
          <w:marTop w:val="0"/>
          <w:marBottom w:val="0"/>
          <w:divBdr>
            <w:top w:val="none" w:sz="0" w:space="0" w:color="auto"/>
            <w:left w:val="none" w:sz="0" w:space="0" w:color="auto"/>
            <w:bottom w:val="none" w:sz="0" w:space="0" w:color="auto"/>
            <w:right w:val="none" w:sz="0" w:space="0" w:color="auto"/>
          </w:divBdr>
          <w:divsChild>
            <w:div w:id="1812941342">
              <w:marLeft w:val="0"/>
              <w:marRight w:val="0"/>
              <w:marTop w:val="0"/>
              <w:marBottom w:val="0"/>
              <w:divBdr>
                <w:top w:val="none" w:sz="0" w:space="0" w:color="auto"/>
                <w:left w:val="none" w:sz="0" w:space="0" w:color="auto"/>
                <w:bottom w:val="none" w:sz="0" w:space="0" w:color="auto"/>
                <w:right w:val="none" w:sz="0" w:space="0" w:color="auto"/>
              </w:divBdr>
              <w:divsChild>
                <w:div w:id="839466241">
                  <w:marLeft w:val="0"/>
                  <w:marRight w:val="0"/>
                  <w:marTop w:val="0"/>
                  <w:marBottom w:val="0"/>
                  <w:divBdr>
                    <w:top w:val="none" w:sz="0" w:space="0" w:color="auto"/>
                    <w:left w:val="none" w:sz="0" w:space="0" w:color="auto"/>
                    <w:bottom w:val="none" w:sz="0" w:space="0" w:color="auto"/>
                    <w:right w:val="none" w:sz="0" w:space="0" w:color="auto"/>
                  </w:divBdr>
                  <w:divsChild>
                    <w:div w:id="15587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171461">
      <w:bodyDiv w:val="1"/>
      <w:marLeft w:val="0"/>
      <w:marRight w:val="0"/>
      <w:marTop w:val="0"/>
      <w:marBottom w:val="0"/>
      <w:divBdr>
        <w:top w:val="none" w:sz="0" w:space="0" w:color="auto"/>
        <w:left w:val="none" w:sz="0" w:space="0" w:color="auto"/>
        <w:bottom w:val="none" w:sz="0" w:space="0" w:color="auto"/>
        <w:right w:val="none" w:sz="0" w:space="0" w:color="auto"/>
      </w:divBdr>
    </w:div>
    <w:div w:id="1853495412">
      <w:bodyDiv w:val="1"/>
      <w:marLeft w:val="0"/>
      <w:marRight w:val="0"/>
      <w:marTop w:val="0"/>
      <w:marBottom w:val="0"/>
      <w:divBdr>
        <w:top w:val="none" w:sz="0" w:space="0" w:color="auto"/>
        <w:left w:val="none" w:sz="0" w:space="0" w:color="auto"/>
        <w:bottom w:val="none" w:sz="0" w:space="0" w:color="auto"/>
        <w:right w:val="none" w:sz="0" w:space="0" w:color="auto"/>
      </w:divBdr>
    </w:div>
    <w:div w:id="1858302709">
      <w:bodyDiv w:val="1"/>
      <w:marLeft w:val="0"/>
      <w:marRight w:val="0"/>
      <w:marTop w:val="0"/>
      <w:marBottom w:val="0"/>
      <w:divBdr>
        <w:top w:val="none" w:sz="0" w:space="0" w:color="auto"/>
        <w:left w:val="none" w:sz="0" w:space="0" w:color="auto"/>
        <w:bottom w:val="none" w:sz="0" w:space="0" w:color="auto"/>
        <w:right w:val="none" w:sz="0" w:space="0" w:color="auto"/>
      </w:divBdr>
    </w:div>
    <w:div w:id="1870489272">
      <w:bodyDiv w:val="1"/>
      <w:marLeft w:val="0"/>
      <w:marRight w:val="0"/>
      <w:marTop w:val="0"/>
      <w:marBottom w:val="0"/>
      <w:divBdr>
        <w:top w:val="none" w:sz="0" w:space="0" w:color="auto"/>
        <w:left w:val="none" w:sz="0" w:space="0" w:color="auto"/>
        <w:bottom w:val="none" w:sz="0" w:space="0" w:color="auto"/>
        <w:right w:val="none" w:sz="0" w:space="0" w:color="auto"/>
      </w:divBdr>
    </w:div>
    <w:div w:id="1880434701">
      <w:bodyDiv w:val="1"/>
      <w:marLeft w:val="0"/>
      <w:marRight w:val="0"/>
      <w:marTop w:val="0"/>
      <w:marBottom w:val="0"/>
      <w:divBdr>
        <w:top w:val="none" w:sz="0" w:space="0" w:color="auto"/>
        <w:left w:val="none" w:sz="0" w:space="0" w:color="auto"/>
        <w:bottom w:val="none" w:sz="0" w:space="0" w:color="auto"/>
        <w:right w:val="none" w:sz="0" w:space="0" w:color="auto"/>
      </w:divBdr>
    </w:div>
    <w:div w:id="1899584870">
      <w:bodyDiv w:val="1"/>
      <w:marLeft w:val="0"/>
      <w:marRight w:val="0"/>
      <w:marTop w:val="0"/>
      <w:marBottom w:val="0"/>
      <w:divBdr>
        <w:top w:val="none" w:sz="0" w:space="0" w:color="auto"/>
        <w:left w:val="none" w:sz="0" w:space="0" w:color="auto"/>
        <w:bottom w:val="none" w:sz="0" w:space="0" w:color="auto"/>
        <w:right w:val="none" w:sz="0" w:space="0" w:color="auto"/>
      </w:divBdr>
      <w:divsChild>
        <w:div w:id="1586380554">
          <w:marLeft w:val="0"/>
          <w:marRight w:val="0"/>
          <w:marTop w:val="0"/>
          <w:marBottom w:val="0"/>
          <w:divBdr>
            <w:top w:val="none" w:sz="0" w:space="0" w:color="auto"/>
            <w:left w:val="none" w:sz="0" w:space="0" w:color="auto"/>
            <w:bottom w:val="none" w:sz="0" w:space="0" w:color="auto"/>
            <w:right w:val="none" w:sz="0" w:space="0" w:color="auto"/>
          </w:divBdr>
          <w:divsChild>
            <w:div w:id="1664158917">
              <w:marLeft w:val="0"/>
              <w:marRight w:val="0"/>
              <w:marTop w:val="0"/>
              <w:marBottom w:val="0"/>
              <w:divBdr>
                <w:top w:val="none" w:sz="0" w:space="0" w:color="auto"/>
                <w:left w:val="none" w:sz="0" w:space="0" w:color="auto"/>
                <w:bottom w:val="none" w:sz="0" w:space="0" w:color="auto"/>
                <w:right w:val="none" w:sz="0" w:space="0" w:color="auto"/>
              </w:divBdr>
              <w:divsChild>
                <w:div w:id="1943026001">
                  <w:marLeft w:val="0"/>
                  <w:marRight w:val="0"/>
                  <w:marTop w:val="0"/>
                  <w:marBottom w:val="0"/>
                  <w:divBdr>
                    <w:top w:val="none" w:sz="0" w:space="0" w:color="auto"/>
                    <w:left w:val="none" w:sz="0" w:space="0" w:color="auto"/>
                    <w:bottom w:val="none" w:sz="0" w:space="0" w:color="auto"/>
                    <w:right w:val="none" w:sz="0" w:space="0" w:color="auto"/>
                  </w:divBdr>
                  <w:divsChild>
                    <w:div w:id="1122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465701">
      <w:bodyDiv w:val="1"/>
      <w:marLeft w:val="0"/>
      <w:marRight w:val="0"/>
      <w:marTop w:val="0"/>
      <w:marBottom w:val="0"/>
      <w:divBdr>
        <w:top w:val="none" w:sz="0" w:space="0" w:color="auto"/>
        <w:left w:val="none" w:sz="0" w:space="0" w:color="auto"/>
        <w:bottom w:val="none" w:sz="0" w:space="0" w:color="auto"/>
        <w:right w:val="none" w:sz="0" w:space="0" w:color="auto"/>
      </w:divBdr>
    </w:div>
    <w:div w:id="1914587768">
      <w:bodyDiv w:val="1"/>
      <w:marLeft w:val="0"/>
      <w:marRight w:val="0"/>
      <w:marTop w:val="0"/>
      <w:marBottom w:val="0"/>
      <w:divBdr>
        <w:top w:val="none" w:sz="0" w:space="0" w:color="auto"/>
        <w:left w:val="none" w:sz="0" w:space="0" w:color="auto"/>
        <w:bottom w:val="none" w:sz="0" w:space="0" w:color="auto"/>
        <w:right w:val="none" w:sz="0" w:space="0" w:color="auto"/>
      </w:divBdr>
    </w:div>
    <w:div w:id="1923445249">
      <w:bodyDiv w:val="1"/>
      <w:marLeft w:val="0"/>
      <w:marRight w:val="0"/>
      <w:marTop w:val="0"/>
      <w:marBottom w:val="0"/>
      <w:divBdr>
        <w:top w:val="none" w:sz="0" w:space="0" w:color="auto"/>
        <w:left w:val="none" w:sz="0" w:space="0" w:color="auto"/>
        <w:bottom w:val="none" w:sz="0" w:space="0" w:color="auto"/>
        <w:right w:val="none" w:sz="0" w:space="0" w:color="auto"/>
      </w:divBdr>
    </w:div>
    <w:div w:id="1926306014">
      <w:bodyDiv w:val="1"/>
      <w:marLeft w:val="0"/>
      <w:marRight w:val="0"/>
      <w:marTop w:val="0"/>
      <w:marBottom w:val="0"/>
      <w:divBdr>
        <w:top w:val="none" w:sz="0" w:space="0" w:color="auto"/>
        <w:left w:val="none" w:sz="0" w:space="0" w:color="auto"/>
        <w:bottom w:val="none" w:sz="0" w:space="0" w:color="auto"/>
        <w:right w:val="none" w:sz="0" w:space="0" w:color="auto"/>
      </w:divBdr>
    </w:div>
    <w:div w:id="1930773686">
      <w:bodyDiv w:val="1"/>
      <w:marLeft w:val="0"/>
      <w:marRight w:val="0"/>
      <w:marTop w:val="0"/>
      <w:marBottom w:val="0"/>
      <w:divBdr>
        <w:top w:val="none" w:sz="0" w:space="0" w:color="auto"/>
        <w:left w:val="none" w:sz="0" w:space="0" w:color="auto"/>
        <w:bottom w:val="none" w:sz="0" w:space="0" w:color="auto"/>
        <w:right w:val="none" w:sz="0" w:space="0" w:color="auto"/>
      </w:divBdr>
    </w:div>
    <w:div w:id="1960529039">
      <w:bodyDiv w:val="1"/>
      <w:marLeft w:val="0"/>
      <w:marRight w:val="0"/>
      <w:marTop w:val="0"/>
      <w:marBottom w:val="0"/>
      <w:divBdr>
        <w:top w:val="none" w:sz="0" w:space="0" w:color="auto"/>
        <w:left w:val="none" w:sz="0" w:space="0" w:color="auto"/>
        <w:bottom w:val="none" w:sz="0" w:space="0" w:color="auto"/>
        <w:right w:val="none" w:sz="0" w:space="0" w:color="auto"/>
      </w:divBdr>
    </w:div>
    <w:div w:id="2006740944">
      <w:bodyDiv w:val="1"/>
      <w:marLeft w:val="0"/>
      <w:marRight w:val="0"/>
      <w:marTop w:val="0"/>
      <w:marBottom w:val="0"/>
      <w:divBdr>
        <w:top w:val="none" w:sz="0" w:space="0" w:color="auto"/>
        <w:left w:val="none" w:sz="0" w:space="0" w:color="auto"/>
        <w:bottom w:val="none" w:sz="0" w:space="0" w:color="auto"/>
        <w:right w:val="none" w:sz="0" w:space="0" w:color="auto"/>
      </w:divBdr>
      <w:divsChild>
        <w:div w:id="1508252263">
          <w:marLeft w:val="0"/>
          <w:marRight w:val="0"/>
          <w:marTop w:val="0"/>
          <w:marBottom w:val="0"/>
          <w:divBdr>
            <w:top w:val="none" w:sz="0" w:space="0" w:color="auto"/>
            <w:left w:val="none" w:sz="0" w:space="0" w:color="auto"/>
            <w:bottom w:val="none" w:sz="0" w:space="0" w:color="auto"/>
            <w:right w:val="none" w:sz="0" w:space="0" w:color="auto"/>
          </w:divBdr>
          <w:divsChild>
            <w:div w:id="43524834">
              <w:marLeft w:val="0"/>
              <w:marRight w:val="0"/>
              <w:marTop w:val="0"/>
              <w:marBottom w:val="0"/>
              <w:divBdr>
                <w:top w:val="none" w:sz="0" w:space="0" w:color="auto"/>
                <w:left w:val="none" w:sz="0" w:space="0" w:color="auto"/>
                <w:bottom w:val="none" w:sz="0" w:space="0" w:color="auto"/>
                <w:right w:val="none" w:sz="0" w:space="0" w:color="auto"/>
              </w:divBdr>
              <w:divsChild>
                <w:div w:id="746994332">
                  <w:marLeft w:val="0"/>
                  <w:marRight w:val="0"/>
                  <w:marTop w:val="0"/>
                  <w:marBottom w:val="0"/>
                  <w:divBdr>
                    <w:top w:val="none" w:sz="0" w:space="0" w:color="auto"/>
                    <w:left w:val="none" w:sz="0" w:space="0" w:color="auto"/>
                    <w:bottom w:val="none" w:sz="0" w:space="0" w:color="auto"/>
                    <w:right w:val="none" w:sz="0" w:space="0" w:color="auto"/>
                  </w:divBdr>
                  <w:divsChild>
                    <w:div w:id="13652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324249">
      <w:bodyDiv w:val="1"/>
      <w:marLeft w:val="0"/>
      <w:marRight w:val="0"/>
      <w:marTop w:val="0"/>
      <w:marBottom w:val="0"/>
      <w:divBdr>
        <w:top w:val="none" w:sz="0" w:space="0" w:color="auto"/>
        <w:left w:val="none" w:sz="0" w:space="0" w:color="auto"/>
        <w:bottom w:val="none" w:sz="0" w:space="0" w:color="auto"/>
        <w:right w:val="none" w:sz="0" w:space="0" w:color="auto"/>
      </w:divBdr>
    </w:div>
    <w:div w:id="2008482225">
      <w:bodyDiv w:val="1"/>
      <w:marLeft w:val="0"/>
      <w:marRight w:val="0"/>
      <w:marTop w:val="0"/>
      <w:marBottom w:val="0"/>
      <w:divBdr>
        <w:top w:val="none" w:sz="0" w:space="0" w:color="auto"/>
        <w:left w:val="none" w:sz="0" w:space="0" w:color="auto"/>
        <w:bottom w:val="none" w:sz="0" w:space="0" w:color="auto"/>
        <w:right w:val="none" w:sz="0" w:space="0" w:color="auto"/>
      </w:divBdr>
    </w:div>
    <w:div w:id="2016884469">
      <w:bodyDiv w:val="1"/>
      <w:marLeft w:val="0"/>
      <w:marRight w:val="0"/>
      <w:marTop w:val="0"/>
      <w:marBottom w:val="0"/>
      <w:divBdr>
        <w:top w:val="none" w:sz="0" w:space="0" w:color="auto"/>
        <w:left w:val="none" w:sz="0" w:space="0" w:color="auto"/>
        <w:bottom w:val="none" w:sz="0" w:space="0" w:color="auto"/>
        <w:right w:val="none" w:sz="0" w:space="0" w:color="auto"/>
      </w:divBdr>
    </w:div>
    <w:div w:id="2044935005">
      <w:bodyDiv w:val="1"/>
      <w:marLeft w:val="0"/>
      <w:marRight w:val="0"/>
      <w:marTop w:val="0"/>
      <w:marBottom w:val="0"/>
      <w:divBdr>
        <w:top w:val="none" w:sz="0" w:space="0" w:color="auto"/>
        <w:left w:val="none" w:sz="0" w:space="0" w:color="auto"/>
        <w:bottom w:val="none" w:sz="0" w:space="0" w:color="auto"/>
        <w:right w:val="none" w:sz="0" w:space="0" w:color="auto"/>
      </w:divBdr>
    </w:div>
    <w:div w:id="2046059925">
      <w:bodyDiv w:val="1"/>
      <w:marLeft w:val="0"/>
      <w:marRight w:val="0"/>
      <w:marTop w:val="0"/>
      <w:marBottom w:val="0"/>
      <w:divBdr>
        <w:top w:val="none" w:sz="0" w:space="0" w:color="auto"/>
        <w:left w:val="none" w:sz="0" w:space="0" w:color="auto"/>
        <w:bottom w:val="none" w:sz="0" w:space="0" w:color="auto"/>
        <w:right w:val="none" w:sz="0" w:space="0" w:color="auto"/>
      </w:divBdr>
      <w:divsChild>
        <w:div w:id="995107071">
          <w:marLeft w:val="0"/>
          <w:marRight w:val="0"/>
          <w:marTop w:val="0"/>
          <w:marBottom w:val="0"/>
          <w:divBdr>
            <w:top w:val="none" w:sz="0" w:space="0" w:color="auto"/>
            <w:left w:val="none" w:sz="0" w:space="0" w:color="auto"/>
            <w:bottom w:val="none" w:sz="0" w:space="0" w:color="auto"/>
            <w:right w:val="none" w:sz="0" w:space="0" w:color="auto"/>
          </w:divBdr>
          <w:divsChild>
            <w:div w:id="617030980">
              <w:marLeft w:val="0"/>
              <w:marRight w:val="0"/>
              <w:marTop w:val="0"/>
              <w:marBottom w:val="0"/>
              <w:divBdr>
                <w:top w:val="none" w:sz="0" w:space="0" w:color="auto"/>
                <w:left w:val="none" w:sz="0" w:space="0" w:color="auto"/>
                <w:bottom w:val="none" w:sz="0" w:space="0" w:color="auto"/>
                <w:right w:val="none" w:sz="0" w:space="0" w:color="auto"/>
              </w:divBdr>
              <w:divsChild>
                <w:div w:id="2122219303">
                  <w:marLeft w:val="0"/>
                  <w:marRight w:val="0"/>
                  <w:marTop w:val="0"/>
                  <w:marBottom w:val="0"/>
                  <w:divBdr>
                    <w:top w:val="none" w:sz="0" w:space="0" w:color="auto"/>
                    <w:left w:val="none" w:sz="0" w:space="0" w:color="auto"/>
                    <w:bottom w:val="none" w:sz="0" w:space="0" w:color="auto"/>
                    <w:right w:val="none" w:sz="0" w:space="0" w:color="auto"/>
                  </w:divBdr>
                  <w:divsChild>
                    <w:div w:id="140313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265042">
      <w:bodyDiv w:val="1"/>
      <w:marLeft w:val="0"/>
      <w:marRight w:val="0"/>
      <w:marTop w:val="0"/>
      <w:marBottom w:val="0"/>
      <w:divBdr>
        <w:top w:val="none" w:sz="0" w:space="0" w:color="auto"/>
        <w:left w:val="none" w:sz="0" w:space="0" w:color="auto"/>
        <w:bottom w:val="none" w:sz="0" w:space="0" w:color="auto"/>
        <w:right w:val="none" w:sz="0" w:space="0" w:color="auto"/>
      </w:divBdr>
    </w:div>
    <w:div w:id="2059939225">
      <w:bodyDiv w:val="1"/>
      <w:marLeft w:val="0"/>
      <w:marRight w:val="0"/>
      <w:marTop w:val="0"/>
      <w:marBottom w:val="0"/>
      <w:divBdr>
        <w:top w:val="none" w:sz="0" w:space="0" w:color="auto"/>
        <w:left w:val="none" w:sz="0" w:space="0" w:color="auto"/>
        <w:bottom w:val="none" w:sz="0" w:space="0" w:color="auto"/>
        <w:right w:val="none" w:sz="0" w:space="0" w:color="auto"/>
      </w:divBdr>
    </w:div>
    <w:div w:id="2061204361">
      <w:bodyDiv w:val="1"/>
      <w:marLeft w:val="0"/>
      <w:marRight w:val="0"/>
      <w:marTop w:val="0"/>
      <w:marBottom w:val="0"/>
      <w:divBdr>
        <w:top w:val="none" w:sz="0" w:space="0" w:color="auto"/>
        <w:left w:val="none" w:sz="0" w:space="0" w:color="auto"/>
        <w:bottom w:val="none" w:sz="0" w:space="0" w:color="auto"/>
        <w:right w:val="none" w:sz="0" w:space="0" w:color="auto"/>
      </w:divBdr>
    </w:div>
    <w:div w:id="2063868712">
      <w:bodyDiv w:val="1"/>
      <w:marLeft w:val="0"/>
      <w:marRight w:val="0"/>
      <w:marTop w:val="0"/>
      <w:marBottom w:val="0"/>
      <w:divBdr>
        <w:top w:val="none" w:sz="0" w:space="0" w:color="auto"/>
        <w:left w:val="none" w:sz="0" w:space="0" w:color="auto"/>
        <w:bottom w:val="none" w:sz="0" w:space="0" w:color="auto"/>
        <w:right w:val="none" w:sz="0" w:space="0" w:color="auto"/>
      </w:divBdr>
    </w:div>
    <w:div w:id="2074741046">
      <w:bodyDiv w:val="1"/>
      <w:marLeft w:val="0"/>
      <w:marRight w:val="0"/>
      <w:marTop w:val="0"/>
      <w:marBottom w:val="0"/>
      <w:divBdr>
        <w:top w:val="none" w:sz="0" w:space="0" w:color="auto"/>
        <w:left w:val="none" w:sz="0" w:space="0" w:color="auto"/>
        <w:bottom w:val="none" w:sz="0" w:space="0" w:color="auto"/>
        <w:right w:val="none" w:sz="0" w:space="0" w:color="auto"/>
      </w:divBdr>
    </w:div>
    <w:div w:id="2100443054">
      <w:bodyDiv w:val="1"/>
      <w:marLeft w:val="0"/>
      <w:marRight w:val="0"/>
      <w:marTop w:val="0"/>
      <w:marBottom w:val="0"/>
      <w:divBdr>
        <w:top w:val="none" w:sz="0" w:space="0" w:color="auto"/>
        <w:left w:val="none" w:sz="0" w:space="0" w:color="auto"/>
        <w:bottom w:val="none" w:sz="0" w:space="0" w:color="auto"/>
        <w:right w:val="none" w:sz="0" w:space="0" w:color="auto"/>
      </w:divBdr>
      <w:divsChild>
        <w:div w:id="645933152">
          <w:marLeft w:val="0"/>
          <w:marRight w:val="0"/>
          <w:marTop w:val="0"/>
          <w:marBottom w:val="0"/>
          <w:divBdr>
            <w:top w:val="none" w:sz="0" w:space="0" w:color="auto"/>
            <w:left w:val="none" w:sz="0" w:space="0" w:color="auto"/>
            <w:bottom w:val="none" w:sz="0" w:space="0" w:color="auto"/>
            <w:right w:val="none" w:sz="0" w:space="0" w:color="auto"/>
          </w:divBdr>
          <w:divsChild>
            <w:div w:id="1314217655">
              <w:marLeft w:val="0"/>
              <w:marRight w:val="0"/>
              <w:marTop w:val="0"/>
              <w:marBottom w:val="0"/>
              <w:divBdr>
                <w:top w:val="none" w:sz="0" w:space="0" w:color="auto"/>
                <w:left w:val="none" w:sz="0" w:space="0" w:color="auto"/>
                <w:bottom w:val="none" w:sz="0" w:space="0" w:color="auto"/>
                <w:right w:val="none" w:sz="0" w:space="0" w:color="auto"/>
              </w:divBdr>
              <w:divsChild>
                <w:div w:id="308020003">
                  <w:marLeft w:val="0"/>
                  <w:marRight w:val="0"/>
                  <w:marTop w:val="0"/>
                  <w:marBottom w:val="0"/>
                  <w:divBdr>
                    <w:top w:val="none" w:sz="0" w:space="0" w:color="auto"/>
                    <w:left w:val="none" w:sz="0" w:space="0" w:color="auto"/>
                    <w:bottom w:val="none" w:sz="0" w:space="0" w:color="auto"/>
                    <w:right w:val="none" w:sz="0" w:space="0" w:color="auto"/>
                  </w:divBdr>
                  <w:divsChild>
                    <w:div w:id="64404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140605">
      <w:bodyDiv w:val="1"/>
      <w:marLeft w:val="0"/>
      <w:marRight w:val="0"/>
      <w:marTop w:val="0"/>
      <w:marBottom w:val="0"/>
      <w:divBdr>
        <w:top w:val="none" w:sz="0" w:space="0" w:color="auto"/>
        <w:left w:val="none" w:sz="0" w:space="0" w:color="auto"/>
        <w:bottom w:val="none" w:sz="0" w:space="0" w:color="auto"/>
        <w:right w:val="none" w:sz="0" w:space="0" w:color="auto"/>
      </w:divBdr>
      <w:divsChild>
        <w:div w:id="193421065">
          <w:marLeft w:val="0"/>
          <w:marRight w:val="0"/>
          <w:marTop w:val="0"/>
          <w:marBottom w:val="0"/>
          <w:divBdr>
            <w:top w:val="none" w:sz="0" w:space="0" w:color="auto"/>
            <w:left w:val="none" w:sz="0" w:space="0" w:color="auto"/>
            <w:bottom w:val="none" w:sz="0" w:space="0" w:color="auto"/>
            <w:right w:val="none" w:sz="0" w:space="0" w:color="auto"/>
          </w:divBdr>
          <w:divsChild>
            <w:div w:id="111750034">
              <w:marLeft w:val="0"/>
              <w:marRight w:val="0"/>
              <w:marTop w:val="0"/>
              <w:marBottom w:val="0"/>
              <w:divBdr>
                <w:top w:val="none" w:sz="0" w:space="0" w:color="auto"/>
                <w:left w:val="none" w:sz="0" w:space="0" w:color="auto"/>
                <w:bottom w:val="none" w:sz="0" w:space="0" w:color="auto"/>
                <w:right w:val="none" w:sz="0" w:space="0" w:color="auto"/>
              </w:divBdr>
              <w:divsChild>
                <w:div w:id="634483557">
                  <w:marLeft w:val="0"/>
                  <w:marRight w:val="0"/>
                  <w:marTop w:val="0"/>
                  <w:marBottom w:val="0"/>
                  <w:divBdr>
                    <w:top w:val="none" w:sz="0" w:space="0" w:color="auto"/>
                    <w:left w:val="none" w:sz="0" w:space="0" w:color="auto"/>
                    <w:bottom w:val="none" w:sz="0" w:space="0" w:color="auto"/>
                    <w:right w:val="none" w:sz="0" w:space="0" w:color="auto"/>
                  </w:divBdr>
                  <w:divsChild>
                    <w:div w:id="4687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350462">
      <w:bodyDiv w:val="1"/>
      <w:marLeft w:val="0"/>
      <w:marRight w:val="0"/>
      <w:marTop w:val="0"/>
      <w:marBottom w:val="0"/>
      <w:divBdr>
        <w:top w:val="none" w:sz="0" w:space="0" w:color="auto"/>
        <w:left w:val="none" w:sz="0" w:space="0" w:color="auto"/>
        <w:bottom w:val="none" w:sz="0" w:space="0" w:color="auto"/>
        <w:right w:val="none" w:sz="0" w:space="0" w:color="auto"/>
      </w:divBdr>
    </w:div>
    <w:div w:id="2115468101">
      <w:bodyDiv w:val="1"/>
      <w:marLeft w:val="0"/>
      <w:marRight w:val="0"/>
      <w:marTop w:val="0"/>
      <w:marBottom w:val="0"/>
      <w:divBdr>
        <w:top w:val="none" w:sz="0" w:space="0" w:color="auto"/>
        <w:left w:val="none" w:sz="0" w:space="0" w:color="auto"/>
        <w:bottom w:val="none" w:sz="0" w:space="0" w:color="auto"/>
        <w:right w:val="none" w:sz="0" w:space="0" w:color="auto"/>
      </w:divBdr>
    </w:div>
    <w:div w:id="2122797273">
      <w:bodyDiv w:val="1"/>
      <w:marLeft w:val="0"/>
      <w:marRight w:val="0"/>
      <w:marTop w:val="0"/>
      <w:marBottom w:val="0"/>
      <w:divBdr>
        <w:top w:val="none" w:sz="0" w:space="0" w:color="auto"/>
        <w:left w:val="none" w:sz="0" w:space="0" w:color="auto"/>
        <w:bottom w:val="none" w:sz="0" w:space="0" w:color="auto"/>
        <w:right w:val="none" w:sz="0" w:space="0" w:color="auto"/>
      </w:divBdr>
      <w:divsChild>
        <w:div w:id="821851317">
          <w:marLeft w:val="0"/>
          <w:marRight w:val="0"/>
          <w:marTop w:val="0"/>
          <w:marBottom w:val="0"/>
          <w:divBdr>
            <w:top w:val="none" w:sz="0" w:space="0" w:color="auto"/>
            <w:left w:val="none" w:sz="0" w:space="0" w:color="auto"/>
            <w:bottom w:val="none" w:sz="0" w:space="0" w:color="auto"/>
            <w:right w:val="none" w:sz="0" w:space="0" w:color="auto"/>
          </w:divBdr>
          <w:divsChild>
            <w:div w:id="758331460">
              <w:marLeft w:val="0"/>
              <w:marRight w:val="0"/>
              <w:marTop w:val="0"/>
              <w:marBottom w:val="0"/>
              <w:divBdr>
                <w:top w:val="none" w:sz="0" w:space="0" w:color="auto"/>
                <w:left w:val="none" w:sz="0" w:space="0" w:color="auto"/>
                <w:bottom w:val="none" w:sz="0" w:space="0" w:color="auto"/>
                <w:right w:val="none" w:sz="0" w:space="0" w:color="auto"/>
              </w:divBdr>
              <w:divsChild>
                <w:div w:id="1298293298">
                  <w:marLeft w:val="0"/>
                  <w:marRight w:val="0"/>
                  <w:marTop w:val="0"/>
                  <w:marBottom w:val="0"/>
                  <w:divBdr>
                    <w:top w:val="none" w:sz="0" w:space="0" w:color="auto"/>
                    <w:left w:val="none" w:sz="0" w:space="0" w:color="auto"/>
                    <w:bottom w:val="none" w:sz="0" w:space="0" w:color="auto"/>
                    <w:right w:val="none" w:sz="0" w:space="0" w:color="auto"/>
                  </w:divBdr>
                  <w:divsChild>
                    <w:div w:id="57065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90525">
      <w:bodyDiv w:val="1"/>
      <w:marLeft w:val="0"/>
      <w:marRight w:val="0"/>
      <w:marTop w:val="0"/>
      <w:marBottom w:val="0"/>
      <w:divBdr>
        <w:top w:val="none" w:sz="0" w:space="0" w:color="auto"/>
        <w:left w:val="none" w:sz="0" w:space="0" w:color="auto"/>
        <w:bottom w:val="none" w:sz="0" w:space="0" w:color="auto"/>
        <w:right w:val="none" w:sz="0" w:space="0" w:color="auto"/>
      </w:divBdr>
    </w:div>
    <w:div w:id="212962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03A0F57-A91B-444C-8424-A8804038DF23}">
  <ds:schemaRefs>
    <ds:schemaRef ds:uri="http://schemas.openxmlformats.org/officeDocument/2006/bibliography"/>
  </ds:schemaRefs>
</ds:datastoreItem>
</file>

<file path=customXml/itemProps2.xml><?xml version="1.0" encoding="utf-8"?>
<ds:datastoreItem xmlns:ds="http://schemas.openxmlformats.org/officeDocument/2006/customXml" ds:itemID="{E3D345C8-AE97-44AC-A45B-AF64312E4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6087</Words>
  <Characters>34699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India Interim Budget 2019</vt:lpstr>
    </vt:vector>
  </TitlesOfParts>
  <Company>PricewaterhouseCoopers</Company>
  <LinksUpToDate>false</LinksUpToDate>
  <CharactersWithSpaces>40705</CharactersWithSpaces>
  <SharedDoc>false</SharedDoc>
  <HLinks>
    <vt:vector size="360" baseType="variant">
      <vt:variant>
        <vt:i4>1572912</vt:i4>
      </vt:variant>
      <vt:variant>
        <vt:i4>362</vt:i4>
      </vt:variant>
      <vt:variant>
        <vt:i4>0</vt:i4>
      </vt:variant>
      <vt:variant>
        <vt:i4>5</vt:i4>
      </vt:variant>
      <vt:variant>
        <vt:lpwstr/>
      </vt:variant>
      <vt:variant>
        <vt:lpwstr>_Toc330478409</vt:lpwstr>
      </vt:variant>
      <vt:variant>
        <vt:i4>1572912</vt:i4>
      </vt:variant>
      <vt:variant>
        <vt:i4>356</vt:i4>
      </vt:variant>
      <vt:variant>
        <vt:i4>0</vt:i4>
      </vt:variant>
      <vt:variant>
        <vt:i4>5</vt:i4>
      </vt:variant>
      <vt:variant>
        <vt:lpwstr/>
      </vt:variant>
      <vt:variant>
        <vt:lpwstr>_Toc330478408</vt:lpwstr>
      </vt:variant>
      <vt:variant>
        <vt:i4>1572912</vt:i4>
      </vt:variant>
      <vt:variant>
        <vt:i4>350</vt:i4>
      </vt:variant>
      <vt:variant>
        <vt:i4>0</vt:i4>
      </vt:variant>
      <vt:variant>
        <vt:i4>5</vt:i4>
      </vt:variant>
      <vt:variant>
        <vt:lpwstr/>
      </vt:variant>
      <vt:variant>
        <vt:lpwstr>_Toc330478407</vt:lpwstr>
      </vt:variant>
      <vt:variant>
        <vt:i4>1572912</vt:i4>
      </vt:variant>
      <vt:variant>
        <vt:i4>344</vt:i4>
      </vt:variant>
      <vt:variant>
        <vt:i4>0</vt:i4>
      </vt:variant>
      <vt:variant>
        <vt:i4>5</vt:i4>
      </vt:variant>
      <vt:variant>
        <vt:lpwstr/>
      </vt:variant>
      <vt:variant>
        <vt:lpwstr>_Toc330478406</vt:lpwstr>
      </vt:variant>
      <vt:variant>
        <vt:i4>1572912</vt:i4>
      </vt:variant>
      <vt:variant>
        <vt:i4>338</vt:i4>
      </vt:variant>
      <vt:variant>
        <vt:i4>0</vt:i4>
      </vt:variant>
      <vt:variant>
        <vt:i4>5</vt:i4>
      </vt:variant>
      <vt:variant>
        <vt:lpwstr/>
      </vt:variant>
      <vt:variant>
        <vt:lpwstr>_Toc330478405</vt:lpwstr>
      </vt:variant>
      <vt:variant>
        <vt:i4>1572912</vt:i4>
      </vt:variant>
      <vt:variant>
        <vt:i4>332</vt:i4>
      </vt:variant>
      <vt:variant>
        <vt:i4>0</vt:i4>
      </vt:variant>
      <vt:variant>
        <vt:i4>5</vt:i4>
      </vt:variant>
      <vt:variant>
        <vt:lpwstr/>
      </vt:variant>
      <vt:variant>
        <vt:lpwstr>_Toc330478404</vt:lpwstr>
      </vt:variant>
      <vt:variant>
        <vt:i4>1572912</vt:i4>
      </vt:variant>
      <vt:variant>
        <vt:i4>326</vt:i4>
      </vt:variant>
      <vt:variant>
        <vt:i4>0</vt:i4>
      </vt:variant>
      <vt:variant>
        <vt:i4>5</vt:i4>
      </vt:variant>
      <vt:variant>
        <vt:lpwstr/>
      </vt:variant>
      <vt:variant>
        <vt:lpwstr>_Toc330478403</vt:lpwstr>
      </vt:variant>
      <vt:variant>
        <vt:i4>1572912</vt:i4>
      </vt:variant>
      <vt:variant>
        <vt:i4>320</vt:i4>
      </vt:variant>
      <vt:variant>
        <vt:i4>0</vt:i4>
      </vt:variant>
      <vt:variant>
        <vt:i4>5</vt:i4>
      </vt:variant>
      <vt:variant>
        <vt:lpwstr/>
      </vt:variant>
      <vt:variant>
        <vt:lpwstr>_Toc330478402</vt:lpwstr>
      </vt:variant>
      <vt:variant>
        <vt:i4>1572912</vt:i4>
      </vt:variant>
      <vt:variant>
        <vt:i4>314</vt:i4>
      </vt:variant>
      <vt:variant>
        <vt:i4>0</vt:i4>
      </vt:variant>
      <vt:variant>
        <vt:i4>5</vt:i4>
      </vt:variant>
      <vt:variant>
        <vt:lpwstr/>
      </vt:variant>
      <vt:variant>
        <vt:lpwstr>_Toc330478401</vt:lpwstr>
      </vt:variant>
      <vt:variant>
        <vt:i4>1572912</vt:i4>
      </vt:variant>
      <vt:variant>
        <vt:i4>308</vt:i4>
      </vt:variant>
      <vt:variant>
        <vt:i4>0</vt:i4>
      </vt:variant>
      <vt:variant>
        <vt:i4>5</vt:i4>
      </vt:variant>
      <vt:variant>
        <vt:lpwstr/>
      </vt:variant>
      <vt:variant>
        <vt:lpwstr>_Toc330478400</vt:lpwstr>
      </vt:variant>
      <vt:variant>
        <vt:i4>1048630</vt:i4>
      </vt:variant>
      <vt:variant>
        <vt:i4>299</vt:i4>
      </vt:variant>
      <vt:variant>
        <vt:i4>0</vt:i4>
      </vt:variant>
      <vt:variant>
        <vt:i4>5</vt:i4>
      </vt:variant>
      <vt:variant>
        <vt:lpwstr/>
      </vt:variant>
      <vt:variant>
        <vt:lpwstr>_Toc330478283</vt:lpwstr>
      </vt:variant>
      <vt:variant>
        <vt:i4>1048630</vt:i4>
      </vt:variant>
      <vt:variant>
        <vt:i4>293</vt:i4>
      </vt:variant>
      <vt:variant>
        <vt:i4>0</vt:i4>
      </vt:variant>
      <vt:variant>
        <vt:i4>5</vt:i4>
      </vt:variant>
      <vt:variant>
        <vt:lpwstr/>
      </vt:variant>
      <vt:variant>
        <vt:lpwstr>_Toc330478282</vt:lpwstr>
      </vt:variant>
      <vt:variant>
        <vt:i4>1048630</vt:i4>
      </vt:variant>
      <vt:variant>
        <vt:i4>287</vt:i4>
      </vt:variant>
      <vt:variant>
        <vt:i4>0</vt:i4>
      </vt:variant>
      <vt:variant>
        <vt:i4>5</vt:i4>
      </vt:variant>
      <vt:variant>
        <vt:lpwstr/>
      </vt:variant>
      <vt:variant>
        <vt:lpwstr>_Toc330478281</vt:lpwstr>
      </vt:variant>
      <vt:variant>
        <vt:i4>1048630</vt:i4>
      </vt:variant>
      <vt:variant>
        <vt:i4>281</vt:i4>
      </vt:variant>
      <vt:variant>
        <vt:i4>0</vt:i4>
      </vt:variant>
      <vt:variant>
        <vt:i4>5</vt:i4>
      </vt:variant>
      <vt:variant>
        <vt:lpwstr/>
      </vt:variant>
      <vt:variant>
        <vt:lpwstr>_Toc330478280</vt:lpwstr>
      </vt:variant>
      <vt:variant>
        <vt:i4>2031670</vt:i4>
      </vt:variant>
      <vt:variant>
        <vt:i4>275</vt:i4>
      </vt:variant>
      <vt:variant>
        <vt:i4>0</vt:i4>
      </vt:variant>
      <vt:variant>
        <vt:i4>5</vt:i4>
      </vt:variant>
      <vt:variant>
        <vt:lpwstr/>
      </vt:variant>
      <vt:variant>
        <vt:lpwstr>_Toc330478279</vt:lpwstr>
      </vt:variant>
      <vt:variant>
        <vt:i4>2031670</vt:i4>
      </vt:variant>
      <vt:variant>
        <vt:i4>269</vt:i4>
      </vt:variant>
      <vt:variant>
        <vt:i4>0</vt:i4>
      </vt:variant>
      <vt:variant>
        <vt:i4>5</vt:i4>
      </vt:variant>
      <vt:variant>
        <vt:lpwstr/>
      </vt:variant>
      <vt:variant>
        <vt:lpwstr>_Toc330478278</vt:lpwstr>
      </vt:variant>
      <vt:variant>
        <vt:i4>2031670</vt:i4>
      </vt:variant>
      <vt:variant>
        <vt:i4>263</vt:i4>
      </vt:variant>
      <vt:variant>
        <vt:i4>0</vt:i4>
      </vt:variant>
      <vt:variant>
        <vt:i4>5</vt:i4>
      </vt:variant>
      <vt:variant>
        <vt:lpwstr/>
      </vt:variant>
      <vt:variant>
        <vt:lpwstr>_Toc330478277</vt:lpwstr>
      </vt:variant>
      <vt:variant>
        <vt:i4>2031670</vt:i4>
      </vt:variant>
      <vt:variant>
        <vt:i4>257</vt:i4>
      </vt:variant>
      <vt:variant>
        <vt:i4>0</vt:i4>
      </vt:variant>
      <vt:variant>
        <vt:i4>5</vt:i4>
      </vt:variant>
      <vt:variant>
        <vt:lpwstr/>
      </vt:variant>
      <vt:variant>
        <vt:lpwstr>_Toc330478276</vt:lpwstr>
      </vt:variant>
      <vt:variant>
        <vt:i4>2031670</vt:i4>
      </vt:variant>
      <vt:variant>
        <vt:i4>251</vt:i4>
      </vt:variant>
      <vt:variant>
        <vt:i4>0</vt:i4>
      </vt:variant>
      <vt:variant>
        <vt:i4>5</vt:i4>
      </vt:variant>
      <vt:variant>
        <vt:lpwstr/>
      </vt:variant>
      <vt:variant>
        <vt:lpwstr>_Toc330478275</vt:lpwstr>
      </vt:variant>
      <vt:variant>
        <vt:i4>2031670</vt:i4>
      </vt:variant>
      <vt:variant>
        <vt:i4>245</vt:i4>
      </vt:variant>
      <vt:variant>
        <vt:i4>0</vt:i4>
      </vt:variant>
      <vt:variant>
        <vt:i4>5</vt:i4>
      </vt:variant>
      <vt:variant>
        <vt:lpwstr/>
      </vt:variant>
      <vt:variant>
        <vt:lpwstr>_Toc330478274</vt:lpwstr>
      </vt:variant>
      <vt:variant>
        <vt:i4>2031670</vt:i4>
      </vt:variant>
      <vt:variant>
        <vt:i4>236</vt:i4>
      </vt:variant>
      <vt:variant>
        <vt:i4>0</vt:i4>
      </vt:variant>
      <vt:variant>
        <vt:i4>5</vt:i4>
      </vt:variant>
      <vt:variant>
        <vt:lpwstr/>
      </vt:variant>
      <vt:variant>
        <vt:lpwstr>_Toc330478273</vt:lpwstr>
      </vt:variant>
      <vt:variant>
        <vt:i4>2031670</vt:i4>
      </vt:variant>
      <vt:variant>
        <vt:i4>230</vt:i4>
      </vt:variant>
      <vt:variant>
        <vt:i4>0</vt:i4>
      </vt:variant>
      <vt:variant>
        <vt:i4>5</vt:i4>
      </vt:variant>
      <vt:variant>
        <vt:lpwstr/>
      </vt:variant>
      <vt:variant>
        <vt:lpwstr>_Toc330478272</vt:lpwstr>
      </vt:variant>
      <vt:variant>
        <vt:i4>2031670</vt:i4>
      </vt:variant>
      <vt:variant>
        <vt:i4>224</vt:i4>
      </vt:variant>
      <vt:variant>
        <vt:i4>0</vt:i4>
      </vt:variant>
      <vt:variant>
        <vt:i4>5</vt:i4>
      </vt:variant>
      <vt:variant>
        <vt:lpwstr/>
      </vt:variant>
      <vt:variant>
        <vt:lpwstr>_Toc330478271</vt:lpwstr>
      </vt:variant>
      <vt:variant>
        <vt:i4>2031670</vt:i4>
      </vt:variant>
      <vt:variant>
        <vt:i4>218</vt:i4>
      </vt:variant>
      <vt:variant>
        <vt:i4>0</vt:i4>
      </vt:variant>
      <vt:variant>
        <vt:i4>5</vt:i4>
      </vt:variant>
      <vt:variant>
        <vt:lpwstr/>
      </vt:variant>
      <vt:variant>
        <vt:lpwstr>_Toc330478270</vt:lpwstr>
      </vt:variant>
      <vt:variant>
        <vt:i4>1966134</vt:i4>
      </vt:variant>
      <vt:variant>
        <vt:i4>212</vt:i4>
      </vt:variant>
      <vt:variant>
        <vt:i4>0</vt:i4>
      </vt:variant>
      <vt:variant>
        <vt:i4>5</vt:i4>
      </vt:variant>
      <vt:variant>
        <vt:lpwstr/>
      </vt:variant>
      <vt:variant>
        <vt:lpwstr>_Toc330478269</vt:lpwstr>
      </vt:variant>
      <vt:variant>
        <vt:i4>1966134</vt:i4>
      </vt:variant>
      <vt:variant>
        <vt:i4>206</vt:i4>
      </vt:variant>
      <vt:variant>
        <vt:i4>0</vt:i4>
      </vt:variant>
      <vt:variant>
        <vt:i4>5</vt:i4>
      </vt:variant>
      <vt:variant>
        <vt:lpwstr/>
      </vt:variant>
      <vt:variant>
        <vt:lpwstr>_Toc330478268</vt:lpwstr>
      </vt:variant>
      <vt:variant>
        <vt:i4>1966134</vt:i4>
      </vt:variant>
      <vt:variant>
        <vt:i4>200</vt:i4>
      </vt:variant>
      <vt:variant>
        <vt:i4>0</vt:i4>
      </vt:variant>
      <vt:variant>
        <vt:i4>5</vt:i4>
      </vt:variant>
      <vt:variant>
        <vt:lpwstr/>
      </vt:variant>
      <vt:variant>
        <vt:lpwstr>_Toc330478267</vt:lpwstr>
      </vt:variant>
      <vt:variant>
        <vt:i4>1966134</vt:i4>
      </vt:variant>
      <vt:variant>
        <vt:i4>194</vt:i4>
      </vt:variant>
      <vt:variant>
        <vt:i4>0</vt:i4>
      </vt:variant>
      <vt:variant>
        <vt:i4>5</vt:i4>
      </vt:variant>
      <vt:variant>
        <vt:lpwstr/>
      </vt:variant>
      <vt:variant>
        <vt:lpwstr>_Toc330478266</vt:lpwstr>
      </vt:variant>
      <vt:variant>
        <vt:i4>1966134</vt:i4>
      </vt:variant>
      <vt:variant>
        <vt:i4>188</vt:i4>
      </vt:variant>
      <vt:variant>
        <vt:i4>0</vt:i4>
      </vt:variant>
      <vt:variant>
        <vt:i4>5</vt:i4>
      </vt:variant>
      <vt:variant>
        <vt:lpwstr/>
      </vt:variant>
      <vt:variant>
        <vt:lpwstr>_Toc330478265</vt:lpwstr>
      </vt:variant>
      <vt:variant>
        <vt:i4>1966134</vt:i4>
      </vt:variant>
      <vt:variant>
        <vt:i4>182</vt:i4>
      </vt:variant>
      <vt:variant>
        <vt:i4>0</vt:i4>
      </vt:variant>
      <vt:variant>
        <vt:i4>5</vt:i4>
      </vt:variant>
      <vt:variant>
        <vt:lpwstr/>
      </vt:variant>
      <vt:variant>
        <vt:lpwstr>_Toc330478264</vt:lpwstr>
      </vt:variant>
      <vt:variant>
        <vt:i4>1966134</vt:i4>
      </vt:variant>
      <vt:variant>
        <vt:i4>176</vt:i4>
      </vt:variant>
      <vt:variant>
        <vt:i4>0</vt:i4>
      </vt:variant>
      <vt:variant>
        <vt:i4>5</vt:i4>
      </vt:variant>
      <vt:variant>
        <vt:lpwstr/>
      </vt:variant>
      <vt:variant>
        <vt:lpwstr>_Toc330478263</vt:lpwstr>
      </vt:variant>
      <vt:variant>
        <vt:i4>1966134</vt:i4>
      </vt:variant>
      <vt:variant>
        <vt:i4>170</vt:i4>
      </vt:variant>
      <vt:variant>
        <vt:i4>0</vt:i4>
      </vt:variant>
      <vt:variant>
        <vt:i4>5</vt:i4>
      </vt:variant>
      <vt:variant>
        <vt:lpwstr/>
      </vt:variant>
      <vt:variant>
        <vt:lpwstr>_Toc330478262</vt:lpwstr>
      </vt:variant>
      <vt:variant>
        <vt:i4>1966134</vt:i4>
      </vt:variant>
      <vt:variant>
        <vt:i4>164</vt:i4>
      </vt:variant>
      <vt:variant>
        <vt:i4>0</vt:i4>
      </vt:variant>
      <vt:variant>
        <vt:i4>5</vt:i4>
      </vt:variant>
      <vt:variant>
        <vt:lpwstr/>
      </vt:variant>
      <vt:variant>
        <vt:lpwstr>_Toc330478261</vt:lpwstr>
      </vt:variant>
      <vt:variant>
        <vt:i4>1966134</vt:i4>
      </vt:variant>
      <vt:variant>
        <vt:i4>158</vt:i4>
      </vt:variant>
      <vt:variant>
        <vt:i4>0</vt:i4>
      </vt:variant>
      <vt:variant>
        <vt:i4>5</vt:i4>
      </vt:variant>
      <vt:variant>
        <vt:lpwstr/>
      </vt:variant>
      <vt:variant>
        <vt:lpwstr>_Toc330478260</vt:lpwstr>
      </vt:variant>
      <vt:variant>
        <vt:i4>1900598</vt:i4>
      </vt:variant>
      <vt:variant>
        <vt:i4>152</vt:i4>
      </vt:variant>
      <vt:variant>
        <vt:i4>0</vt:i4>
      </vt:variant>
      <vt:variant>
        <vt:i4>5</vt:i4>
      </vt:variant>
      <vt:variant>
        <vt:lpwstr/>
      </vt:variant>
      <vt:variant>
        <vt:lpwstr>_Toc330478259</vt:lpwstr>
      </vt:variant>
      <vt:variant>
        <vt:i4>1900598</vt:i4>
      </vt:variant>
      <vt:variant>
        <vt:i4>146</vt:i4>
      </vt:variant>
      <vt:variant>
        <vt:i4>0</vt:i4>
      </vt:variant>
      <vt:variant>
        <vt:i4>5</vt:i4>
      </vt:variant>
      <vt:variant>
        <vt:lpwstr/>
      </vt:variant>
      <vt:variant>
        <vt:lpwstr>_Toc330478258</vt:lpwstr>
      </vt:variant>
      <vt:variant>
        <vt:i4>1900598</vt:i4>
      </vt:variant>
      <vt:variant>
        <vt:i4>140</vt:i4>
      </vt:variant>
      <vt:variant>
        <vt:i4>0</vt:i4>
      </vt:variant>
      <vt:variant>
        <vt:i4>5</vt:i4>
      </vt:variant>
      <vt:variant>
        <vt:lpwstr/>
      </vt:variant>
      <vt:variant>
        <vt:lpwstr>_Toc330478257</vt:lpwstr>
      </vt:variant>
      <vt:variant>
        <vt:i4>1900598</vt:i4>
      </vt:variant>
      <vt:variant>
        <vt:i4>134</vt:i4>
      </vt:variant>
      <vt:variant>
        <vt:i4>0</vt:i4>
      </vt:variant>
      <vt:variant>
        <vt:i4>5</vt:i4>
      </vt:variant>
      <vt:variant>
        <vt:lpwstr/>
      </vt:variant>
      <vt:variant>
        <vt:lpwstr>_Toc330478256</vt:lpwstr>
      </vt:variant>
      <vt:variant>
        <vt:i4>1900598</vt:i4>
      </vt:variant>
      <vt:variant>
        <vt:i4>128</vt:i4>
      </vt:variant>
      <vt:variant>
        <vt:i4>0</vt:i4>
      </vt:variant>
      <vt:variant>
        <vt:i4>5</vt:i4>
      </vt:variant>
      <vt:variant>
        <vt:lpwstr/>
      </vt:variant>
      <vt:variant>
        <vt:lpwstr>_Toc330478255</vt:lpwstr>
      </vt:variant>
      <vt:variant>
        <vt:i4>1900598</vt:i4>
      </vt:variant>
      <vt:variant>
        <vt:i4>122</vt:i4>
      </vt:variant>
      <vt:variant>
        <vt:i4>0</vt:i4>
      </vt:variant>
      <vt:variant>
        <vt:i4>5</vt:i4>
      </vt:variant>
      <vt:variant>
        <vt:lpwstr/>
      </vt:variant>
      <vt:variant>
        <vt:lpwstr>_Toc330478254</vt:lpwstr>
      </vt:variant>
      <vt:variant>
        <vt:i4>1900598</vt:i4>
      </vt:variant>
      <vt:variant>
        <vt:i4>116</vt:i4>
      </vt:variant>
      <vt:variant>
        <vt:i4>0</vt:i4>
      </vt:variant>
      <vt:variant>
        <vt:i4>5</vt:i4>
      </vt:variant>
      <vt:variant>
        <vt:lpwstr/>
      </vt:variant>
      <vt:variant>
        <vt:lpwstr>_Toc330478253</vt:lpwstr>
      </vt:variant>
      <vt:variant>
        <vt:i4>1900598</vt:i4>
      </vt:variant>
      <vt:variant>
        <vt:i4>110</vt:i4>
      </vt:variant>
      <vt:variant>
        <vt:i4>0</vt:i4>
      </vt:variant>
      <vt:variant>
        <vt:i4>5</vt:i4>
      </vt:variant>
      <vt:variant>
        <vt:lpwstr/>
      </vt:variant>
      <vt:variant>
        <vt:lpwstr>_Toc330478252</vt:lpwstr>
      </vt:variant>
      <vt:variant>
        <vt:i4>1900598</vt:i4>
      </vt:variant>
      <vt:variant>
        <vt:i4>104</vt:i4>
      </vt:variant>
      <vt:variant>
        <vt:i4>0</vt:i4>
      </vt:variant>
      <vt:variant>
        <vt:i4>5</vt:i4>
      </vt:variant>
      <vt:variant>
        <vt:lpwstr/>
      </vt:variant>
      <vt:variant>
        <vt:lpwstr>_Toc330478251</vt:lpwstr>
      </vt:variant>
      <vt:variant>
        <vt:i4>1900598</vt:i4>
      </vt:variant>
      <vt:variant>
        <vt:i4>98</vt:i4>
      </vt:variant>
      <vt:variant>
        <vt:i4>0</vt:i4>
      </vt:variant>
      <vt:variant>
        <vt:i4>5</vt:i4>
      </vt:variant>
      <vt:variant>
        <vt:lpwstr/>
      </vt:variant>
      <vt:variant>
        <vt:lpwstr>_Toc330478250</vt:lpwstr>
      </vt:variant>
      <vt:variant>
        <vt:i4>1835062</vt:i4>
      </vt:variant>
      <vt:variant>
        <vt:i4>92</vt:i4>
      </vt:variant>
      <vt:variant>
        <vt:i4>0</vt:i4>
      </vt:variant>
      <vt:variant>
        <vt:i4>5</vt:i4>
      </vt:variant>
      <vt:variant>
        <vt:lpwstr/>
      </vt:variant>
      <vt:variant>
        <vt:lpwstr>_Toc330478249</vt:lpwstr>
      </vt:variant>
      <vt:variant>
        <vt:i4>1835062</vt:i4>
      </vt:variant>
      <vt:variant>
        <vt:i4>86</vt:i4>
      </vt:variant>
      <vt:variant>
        <vt:i4>0</vt:i4>
      </vt:variant>
      <vt:variant>
        <vt:i4>5</vt:i4>
      </vt:variant>
      <vt:variant>
        <vt:lpwstr/>
      </vt:variant>
      <vt:variant>
        <vt:lpwstr>_Toc330478248</vt:lpwstr>
      </vt:variant>
      <vt:variant>
        <vt:i4>1835062</vt:i4>
      </vt:variant>
      <vt:variant>
        <vt:i4>80</vt:i4>
      </vt:variant>
      <vt:variant>
        <vt:i4>0</vt:i4>
      </vt:variant>
      <vt:variant>
        <vt:i4>5</vt:i4>
      </vt:variant>
      <vt:variant>
        <vt:lpwstr/>
      </vt:variant>
      <vt:variant>
        <vt:lpwstr>_Toc330478247</vt:lpwstr>
      </vt:variant>
      <vt:variant>
        <vt:i4>1835062</vt:i4>
      </vt:variant>
      <vt:variant>
        <vt:i4>74</vt:i4>
      </vt:variant>
      <vt:variant>
        <vt:i4>0</vt:i4>
      </vt:variant>
      <vt:variant>
        <vt:i4>5</vt:i4>
      </vt:variant>
      <vt:variant>
        <vt:lpwstr/>
      </vt:variant>
      <vt:variant>
        <vt:lpwstr>_Toc330478246</vt:lpwstr>
      </vt:variant>
      <vt:variant>
        <vt:i4>1835062</vt:i4>
      </vt:variant>
      <vt:variant>
        <vt:i4>68</vt:i4>
      </vt:variant>
      <vt:variant>
        <vt:i4>0</vt:i4>
      </vt:variant>
      <vt:variant>
        <vt:i4>5</vt:i4>
      </vt:variant>
      <vt:variant>
        <vt:lpwstr/>
      </vt:variant>
      <vt:variant>
        <vt:lpwstr>_Toc330478245</vt:lpwstr>
      </vt:variant>
      <vt:variant>
        <vt:i4>1835062</vt:i4>
      </vt:variant>
      <vt:variant>
        <vt:i4>62</vt:i4>
      </vt:variant>
      <vt:variant>
        <vt:i4>0</vt:i4>
      </vt:variant>
      <vt:variant>
        <vt:i4>5</vt:i4>
      </vt:variant>
      <vt:variant>
        <vt:lpwstr/>
      </vt:variant>
      <vt:variant>
        <vt:lpwstr>_Toc330478244</vt:lpwstr>
      </vt:variant>
      <vt:variant>
        <vt:i4>1835062</vt:i4>
      </vt:variant>
      <vt:variant>
        <vt:i4>56</vt:i4>
      </vt:variant>
      <vt:variant>
        <vt:i4>0</vt:i4>
      </vt:variant>
      <vt:variant>
        <vt:i4>5</vt:i4>
      </vt:variant>
      <vt:variant>
        <vt:lpwstr/>
      </vt:variant>
      <vt:variant>
        <vt:lpwstr>_Toc330478243</vt:lpwstr>
      </vt:variant>
      <vt:variant>
        <vt:i4>1835062</vt:i4>
      </vt:variant>
      <vt:variant>
        <vt:i4>50</vt:i4>
      </vt:variant>
      <vt:variant>
        <vt:i4>0</vt:i4>
      </vt:variant>
      <vt:variant>
        <vt:i4>5</vt:i4>
      </vt:variant>
      <vt:variant>
        <vt:lpwstr/>
      </vt:variant>
      <vt:variant>
        <vt:lpwstr>_Toc330478242</vt:lpwstr>
      </vt:variant>
      <vt:variant>
        <vt:i4>1835062</vt:i4>
      </vt:variant>
      <vt:variant>
        <vt:i4>44</vt:i4>
      </vt:variant>
      <vt:variant>
        <vt:i4>0</vt:i4>
      </vt:variant>
      <vt:variant>
        <vt:i4>5</vt:i4>
      </vt:variant>
      <vt:variant>
        <vt:lpwstr/>
      </vt:variant>
      <vt:variant>
        <vt:lpwstr>_Toc330478241</vt:lpwstr>
      </vt:variant>
      <vt:variant>
        <vt:i4>1835062</vt:i4>
      </vt:variant>
      <vt:variant>
        <vt:i4>38</vt:i4>
      </vt:variant>
      <vt:variant>
        <vt:i4>0</vt:i4>
      </vt:variant>
      <vt:variant>
        <vt:i4>5</vt:i4>
      </vt:variant>
      <vt:variant>
        <vt:lpwstr/>
      </vt:variant>
      <vt:variant>
        <vt:lpwstr>_Toc330478240</vt:lpwstr>
      </vt:variant>
      <vt:variant>
        <vt:i4>1769526</vt:i4>
      </vt:variant>
      <vt:variant>
        <vt:i4>32</vt:i4>
      </vt:variant>
      <vt:variant>
        <vt:i4>0</vt:i4>
      </vt:variant>
      <vt:variant>
        <vt:i4>5</vt:i4>
      </vt:variant>
      <vt:variant>
        <vt:lpwstr/>
      </vt:variant>
      <vt:variant>
        <vt:lpwstr>_Toc330478239</vt:lpwstr>
      </vt:variant>
      <vt:variant>
        <vt:i4>1769526</vt:i4>
      </vt:variant>
      <vt:variant>
        <vt:i4>26</vt:i4>
      </vt:variant>
      <vt:variant>
        <vt:i4>0</vt:i4>
      </vt:variant>
      <vt:variant>
        <vt:i4>5</vt:i4>
      </vt:variant>
      <vt:variant>
        <vt:lpwstr/>
      </vt:variant>
      <vt:variant>
        <vt:lpwstr>_Toc330478238</vt:lpwstr>
      </vt:variant>
      <vt:variant>
        <vt:i4>1769526</vt:i4>
      </vt:variant>
      <vt:variant>
        <vt:i4>20</vt:i4>
      </vt:variant>
      <vt:variant>
        <vt:i4>0</vt:i4>
      </vt:variant>
      <vt:variant>
        <vt:i4>5</vt:i4>
      </vt:variant>
      <vt:variant>
        <vt:lpwstr/>
      </vt:variant>
      <vt:variant>
        <vt:lpwstr>_Toc330478237</vt:lpwstr>
      </vt:variant>
      <vt:variant>
        <vt:i4>1769526</vt:i4>
      </vt:variant>
      <vt:variant>
        <vt:i4>14</vt:i4>
      </vt:variant>
      <vt:variant>
        <vt:i4>0</vt:i4>
      </vt:variant>
      <vt:variant>
        <vt:i4>5</vt:i4>
      </vt:variant>
      <vt:variant>
        <vt:lpwstr/>
      </vt:variant>
      <vt:variant>
        <vt:lpwstr>_Toc330478236</vt:lpwstr>
      </vt:variant>
      <vt:variant>
        <vt:i4>1769526</vt:i4>
      </vt:variant>
      <vt:variant>
        <vt:i4>8</vt:i4>
      </vt:variant>
      <vt:variant>
        <vt:i4>0</vt:i4>
      </vt:variant>
      <vt:variant>
        <vt:i4>5</vt:i4>
      </vt:variant>
      <vt:variant>
        <vt:lpwstr/>
      </vt:variant>
      <vt:variant>
        <vt:lpwstr>_Toc330478235</vt:lpwstr>
      </vt:variant>
      <vt:variant>
        <vt:i4>1769526</vt:i4>
      </vt:variant>
      <vt:variant>
        <vt:i4>2</vt:i4>
      </vt:variant>
      <vt:variant>
        <vt:i4>0</vt:i4>
      </vt:variant>
      <vt:variant>
        <vt:i4>5</vt:i4>
      </vt:variant>
      <vt:variant>
        <vt:lpwstr/>
      </vt:variant>
      <vt:variant>
        <vt:lpwstr>_Toc330478234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 Interim Budget 2019</dc:title>
  <dc:creator>NBD</dc:creator>
  <dc:description>International Single Transaction</dc:description>
  <cp:lastModifiedBy>sripriya kumar</cp:lastModifiedBy>
  <cp:revision>2</cp:revision>
  <cp:lastPrinted>2017-10-13T05:38:00Z</cp:lastPrinted>
  <dcterms:created xsi:type="dcterms:W3CDTF">2020-02-12T12:45:00Z</dcterms:created>
  <dcterms:modified xsi:type="dcterms:W3CDTF">2020-02-12T12:45:00Z</dcterms:modified>
  <cp:contentStatus>Draft for discussion purposes only</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lpwstr>October 16, 2010</vt:lpwstr>
  </property>
  <property fmtid="{D5CDD505-2E9C-101B-9397-08002B2CF9AE}" pid="3" name="Date">
    <vt:lpwstr>September 12, 2010</vt:lpwstr>
  </property>
  <property fmtid="{D5CDD505-2E9C-101B-9397-08002B2CF9AE}" pid="4" name="Smart_OpenPropertiesOnNew">
    <vt:lpwstr>Yes</vt:lpwstr>
  </property>
  <property fmtid="{D5CDD505-2E9C-101B-9397-08002B2CF9AE}" pid="5" name="Go Live Date">
    <vt:lpwstr>09_15_2015</vt:lpwstr>
  </property>
</Properties>
</file>