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Key Highlights of Direct and Indirect Tax Proposals in Budget 2019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Budget 2019-20 on Direct Tax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Tax rate reduced to 25% for companies with annual turnover up to Rs. 400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</w:t>
      </w:r>
      <w:proofErr w:type="spellEnd"/>
    </w:p>
    <w:p w:rsidR="00483D8D" w:rsidRPr="00483D8D" w:rsidRDefault="00483D8D" w:rsidP="00483D8D">
      <w:pPr>
        <w:shd w:val="clear" w:color="auto" w:fill="FFFFFF"/>
        <w:spacing w:after="0" w:line="240" w:lineRule="auto"/>
        <w:ind w:left="360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Surcharge increased on individuals having taxable income from Rs. 2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to Rs. 5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and Rs. 5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and above.  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India’s Ease of Doing Business ranking under the category of ‘paying taxes’ jumped from 172 in 2017 to 121 in the 2019.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Direct tax revenue increased by over 78% in past 5 years to Rs. 11.37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lakh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</w:t>
      </w:r>
      <w:proofErr w:type="spellEnd"/>
    </w:p>
    <w:p w:rsidR="00483D8D" w:rsidRPr="00483D8D" w:rsidRDefault="00483D8D" w:rsidP="00483D8D">
      <w:pPr>
        <w:pStyle w:val="ListParagraph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Tax Simplification and Ease of living - making compliance easier by leveraging technology: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 xml:space="preserve">Interchangeability of PAN and </w:t>
      </w:r>
      <w:proofErr w:type="spellStart"/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Aadhaar</w:t>
      </w:r>
      <w:proofErr w:type="spellEnd"/>
    </w:p>
    <w:p w:rsidR="00483D8D" w:rsidRPr="00483D8D" w:rsidRDefault="00483D8D" w:rsidP="00483D8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Those who don’t have PAN can file tax returns using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Aadhaar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Aadhaar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can be used wherever PAN is required.</w:t>
      </w:r>
    </w:p>
    <w:p w:rsid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Pre-filling of Income-tax Returns for faster, more accurate tax returns</w:t>
      </w:r>
    </w:p>
    <w:p w:rsidR="00483D8D" w:rsidRPr="00483D8D" w:rsidRDefault="00483D8D" w:rsidP="00483D8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Pre-filled tax returns with details of several incomes and deductions to be made available.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Information to be collected from Banks, Stock exchanges, mutual funds etc.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Faceless e-assessment</w:t>
      </w:r>
    </w:p>
    <w:p w:rsidR="00483D8D" w:rsidRPr="00483D8D" w:rsidRDefault="00483D8D" w:rsidP="00483D8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Faceless e-assessment with no human interface to be launched.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To be carried out initially in cases requiring verification of certain specified transactions or discrepancies.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Affordable housing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Additional deduction up to Rs. 1.5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lakhs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for interest paid on loans borrowed up to 31st March, 2020 for purchase of house valued up to Rs. 45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lakh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Overall benefit of around Rs. 7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lakh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over loan period of 15 years.</w:t>
      </w:r>
    </w:p>
    <w:p w:rsid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Boost to Electric Vehicles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Additional income tax deduction of Rs. 1.5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lakh</w:t>
      </w:r>
      <w:proofErr w:type="spellEnd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on interest paid on electric vehicle loans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Customs duty exempted on certain parts of electric vehicles.</w:t>
      </w:r>
    </w:p>
    <w:p w:rsid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Other Direct Tax measures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Simplification of tax laws to reduce genuine hardships of taxpayers: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Higher tax threshold for launching prosecution for non-filing of returns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Appropriate class of persons exempted from the anti-abuse provisions of Section 50CA and Section 56 of the Income Tax Act.</w:t>
      </w:r>
    </w:p>
    <w:p w:rsidR="00483D8D" w:rsidRPr="00483D8D" w:rsidRDefault="00483D8D" w:rsidP="00483D8D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Relief for Start-ups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Capital gains exemptions from sale of residential house for investment in start-ups extended till FY21.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‘Angel tax’ issue resolved- start-ups and investors filing requisite declarations and providing information in their returns not to be subjected to any kind of scrutiny in respect of valuations of share premiums.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Funds raised by start-ups to not require scrutiny from Income Tax Department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E-verification mechanism for establishing identity of the investor and source of funds.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Special administrative arrangements for pending assessments and grievance </w:t>
      </w:r>
      <w:proofErr w:type="spellStart"/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redressal</w:t>
      </w:r>
      <w:proofErr w:type="spellEnd"/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No inquiry in such cases by the Assessing Officer without obtaining approval of the supervisory officer.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No scrutiny of valuation of shares issued to Category-II Alternative Investment Funds.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Relaxation of conditions for carry forward and set off of losses.</w:t>
      </w:r>
    </w:p>
    <w:p w:rsid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NBFCs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Interest on certain bad or doubtful debts by deposit taking as well as systemically important non-deposit taking NBFCs to be taxed in the year in which interest is actually received.</w:t>
      </w:r>
    </w:p>
    <w:p w:rsid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International Financial Services Centre (IFSC)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Direct tax incentives proposed for an IFSC:</w:t>
      </w:r>
    </w:p>
    <w:p w:rsidR="00483D8D" w:rsidRPr="00431A27" w:rsidRDefault="00483D8D" w:rsidP="00431A2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hanging="11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100 % profit-linked deduction in any ten-year block within a fifteen-year period.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ind w:left="1418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left="1418" w:hanging="720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Exemption from dividend distribution tax</w:t>
      </w:r>
      <w:proofErr w:type="gramStart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  from</w:t>
      </w:r>
      <w:proofErr w:type="gramEnd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  current and accumulated income to companies and mutual funds.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hanging="11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Exemptions on capital gain to Category-III Alternative Investment Funds (AIFs).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ind w:hanging="11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Exemption to interest payment on loan taken from non-residents.</w:t>
      </w:r>
    </w:p>
    <w:p w:rsidR="00431A27" w:rsidRDefault="00431A27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Securities Transaction Tax (STT)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STT restricted only to the difference between settlement and strike price in case of exercise of options.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 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1D2228"/>
          <w:sz w:val="16"/>
          <w:szCs w:val="16"/>
          <w:lang w:val="en-US"/>
        </w:rPr>
      </w:pPr>
      <w:r w:rsidRPr="00483D8D">
        <w:rPr>
          <w:rFonts w:ascii="Helvetica" w:eastAsia="Times New Roman" w:hAnsi="Helvetica" w:cs="Helvetica"/>
          <w:b/>
          <w:color w:val="1D2228"/>
          <w:sz w:val="20"/>
          <w:szCs w:val="20"/>
          <w:lang w:val="en-US"/>
        </w:rPr>
        <w:t>Indirect Tax</w:t>
      </w:r>
    </w:p>
    <w:p w:rsidR="00483D8D" w:rsidRPr="00483D8D" w:rsidRDefault="00483D8D" w:rsidP="00483D8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Electronic invoice system will be introduced to </w:t>
      </w:r>
      <w:proofErr w:type="spellStart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prefill</w:t>
      </w:r>
      <w:proofErr w:type="spellEnd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the taxpayers return.  Roll out from January 2020  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There will be no need for separate for e-way bill.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A simplified single monthly return.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Taxpayers with less than 5 </w:t>
      </w:r>
      <w:proofErr w:type="spellStart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crores</w:t>
      </w:r>
      <w:proofErr w:type="spellEnd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annual turnover will file only quarterly return.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A fully automated GST refund module will be implemented.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Multiple tax ledgers for GST payers will be replaced by just one.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GST reduced on EV from 12% to 5%.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proofErr w:type="spellStart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Defence</w:t>
      </w:r>
      <w:proofErr w:type="spellEnd"/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imports not manufactured in India to be exempted from </w:t>
      </w:r>
      <w:r w:rsid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Custom</w:t>
      </w: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 xml:space="preserve"> Duty.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Increased Custom Duty on gold &amp; other precious metals from 10% to 12.5%.</w:t>
      </w:r>
    </w:p>
    <w:p w:rsidR="00431A27" w:rsidRPr="00431A27" w:rsidRDefault="00431A27" w:rsidP="00431A27">
      <w:pPr>
        <w:pStyle w:val="ListParagraph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</w:p>
    <w:p w:rsidR="00483D8D" w:rsidRPr="00431A27" w:rsidRDefault="00483D8D" w:rsidP="00431A27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16"/>
          <w:szCs w:val="16"/>
          <w:lang w:val="en-US"/>
        </w:rPr>
      </w:pPr>
      <w:r w:rsidRPr="00431A27">
        <w:rPr>
          <w:rFonts w:ascii="Helvetica" w:eastAsia="Times New Roman" w:hAnsi="Helvetica" w:cs="Helvetica"/>
          <w:color w:val="1D2228"/>
          <w:sz w:val="20"/>
          <w:szCs w:val="20"/>
          <w:lang w:val="en-US"/>
        </w:rPr>
        <w:t>Non-calamity &amp; contingent duty imposed on tobacco products.</w:t>
      </w:r>
    </w:p>
    <w:p w:rsidR="00F44A4F" w:rsidRDefault="00F44A4F"/>
    <w:sectPr w:rsidR="00F44A4F" w:rsidSect="00F44A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D3366"/>
    <w:multiLevelType w:val="hybridMultilevel"/>
    <w:tmpl w:val="FD7AC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81FAF"/>
    <w:multiLevelType w:val="hybridMultilevel"/>
    <w:tmpl w:val="4418AF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65558"/>
    <w:multiLevelType w:val="hybridMultilevel"/>
    <w:tmpl w:val="EA904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E02C7"/>
    <w:multiLevelType w:val="hybridMultilevel"/>
    <w:tmpl w:val="9880F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9A3564"/>
    <w:multiLevelType w:val="hybridMultilevel"/>
    <w:tmpl w:val="EF8EB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E6DC4"/>
    <w:multiLevelType w:val="hybridMultilevel"/>
    <w:tmpl w:val="C802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7E481B"/>
    <w:multiLevelType w:val="hybridMultilevel"/>
    <w:tmpl w:val="186C5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362C98"/>
    <w:multiLevelType w:val="hybridMultilevel"/>
    <w:tmpl w:val="BB3A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30091B"/>
    <w:multiLevelType w:val="hybridMultilevel"/>
    <w:tmpl w:val="8F12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6D0E94"/>
    <w:multiLevelType w:val="hybridMultilevel"/>
    <w:tmpl w:val="F9140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206249"/>
    <w:multiLevelType w:val="hybridMultilevel"/>
    <w:tmpl w:val="9092D7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83D8D"/>
    <w:rsid w:val="00431A27"/>
    <w:rsid w:val="00483D8D"/>
    <w:rsid w:val="00F44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4A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D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Jayant Shetye</dc:creator>
  <cp:lastModifiedBy>Jayant Shetye</cp:lastModifiedBy>
  <cp:revision>1</cp:revision>
  <dcterms:created xsi:type="dcterms:W3CDTF">2019-07-05T11:25:00Z</dcterms:created>
  <dcterms:modified xsi:type="dcterms:W3CDTF">2019-07-05T11:43:00Z</dcterms:modified>
</cp:coreProperties>
</file>