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50B4" w:rsidRPr="00AA50B4" w:rsidRDefault="00AA50B4" w:rsidP="00AA50B4">
      <w:pPr>
        <w:pStyle w:val="ecxmsoplaintext"/>
        <w:shd w:val="clear" w:color="auto" w:fill="FFFFFF"/>
        <w:spacing w:before="0" w:beforeAutospacing="0" w:after="324" w:afterAutospacing="0" w:line="315" w:lineRule="atLeast"/>
        <w:jc w:val="both"/>
        <w:rPr>
          <w:rFonts w:ascii="Arial" w:hAnsi="Arial" w:cs="Arial"/>
          <w:b/>
          <w:color w:val="444444"/>
          <w:sz w:val="20"/>
          <w:szCs w:val="20"/>
        </w:rPr>
      </w:pPr>
      <w:r w:rsidRPr="00AA50B4">
        <w:rPr>
          <w:rFonts w:ascii="Arial" w:hAnsi="Arial" w:cs="Arial"/>
          <w:b/>
          <w:color w:val="444444"/>
          <w:sz w:val="20"/>
          <w:szCs w:val="20"/>
          <w:shd w:val="clear" w:color="auto" w:fill="FFFFFF"/>
        </w:rPr>
        <w:t xml:space="preserve">All transactions with any party located/domiciled in Cyprus are Associated Party Transactions, notifies Government of India. </w:t>
      </w:r>
      <w:r>
        <w:rPr>
          <w:rFonts w:ascii="Arial" w:hAnsi="Arial" w:cs="Arial"/>
          <w:b/>
          <w:color w:val="444444"/>
          <w:sz w:val="20"/>
          <w:szCs w:val="20"/>
          <w:shd w:val="clear" w:color="auto" w:fill="FFFFFF"/>
        </w:rPr>
        <w:t>Wi</w:t>
      </w:r>
      <w:r w:rsidRPr="00AA50B4">
        <w:rPr>
          <w:rFonts w:ascii="Arial" w:hAnsi="Arial" w:cs="Arial"/>
          <w:b/>
          <w:color w:val="444444"/>
          <w:sz w:val="20"/>
          <w:szCs w:val="20"/>
          <w:shd w:val="clear" w:color="auto" w:fill="FFFFFF"/>
        </w:rPr>
        <w:t>ll have far reaching impact....</w:t>
      </w:r>
    </w:p>
    <w:p w:rsidR="00AA50B4" w:rsidRPr="00AA50B4" w:rsidRDefault="00AA50B4" w:rsidP="00AA50B4">
      <w:pPr>
        <w:pStyle w:val="ecxmsoplaintext"/>
        <w:shd w:val="clear" w:color="auto" w:fill="FFFFFF"/>
        <w:spacing w:before="0" w:beforeAutospacing="0" w:after="324" w:afterAutospacing="0" w:line="315" w:lineRule="atLeast"/>
        <w:jc w:val="both"/>
        <w:rPr>
          <w:rFonts w:ascii="Arial" w:hAnsi="Arial" w:cs="Arial"/>
          <w:color w:val="444444"/>
          <w:sz w:val="20"/>
          <w:szCs w:val="20"/>
        </w:rPr>
      </w:pPr>
      <w:r w:rsidRPr="00AA50B4">
        <w:rPr>
          <w:rFonts w:ascii="Arial" w:hAnsi="Arial" w:cs="Arial"/>
          <w:color w:val="444444"/>
          <w:sz w:val="20"/>
          <w:szCs w:val="20"/>
        </w:rPr>
        <w:t>India's Ministry of Finance Notifies,</w:t>
      </w:r>
      <w:r w:rsidRPr="00AA50B4">
        <w:rPr>
          <w:rStyle w:val="apple-converted-space"/>
          <w:rFonts w:ascii="Arial" w:hAnsi="Arial" w:cs="Arial"/>
          <w:color w:val="444444"/>
          <w:sz w:val="20"/>
          <w:szCs w:val="20"/>
        </w:rPr>
        <w:t> </w:t>
      </w:r>
      <w:r w:rsidRPr="00AA50B4">
        <w:rPr>
          <w:rFonts w:ascii="Arial" w:hAnsi="Arial" w:cs="Arial"/>
          <w:b/>
          <w:bCs/>
          <w:color w:val="444444"/>
          <w:sz w:val="20"/>
          <w:szCs w:val="20"/>
          <w:shd w:val="clear" w:color="auto" w:fill="FFFF00"/>
        </w:rPr>
        <w:t xml:space="preserve">Cyprus as </w:t>
      </w:r>
      <w:proofErr w:type="spellStart"/>
      <w:r w:rsidRPr="00AA50B4">
        <w:rPr>
          <w:rFonts w:ascii="Arial" w:hAnsi="Arial" w:cs="Arial"/>
          <w:b/>
          <w:bCs/>
          <w:color w:val="444444"/>
          <w:sz w:val="20"/>
          <w:szCs w:val="20"/>
          <w:shd w:val="clear" w:color="auto" w:fill="FFFF00"/>
        </w:rPr>
        <w:t>as</w:t>
      </w:r>
      <w:proofErr w:type="spellEnd"/>
      <w:r w:rsidRPr="00AA50B4">
        <w:rPr>
          <w:rFonts w:ascii="Arial" w:hAnsi="Arial" w:cs="Arial"/>
          <w:b/>
          <w:bCs/>
          <w:color w:val="444444"/>
          <w:sz w:val="20"/>
          <w:szCs w:val="20"/>
          <w:shd w:val="clear" w:color="auto" w:fill="FFFF00"/>
        </w:rPr>
        <w:t xml:space="preserve"> a notified Jurisdictional Area</w:t>
      </w:r>
      <w:r w:rsidRPr="00AA50B4">
        <w:rPr>
          <w:rStyle w:val="apple-converted-space"/>
          <w:rFonts w:ascii="Arial" w:hAnsi="Arial" w:cs="Arial"/>
          <w:b/>
          <w:bCs/>
          <w:color w:val="444444"/>
          <w:sz w:val="20"/>
          <w:szCs w:val="20"/>
        </w:rPr>
        <w:t> </w:t>
      </w:r>
      <w:r w:rsidRPr="00AA50B4">
        <w:rPr>
          <w:rFonts w:ascii="Arial" w:hAnsi="Arial" w:cs="Arial"/>
          <w:color w:val="444444"/>
          <w:sz w:val="20"/>
          <w:szCs w:val="20"/>
        </w:rPr>
        <w:t>Under Section 94A of the Income-Tax Act,1961 ;</w:t>
      </w:r>
    </w:p>
    <w:p w:rsidR="00AA50B4" w:rsidRPr="00AA50B4" w:rsidRDefault="00AA50B4" w:rsidP="00AA50B4">
      <w:pPr>
        <w:pStyle w:val="ecxmsoplaintext"/>
        <w:shd w:val="clear" w:color="auto" w:fill="FFFFFF"/>
        <w:spacing w:before="0" w:beforeAutospacing="0" w:after="324" w:afterAutospacing="0" w:line="315" w:lineRule="atLeast"/>
        <w:jc w:val="both"/>
        <w:rPr>
          <w:rFonts w:ascii="Arial" w:hAnsi="Arial" w:cs="Arial"/>
          <w:color w:val="444444"/>
          <w:sz w:val="20"/>
          <w:szCs w:val="20"/>
        </w:rPr>
      </w:pPr>
      <w:r w:rsidRPr="00AA50B4">
        <w:rPr>
          <w:rFonts w:ascii="Arial" w:hAnsi="Arial" w:cs="Arial"/>
          <w:color w:val="444444"/>
          <w:sz w:val="20"/>
          <w:szCs w:val="20"/>
        </w:rPr>
        <w:t> </w:t>
      </w:r>
      <w:r w:rsidRPr="00AA50B4">
        <w:rPr>
          <w:rFonts w:ascii="Arial" w:hAnsi="Arial" w:cs="Arial"/>
          <w:b/>
          <w:bCs/>
          <w:color w:val="444444"/>
          <w:sz w:val="20"/>
          <w:szCs w:val="20"/>
        </w:rPr>
        <w:t>Section 94A of the Income Tax Act, 1961 empowers government of India to notify any country or territory outside India, as jurisdictional notified area for the purpose of transfer pricing wherein on account of lack of effective exchange of information with any country or territory outside India</w:t>
      </w:r>
    </w:p>
    <w:p w:rsidR="00AA50B4" w:rsidRPr="00AA50B4" w:rsidRDefault="00AA50B4" w:rsidP="00AA50B4">
      <w:pPr>
        <w:pStyle w:val="ecxmsoplaintext"/>
        <w:shd w:val="clear" w:color="auto" w:fill="FFFFFF"/>
        <w:spacing w:before="0" w:beforeAutospacing="0" w:after="324" w:afterAutospacing="0" w:line="315" w:lineRule="atLeast"/>
        <w:rPr>
          <w:rFonts w:ascii="Arial" w:hAnsi="Arial" w:cs="Arial"/>
          <w:color w:val="444444"/>
          <w:sz w:val="20"/>
          <w:szCs w:val="20"/>
        </w:rPr>
      </w:pPr>
      <w:r w:rsidRPr="00AA50B4">
        <w:rPr>
          <w:rFonts w:ascii="Arial" w:hAnsi="Arial" w:cs="Arial"/>
          <w:b/>
          <w:bCs/>
          <w:color w:val="444444"/>
          <w:sz w:val="20"/>
          <w:szCs w:val="20"/>
        </w:rPr>
        <w:t> The press release includes following:</w:t>
      </w:r>
    </w:p>
    <w:p w:rsidR="00AA50B4" w:rsidRPr="00AA50B4" w:rsidRDefault="00AA50B4" w:rsidP="00AA50B4">
      <w:pPr>
        <w:pStyle w:val="ecxmsoplaintext"/>
        <w:shd w:val="clear" w:color="auto" w:fill="FFFFFF"/>
        <w:spacing w:before="0" w:beforeAutospacing="0" w:after="324" w:afterAutospacing="0" w:line="315" w:lineRule="atLeast"/>
        <w:jc w:val="both"/>
        <w:rPr>
          <w:rFonts w:ascii="Arial" w:hAnsi="Arial" w:cs="Arial"/>
          <w:color w:val="444444"/>
          <w:sz w:val="20"/>
          <w:szCs w:val="20"/>
        </w:rPr>
      </w:pPr>
      <w:r w:rsidRPr="00AA50B4">
        <w:rPr>
          <w:rFonts w:ascii="Arial" w:hAnsi="Arial" w:cs="Arial"/>
          <w:b/>
          <w:bCs/>
          <w:color w:val="444444"/>
          <w:sz w:val="20"/>
          <w:szCs w:val="20"/>
        </w:rPr>
        <w:t> All Parties to the Transaction with a Person in Cyprus shall be Treated as Associated Enterprises and the Transaction shall be Treated as an International Transaction Resulting in Application of Transfer-Pricing Regulations Including Maintenance of Documentations </w:t>
      </w:r>
    </w:p>
    <w:p w:rsidR="00AA50B4" w:rsidRPr="00AA50B4" w:rsidRDefault="00AA50B4" w:rsidP="00AA50B4">
      <w:pPr>
        <w:pStyle w:val="ecxmsoplaintext"/>
        <w:shd w:val="clear" w:color="auto" w:fill="FFFFFF"/>
        <w:spacing w:before="0" w:beforeAutospacing="0" w:after="324" w:afterAutospacing="0" w:line="315" w:lineRule="atLeast"/>
        <w:jc w:val="both"/>
        <w:rPr>
          <w:rFonts w:ascii="Arial" w:hAnsi="Arial" w:cs="Arial"/>
          <w:color w:val="444444"/>
          <w:sz w:val="20"/>
          <w:szCs w:val="20"/>
        </w:rPr>
      </w:pPr>
      <w:r w:rsidRPr="00AA50B4">
        <w:rPr>
          <w:rFonts w:ascii="Arial" w:hAnsi="Arial" w:cs="Arial"/>
          <w:color w:val="444444"/>
          <w:sz w:val="20"/>
          <w:szCs w:val="20"/>
        </w:rPr>
        <w:t> </w:t>
      </w:r>
      <w:proofErr w:type="gramStart"/>
      <w:r w:rsidRPr="00AA50B4">
        <w:rPr>
          <w:rFonts w:ascii="Arial" w:hAnsi="Arial" w:cs="Arial"/>
          <w:color w:val="444444"/>
          <w:sz w:val="20"/>
          <w:szCs w:val="20"/>
        </w:rPr>
        <w:t>Although India and Cyprus have entered into an agreement for avoidance of double taxation of income and prevention of fiscal evasion which is in force since 21st December, 1994.</w:t>
      </w:r>
      <w:proofErr w:type="gramEnd"/>
      <w:r w:rsidRPr="00AA50B4">
        <w:rPr>
          <w:rFonts w:ascii="Arial" w:hAnsi="Arial" w:cs="Arial"/>
          <w:color w:val="444444"/>
          <w:sz w:val="20"/>
          <w:szCs w:val="20"/>
        </w:rPr>
        <w:t xml:space="preserve"> Both the Contracting States under this agreement have a legal obligation to exchange such information as is necessary for carrying out the provisions of the agreement or of domestic laws of the Contracting States, in particular for the prevention of fraud or evasion of taxes. </w:t>
      </w:r>
    </w:p>
    <w:p w:rsidR="00AA50B4" w:rsidRPr="00AA50B4" w:rsidRDefault="00AA50B4" w:rsidP="00AA50B4">
      <w:pPr>
        <w:pStyle w:val="ecxmsoplaintext"/>
        <w:shd w:val="clear" w:color="auto" w:fill="FFFFFF"/>
        <w:spacing w:before="0" w:beforeAutospacing="0" w:after="324" w:afterAutospacing="0" w:line="315" w:lineRule="atLeast"/>
        <w:jc w:val="both"/>
        <w:rPr>
          <w:rFonts w:ascii="Arial" w:hAnsi="Arial" w:cs="Arial"/>
          <w:color w:val="444444"/>
          <w:sz w:val="20"/>
          <w:szCs w:val="20"/>
        </w:rPr>
      </w:pPr>
      <w:r w:rsidRPr="00AA50B4">
        <w:rPr>
          <w:rFonts w:ascii="Arial" w:hAnsi="Arial" w:cs="Arial"/>
          <w:color w:val="444444"/>
          <w:sz w:val="20"/>
          <w:szCs w:val="20"/>
        </w:rPr>
        <w:t> </w:t>
      </w:r>
      <w:r w:rsidRPr="00AA50B4">
        <w:rPr>
          <w:rFonts w:ascii="Arial" w:hAnsi="Arial" w:cs="Arial"/>
          <w:b/>
          <w:bCs/>
          <w:color w:val="444444"/>
          <w:sz w:val="20"/>
          <w:szCs w:val="20"/>
        </w:rPr>
        <w:t>Since Cyprus has not been providing the information requested by the Indian tax authorities under the exchange of information provisions of the agreement, it has been decided to notify Cyprus as a notified jurisdictional area under section 94A of the Income-tax Act, 1961 through Notification No. 86/2013 dated 1st November, 2013 published in Official Gazette through SO 4625 GI/13. </w:t>
      </w:r>
    </w:p>
    <w:p w:rsidR="00AA50B4" w:rsidRPr="00AA50B4" w:rsidRDefault="00AA50B4" w:rsidP="00AA50B4">
      <w:pPr>
        <w:pStyle w:val="ecxmsoplaintext"/>
        <w:shd w:val="clear" w:color="auto" w:fill="FFFFFF"/>
        <w:spacing w:before="0" w:beforeAutospacing="0" w:after="324" w:afterAutospacing="0" w:line="315" w:lineRule="atLeast"/>
        <w:rPr>
          <w:rFonts w:ascii="Arial" w:hAnsi="Arial" w:cs="Arial"/>
          <w:color w:val="444444"/>
          <w:sz w:val="20"/>
          <w:szCs w:val="20"/>
        </w:rPr>
      </w:pPr>
      <w:r w:rsidRPr="00AA50B4">
        <w:rPr>
          <w:rFonts w:ascii="Arial" w:hAnsi="Arial" w:cs="Arial"/>
          <w:color w:val="444444"/>
          <w:sz w:val="20"/>
          <w:szCs w:val="20"/>
        </w:rPr>
        <w:t> </w:t>
      </w:r>
      <w:r w:rsidRPr="00AA50B4">
        <w:rPr>
          <w:rFonts w:ascii="Arial" w:hAnsi="Arial" w:cs="Arial"/>
          <w:b/>
          <w:bCs/>
          <w:color w:val="444444"/>
          <w:sz w:val="20"/>
          <w:szCs w:val="20"/>
        </w:rPr>
        <w:t>The implications of Notification are summarized as under: </w:t>
      </w:r>
    </w:p>
    <w:p w:rsidR="00AA50B4" w:rsidRPr="00AA50B4" w:rsidRDefault="00AA50B4" w:rsidP="00AA50B4">
      <w:pPr>
        <w:pStyle w:val="ecxmsoplaintext"/>
        <w:shd w:val="clear" w:color="auto" w:fill="FFFFFF"/>
        <w:spacing w:before="0" w:beforeAutospacing="0" w:after="324" w:afterAutospacing="0" w:line="315" w:lineRule="atLeast"/>
        <w:rPr>
          <w:rFonts w:ascii="Arial" w:hAnsi="Arial" w:cs="Arial"/>
          <w:color w:val="444444"/>
          <w:sz w:val="20"/>
          <w:szCs w:val="20"/>
        </w:rPr>
      </w:pPr>
      <w:r w:rsidRPr="00AA50B4">
        <w:rPr>
          <w:rFonts w:ascii="Arial" w:hAnsi="Arial" w:cs="Arial"/>
          <w:color w:val="373737"/>
          <w:sz w:val="20"/>
          <w:szCs w:val="20"/>
        </w:rPr>
        <w:t>(</w:t>
      </w:r>
      <w:proofErr w:type="spellStart"/>
      <w:r w:rsidRPr="00AA50B4">
        <w:rPr>
          <w:rFonts w:ascii="Arial" w:hAnsi="Arial" w:cs="Arial"/>
          <w:color w:val="373737"/>
          <w:sz w:val="20"/>
          <w:szCs w:val="20"/>
        </w:rPr>
        <w:t>i</w:t>
      </w:r>
      <w:proofErr w:type="spellEnd"/>
      <w:r w:rsidRPr="00AA50B4">
        <w:rPr>
          <w:rFonts w:ascii="Arial" w:hAnsi="Arial" w:cs="Arial"/>
          <w:color w:val="373737"/>
          <w:sz w:val="20"/>
          <w:szCs w:val="20"/>
        </w:rPr>
        <w:t>) All transactions with a person in Cyprus will have to meet the rigors of transfer pricing;</w:t>
      </w:r>
    </w:p>
    <w:p w:rsidR="00AA50B4" w:rsidRPr="00AA50B4" w:rsidRDefault="00AA50B4" w:rsidP="00AA50B4">
      <w:pPr>
        <w:pStyle w:val="NormalWeb"/>
        <w:shd w:val="clear" w:color="auto" w:fill="FFFFFF"/>
        <w:spacing w:before="0" w:beforeAutospacing="0" w:after="324" w:afterAutospacing="0"/>
        <w:jc w:val="both"/>
        <w:rPr>
          <w:rFonts w:ascii="Arial" w:hAnsi="Arial" w:cs="Arial"/>
          <w:color w:val="373737"/>
          <w:sz w:val="20"/>
          <w:szCs w:val="20"/>
        </w:rPr>
      </w:pPr>
      <w:r w:rsidRPr="00AA50B4">
        <w:rPr>
          <w:rFonts w:ascii="Arial" w:hAnsi="Arial" w:cs="Arial"/>
          <w:color w:val="373737"/>
          <w:sz w:val="20"/>
          <w:szCs w:val="20"/>
        </w:rPr>
        <w:t xml:space="preserve">(ii) A deduction in respect of any payment made to any financial institution in Cyrus and deduction in respect of any other expenditure or allowance arising from the transaction with a person located in Cyprus is subject to specific conditions wherein </w:t>
      </w:r>
      <w:proofErr w:type="spellStart"/>
      <w:r w:rsidRPr="00AA50B4">
        <w:rPr>
          <w:rFonts w:ascii="Arial" w:hAnsi="Arial" w:cs="Arial"/>
          <w:color w:val="373737"/>
          <w:sz w:val="20"/>
          <w:szCs w:val="20"/>
        </w:rPr>
        <w:t>assessee</w:t>
      </w:r>
      <w:proofErr w:type="spellEnd"/>
      <w:r w:rsidRPr="00AA50B4">
        <w:rPr>
          <w:rFonts w:ascii="Arial" w:hAnsi="Arial" w:cs="Arial"/>
          <w:color w:val="373737"/>
          <w:sz w:val="20"/>
          <w:szCs w:val="20"/>
        </w:rPr>
        <w:t xml:space="preserve"> has to give advance authorization to CBDT and Income Tax Department to ask any information/documentation;</w:t>
      </w:r>
    </w:p>
    <w:p w:rsidR="00AA50B4" w:rsidRPr="00AA50B4" w:rsidRDefault="00AA50B4" w:rsidP="00AA50B4">
      <w:pPr>
        <w:pStyle w:val="NormalWeb"/>
        <w:shd w:val="clear" w:color="auto" w:fill="FFFFFF"/>
        <w:spacing w:before="0" w:beforeAutospacing="0" w:after="324" w:afterAutospacing="0"/>
        <w:jc w:val="both"/>
        <w:rPr>
          <w:rFonts w:ascii="Arial" w:hAnsi="Arial" w:cs="Arial"/>
          <w:color w:val="373737"/>
          <w:sz w:val="20"/>
          <w:szCs w:val="20"/>
        </w:rPr>
      </w:pPr>
      <w:r w:rsidRPr="00AA50B4">
        <w:rPr>
          <w:rFonts w:ascii="Arial" w:hAnsi="Arial" w:cs="Arial"/>
          <w:color w:val="373737"/>
          <w:sz w:val="20"/>
          <w:szCs w:val="20"/>
        </w:rPr>
        <w:t xml:space="preserve">(iii) Sum received from a person located in Cyprus is deemed to be the income of the </w:t>
      </w:r>
      <w:proofErr w:type="spellStart"/>
      <w:r w:rsidRPr="00AA50B4">
        <w:rPr>
          <w:rFonts w:ascii="Arial" w:hAnsi="Arial" w:cs="Arial"/>
          <w:color w:val="373737"/>
          <w:sz w:val="20"/>
          <w:szCs w:val="20"/>
        </w:rPr>
        <w:t>assessee</w:t>
      </w:r>
      <w:proofErr w:type="spellEnd"/>
      <w:r w:rsidRPr="00AA50B4">
        <w:rPr>
          <w:rFonts w:ascii="Arial" w:hAnsi="Arial" w:cs="Arial"/>
          <w:color w:val="373737"/>
          <w:sz w:val="20"/>
          <w:szCs w:val="20"/>
        </w:rPr>
        <w:t xml:space="preserve"> unless the </w:t>
      </w:r>
      <w:proofErr w:type="spellStart"/>
      <w:r w:rsidRPr="00AA50B4">
        <w:rPr>
          <w:rFonts w:ascii="Arial" w:hAnsi="Arial" w:cs="Arial"/>
          <w:color w:val="373737"/>
          <w:sz w:val="20"/>
          <w:szCs w:val="20"/>
        </w:rPr>
        <w:t>assessee</w:t>
      </w:r>
      <w:proofErr w:type="spellEnd"/>
      <w:r w:rsidRPr="00AA50B4">
        <w:rPr>
          <w:rFonts w:ascii="Arial" w:hAnsi="Arial" w:cs="Arial"/>
          <w:color w:val="373737"/>
          <w:sz w:val="20"/>
          <w:szCs w:val="20"/>
        </w:rPr>
        <w:t xml:space="preserve"> satisfactorily explains the source of such money in the hands of the payer;</w:t>
      </w:r>
    </w:p>
    <w:p w:rsidR="00AA50B4" w:rsidRPr="00AA50B4" w:rsidRDefault="00AA50B4" w:rsidP="00AA50B4">
      <w:pPr>
        <w:pStyle w:val="tx"/>
        <w:rPr>
          <w:rFonts w:ascii="Arial" w:hAnsi="Arial" w:cs="Arial"/>
          <w:sz w:val="20"/>
          <w:szCs w:val="20"/>
        </w:rPr>
      </w:pPr>
      <w:proofErr w:type="gramStart"/>
      <w:r w:rsidRPr="00AA50B4">
        <w:rPr>
          <w:rFonts w:ascii="Arial" w:hAnsi="Arial" w:cs="Arial"/>
          <w:color w:val="373737"/>
          <w:sz w:val="20"/>
          <w:szCs w:val="20"/>
        </w:rPr>
        <w:t>(iv) Payments</w:t>
      </w:r>
      <w:proofErr w:type="gramEnd"/>
      <w:r w:rsidRPr="00AA50B4">
        <w:rPr>
          <w:rFonts w:ascii="Arial" w:hAnsi="Arial" w:cs="Arial"/>
          <w:color w:val="373737"/>
          <w:sz w:val="20"/>
          <w:szCs w:val="20"/>
        </w:rPr>
        <w:t xml:space="preserve"> to persons located in Cyprus is liable for higher rates of withholding tax rate at 30 per cent</w:t>
      </w:r>
    </w:p>
    <w:p w:rsidR="007F5CFF" w:rsidRPr="00AA50B4" w:rsidRDefault="007F5CFF" w:rsidP="007F5CFF">
      <w:pPr>
        <w:pStyle w:val="tx"/>
        <w:rPr>
          <w:rFonts w:ascii="Arial" w:hAnsi="Arial" w:cs="Arial"/>
          <w:sz w:val="20"/>
          <w:szCs w:val="20"/>
        </w:rPr>
      </w:pPr>
      <w:r w:rsidRPr="00AA50B4">
        <w:rPr>
          <w:rFonts w:ascii="Arial" w:hAnsi="Arial" w:cs="Arial"/>
          <w:sz w:val="20"/>
          <w:szCs w:val="20"/>
        </w:rPr>
        <w:t>[</w:t>
      </w:r>
      <w:r w:rsidRPr="00AA50B4">
        <w:rPr>
          <w:rFonts w:ascii="Arial" w:hAnsi="Arial" w:cs="Arial"/>
          <w:b/>
          <w:bCs/>
          <w:sz w:val="20"/>
          <w:szCs w:val="20"/>
        </w:rPr>
        <w:t>Special measures in respect of transactions with persons located in notified jurisdictional area.</w:t>
      </w:r>
    </w:p>
    <w:p w:rsidR="007F5CFF" w:rsidRPr="00AA50B4" w:rsidRDefault="007F5CFF" w:rsidP="007F5CFF">
      <w:pPr>
        <w:pStyle w:val="tx"/>
        <w:rPr>
          <w:rFonts w:ascii="Arial" w:hAnsi="Arial" w:cs="Arial"/>
          <w:sz w:val="20"/>
          <w:szCs w:val="20"/>
        </w:rPr>
      </w:pPr>
      <w:r w:rsidRPr="00AA50B4">
        <w:rPr>
          <w:rFonts w:ascii="Arial" w:hAnsi="Arial" w:cs="Arial"/>
          <w:b/>
          <w:bCs/>
          <w:sz w:val="20"/>
          <w:szCs w:val="20"/>
        </w:rPr>
        <w:lastRenderedPageBreak/>
        <w:t xml:space="preserve">94A. </w:t>
      </w:r>
      <w:r w:rsidRPr="00AA50B4">
        <w:rPr>
          <w:rFonts w:ascii="Arial" w:hAnsi="Arial" w:cs="Arial"/>
          <w:sz w:val="20"/>
          <w:szCs w:val="20"/>
        </w:rPr>
        <w:t xml:space="preserve">(1) The Central Government may, having regard to the </w:t>
      </w:r>
      <w:r w:rsidRPr="00AA50B4">
        <w:rPr>
          <w:rFonts w:ascii="Arial" w:hAnsi="Arial" w:cs="Arial"/>
          <w:sz w:val="20"/>
          <w:szCs w:val="20"/>
          <w:highlight w:val="yellow"/>
        </w:rPr>
        <w:t>lack of effective exchange of information with any country or territory outside India</w:t>
      </w:r>
      <w:r w:rsidRPr="00AA50B4">
        <w:rPr>
          <w:rFonts w:ascii="Arial" w:hAnsi="Arial" w:cs="Arial"/>
          <w:sz w:val="20"/>
          <w:szCs w:val="20"/>
        </w:rPr>
        <w:t xml:space="preserve">, specify by notification in the Official Gazette such country or territory as a notified jurisdictional area in relation to transactions entered into by any </w:t>
      </w:r>
      <w:proofErr w:type="spellStart"/>
      <w:r w:rsidRPr="00AA50B4">
        <w:rPr>
          <w:rFonts w:ascii="Arial" w:hAnsi="Arial" w:cs="Arial"/>
          <w:sz w:val="20"/>
          <w:szCs w:val="20"/>
        </w:rPr>
        <w:t>assessee</w:t>
      </w:r>
      <w:proofErr w:type="spellEnd"/>
      <w:r w:rsidRPr="00AA50B4">
        <w:rPr>
          <w:rFonts w:ascii="Arial" w:hAnsi="Arial" w:cs="Arial"/>
          <w:sz w:val="20"/>
          <w:szCs w:val="20"/>
        </w:rPr>
        <w:t>.</w:t>
      </w:r>
    </w:p>
    <w:p w:rsidR="007F5CFF" w:rsidRPr="00AA50B4" w:rsidRDefault="007F5CFF" w:rsidP="007F5CFF">
      <w:pPr>
        <w:pStyle w:val="tx"/>
        <w:rPr>
          <w:rFonts w:ascii="Arial" w:hAnsi="Arial" w:cs="Arial"/>
          <w:sz w:val="20"/>
          <w:szCs w:val="20"/>
        </w:rPr>
      </w:pPr>
      <w:r w:rsidRPr="00AA50B4">
        <w:rPr>
          <w:rFonts w:ascii="Arial" w:hAnsi="Arial" w:cs="Arial"/>
          <w:sz w:val="20"/>
          <w:szCs w:val="20"/>
        </w:rPr>
        <w:t xml:space="preserve">(2) Notwithstanding anything to the contrary contained in this Act, if an </w:t>
      </w:r>
      <w:proofErr w:type="spellStart"/>
      <w:r w:rsidRPr="00AA50B4">
        <w:rPr>
          <w:rFonts w:ascii="Arial" w:hAnsi="Arial" w:cs="Arial"/>
          <w:sz w:val="20"/>
          <w:szCs w:val="20"/>
        </w:rPr>
        <w:t>assessee</w:t>
      </w:r>
      <w:proofErr w:type="spellEnd"/>
      <w:r w:rsidRPr="00AA50B4">
        <w:rPr>
          <w:rFonts w:ascii="Arial" w:hAnsi="Arial" w:cs="Arial"/>
          <w:sz w:val="20"/>
          <w:szCs w:val="20"/>
        </w:rPr>
        <w:t xml:space="preserve"> enters into a transaction where one of the parties to the transaction is a person located in a notified jurisdictional area, then—</w:t>
      </w:r>
    </w:p>
    <w:p w:rsidR="007F5CFF" w:rsidRPr="00AA50B4" w:rsidRDefault="007F5CFF" w:rsidP="007F5CFF">
      <w:pPr>
        <w:pStyle w:val="indent1a"/>
        <w:rPr>
          <w:rFonts w:ascii="Arial" w:hAnsi="Arial" w:cs="Arial"/>
          <w:sz w:val="20"/>
          <w:szCs w:val="20"/>
        </w:rPr>
      </w:pPr>
      <w:r w:rsidRPr="00AA50B4">
        <w:rPr>
          <w:rFonts w:ascii="Arial" w:hAnsi="Arial" w:cs="Arial"/>
          <w:sz w:val="20"/>
          <w:szCs w:val="20"/>
        </w:rPr>
        <w:t> (</w:t>
      </w:r>
      <w:proofErr w:type="spellStart"/>
      <w:r w:rsidRPr="00AA50B4">
        <w:rPr>
          <w:rFonts w:ascii="Arial" w:hAnsi="Arial" w:cs="Arial"/>
          <w:i/>
          <w:iCs/>
          <w:sz w:val="20"/>
          <w:szCs w:val="20"/>
        </w:rPr>
        <w:t>i</w:t>
      </w:r>
      <w:proofErr w:type="spellEnd"/>
      <w:r w:rsidRPr="00AA50B4">
        <w:rPr>
          <w:rFonts w:ascii="Arial" w:hAnsi="Arial" w:cs="Arial"/>
          <w:sz w:val="20"/>
          <w:szCs w:val="20"/>
        </w:rPr>
        <w:t xml:space="preserve">)  </w:t>
      </w:r>
      <w:proofErr w:type="gramStart"/>
      <w:r w:rsidRPr="00AA50B4">
        <w:rPr>
          <w:rFonts w:ascii="Arial" w:hAnsi="Arial" w:cs="Arial"/>
          <w:sz w:val="20"/>
          <w:szCs w:val="20"/>
          <w:highlight w:val="yellow"/>
        </w:rPr>
        <w:t>all</w:t>
      </w:r>
      <w:proofErr w:type="gramEnd"/>
      <w:r w:rsidRPr="00AA50B4">
        <w:rPr>
          <w:rFonts w:ascii="Arial" w:hAnsi="Arial" w:cs="Arial"/>
          <w:sz w:val="20"/>
          <w:szCs w:val="20"/>
          <w:highlight w:val="yellow"/>
        </w:rPr>
        <w:t xml:space="preserve"> the parties to the transaction shall be deemed to be associated enterprises within the meaning of </w:t>
      </w:r>
      <w:hyperlink r:id="rId4" w:tgtFrame="top" w:history="1">
        <w:r w:rsidRPr="00AA50B4">
          <w:rPr>
            <w:rStyle w:val="Hyperlink"/>
            <w:rFonts w:ascii="Arial" w:hAnsi="Arial" w:cs="Arial"/>
            <w:sz w:val="20"/>
            <w:szCs w:val="20"/>
            <w:highlight w:val="yellow"/>
          </w:rPr>
          <w:t>section 92A</w:t>
        </w:r>
      </w:hyperlink>
      <w:r w:rsidRPr="00AA50B4">
        <w:rPr>
          <w:rFonts w:ascii="Arial" w:hAnsi="Arial" w:cs="Arial"/>
          <w:sz w:val="20"/>
          <w:szCs w:val="20"/>
          <w:highlight w:val="yellow"/>
        </w:rPr>
        <w:t>;</w:t>
      </w:r>
    </w:p>
    <w:p w:rsidR="007F5CFF" w:rsidRPr="00AA50B4" w:rsidRDefault="007F5CFF" w:rsidP="007F5CFF">
      <w:pPr>
        <w:pStyle w:val="indent1a"/>
        <w:rPr>
          <w:rFonts w:ascii="Arial" w:hAnsi="Arial" w:cs="Arial"/>
          <w:sz w:val="20"/>
          <w:szCs w:val="20"/>
        </w:rPr>
      </w:pPr>
      <w:r w:rsidRPr="00AA50B4">
        <w:rPr>
          <w:rFonts w:ascii="Arial" w:hAnsi="Arial" w:cs="Arial"/>
          <w:sz w:val="20"/>
          <w:szCs w:val="20"/>
        </w:rPr>
        <w:t>(</w:t>
      </w:r>
      <w:r w:rsidRPr="00AA50B4">
        <w:rPr>
          <w:rFonts w:ascii="Arial" w:hAnsi="Arial" w:cs="Arial"/>
          <w:i/>
          <w:iCs/>
          <w:sz w:val="20"/>
          <w:szCs w:val="20"/>
        </w:rPr>
        <w:t>ii</w:t>
      </w:r>
      <w:r w:rsidRPr="00AA50B4">
        <w:rPr>
          <w:rFonts w:ascii="Arial" w:hAnsi="Arial" w:cs="Arial"/>
          <w:sz w:val="20"/>
          <w:szCs w:val="20"/>
        </w:rPr>
        <w:t xml:space="preserve">)  any transaction in the nature of purchase, sale or lease of tangible or intangible property or provision of service or lending or borrowing money or any other transaction having a bearing on the profits, income, losses or assets of the </w:t>
      </w:r>
      <w:proofErr w:type="spellStart"/>
      <w:r w:rsidRPr="00AA50B4">
        <w:rPr>
          <w:rFonts w:ascii="Arial" w:hAnsi="Arial" w:cs="Arial"/>
          <w:sz w:val="20"/>
          <w:szCs w:val="20"/>
        </w:rPr>
        <w:t>assessee</w:t>
      </w:r>
      <w:proofErr w:type="spellEnd"/>
      <w:r w:rsidRPr="00AA50B4">
        <w:rPr>
          <w:rFonts w:ascii="Arial" w:hAnsi="Arial" w:cs="Arial"/>
          <w:sz w:val="20"/>
          <w:szCs w:val="20"/>
        </w:rPr>
        <w:t xml:space="preserve"> including a mutual agreement or arrangement for allocation or apportionment of, or any contribution to, any cost or expense incurred or to be incurred in connection with a benefit, service or facility provided or to be provided by or to the </w:t>
      </w:r>
      <w:proofErr w:type="spellStart"/>
      <w:r w:rsidRPr="00AA50B4">
        <w:rPr>
          <w:rFonts w:ascii="Arial" w:hAnsi="Arial" w:cs="Arial"/>
          <w:sz w:val="20"/>
          <w:szCs w:val="20"/>
        </w:rPr>
        <w:t>assessee</w:t>
      </w:r>
      <w:proofErr w:type="spellEnd"/>
      <w:r w:rsidRPr="00AA50B4">
        <w:rPr>
          <w:rFonts w:ascii="Arial" w:hAnsi="Arial" w:cs="Arial"/>
          <w:sz w:val="20"/>
          <w:szCs w:val="20"/>
        </w:rPr>
        <w:t xml:space="preserve"> shall be deemed to be an international transaction within the meaning of </w:t>
      </w:r>
      <w:hyperlink r:id="rId5" w:tgtFrame="top" w:history="1">
        <w:r w:rsidRPr="00AA50B4">
          <w:rPr>
            <w:rStyle w:val="Hyperlink"/>
            <w:rFonts w:ascii="Arial" w:hAnsi="Arial" w:cs="Arial"/>
            <w:sz w:val="20"/>
            <w:szCs w:val="20"/>
          </w:rPr>
          <w:t>section 92B</w:t>
        </w:r>
      </w:hyperlink>
      <w:r w:rsidRPr="00AA50B4">
        <w:rPr>
          <w:rFonts w:ascii="Arial" w:hAnsi="Arial" w:cs="Arial"/>
          <w:sz w:val="20"/>
          <w:szCs w:val="20"/>
        </w:rPr>
        <w:t>,</w:t>
      </w:r>
    </w:p>
    <w:p w:rsidR="007F5CFF" w:rsidRPr="00AA50B4" w:rsidRDefault="007F5CFF" w:rsidP="007F5CFF">
      <w:pPr>
        <w:pStyle w:val="tx"/>
        <w:rPr>
          <w:rFonts w:ascii="Arial" w:hAnsi="Arial" w:cs="Arial"/>
          <w:sz w:val="20"/>
          <w:szCs w:val="20"/>
        </w:rPr>
      </w:pPr>
      <w:r w:rsidRPr="00AA50B4">
        <w:rPr>
          <w:rFonts w:ascii="Arial" w:hAnsi="Arial" w:cs="Arial"/>
          <w:sz w:val="20"/>
          <w:szCs w:val="20"/>
        </w:rPr>
        <w:t xml:space="preserve">and the provisions of </w:t>
      </w:r>
      <w:hyperlink r:id="rId6" w:tgtFrame="top" w:history="1">
        <w:r w:rsidRPr="00AA50B4">
          <w:rPr>
            <w:rStyle w:val="Hyperlink"/>
            <w:rFonts w:ascii="Arial" w:hAnsi="Arial" w:cs="Arial"/>
            <w:sz w:val="20"/>
            <w:szCs w:val="20"/>
          </w:rPr>
          <w:t>sections 92</w:t>
        </w:r>
      </w:hyperlink>
      <w:r w:rsidRPr="00AA50B4">
        <w:rPr>
          <w:rFonts w:ascii="Arial" w:hAnsi="Arial" w:cs="Arial"/>
          <w:sz w:val="20"/>
          <w:szCs w:val="20"/>
        </w:rPr>
        <w:t xml:space="preserve">, </w:t>
      </w:r>
      <w:hyperlink r:id="rId7" w:tgtFrame="top" w:history="1">
        <w:r w:rsidRPr="00AA50B4">
          <w:rPr>
            <w:rStyle w:val="Hyperlink"/>
            <w:rFonts w:ascii="Arial" w:hAnsi="Arial" w:cs="Arial"/>
            <w:sz w:val="20"/>
            <w:szCs w:val="20"/>
          </w:rPr>
          <w:t>92A</w:t>
        </w:r>
      </w:hyperlink>
      <w:r w:rsidRPr="00AA50B4">
        <w:rPr>
          <w:rFonts w:ascii="Arial" w:hAnsi="Arial" w:cs="Arial"/>
          <w:sz w:val="20"/>
          <w:szCs w:val="20"/>
        </w:rPr>
        <w:t xml:space="preserve">, </w:t>
      </w:r>
      <w:hyperlink r:id="rId8" w:tgtFrame="top" w:history="1">
        <w:r w:rsidRPr="00AA50B4">
          <w:rPr>
            <w:rStyle w:val="Hyperlink"/>
            <w:rFonts w:ascii="Arial" w:hAnsi="Arial" w:cs="Arial"/>
            <w:sz w:val="20"/>
            <w:szCs w:val="20"/>
          </w:rPr>
          <w:t>92B</w:t>
        </w:r>
      </w:hyperlink>
      <w:r w:rsidRPr="00AA50B4">
        <w:rPr>
          <w:rFonts w:ascii="Arial" w:hAnsi="Arial" w:cs="Arial"/>
          <w:sz w:val="20"/>
          <w:szCs w:val="20"/>
        </w:rPr>
        <w:t xml:space="preserve">, </w:t>
      </w:r>
      <w:hyperlink r:id="rId9" w:tgtFrame="top" w:history="1">
        <w:r w:rsidRPr="00AA50B4">
          <w:rPr>
            <w:rStyle w:val="Hyperlink"/>
            <w:rFonts w:ascii="Arial" w:hAnsi="Arial" w:cs="Arial"/>
            <w:sz w:val="20"/>
            <w:szCs w:val="20"/>
          </w:rPr>
          <w:t>92C</w:t>
        </w:r>
      </w:hyperlink>
      <w:r w:rsidRPr="00AA50B4">
        <w:rPr>
          <w:rFonts w:ascii="Arial" w:hAnsi="Arial" w:cs="Arial"/>
          <w:sz w:val="20"/>
          <w:szCs w:val="20"/>
        </w:rPr>
        <w:t xml:space="preserve"> [except the second proviso to sub-section (2)], </w:t>
      </w:r>
      <w:hyperlink r:id="rId10" w:tgtFrame="top" w:history="1">
        <w:r w:rsidRPr="00AA50B4">
          <w:rPr>
            <w:rStyle w:val="Hyperlink"/>
            <w:rFonts w:ascii="Arial" w:hAnsi="Arial" w:cs="Arial"/>
            <w:sz w:val="20"/>
            <w:szCs w:val="20"/>
          </w:rPr>
          <w:t>92CA</w:t>
        </w:r>
      </w:hyperlink>
      <w:r w:rsidRPr="00AA50B4">
        <w:rPr>
          <w:rFonts w:ascii="Arial" w:hAnsi="Arial" w:cs="Arial"/>
          <w:sz w:val="20"/>
          <w:szCs w:val="20"/>
        </w:rPr>
        <w:t xml:space="preserve">, </w:t>
      </w:r>
      <w:hyperlink r:id="rId11" w:tgtFrame="top" w:history="1">
        <w:r w:rsidRPr="00AA50B4">
          <w:rPr>
            <w:rStyle w:val="Hyperlink"/>
            <w:rFonts w:ascii="Arial" w:hAnsi="Arial" w:cs="Arial"/>
            <w:sz w:val="20"/>
            <w:szCs w:val="20"/>
          </w:rPr>
          <w:t>92CB</w:t>
        </w:r>
      </w:hyperlink>
      <w:r w:rsidRPr="00AA50B4">
        <w:rPr>
          <w:rFonts w:ascii="Arial" w:hAnsi="Arial" w:cs="Arial"/>
          <w:sz w:val="20"/>
          <w:szCs w:val="20"/>
        </w:rPr>
        <w:t xml:space="preserve">, </w:t>
      </w:r>
      <w:hyperlink r:id="rId12" w:tgtFrame="top" w:history="1">
        <w:r w:rsidRPr="00AA50B4">
          <w:rPr>
            <w:rStyle w:val="Hyperlink"/>
            <w:rFonts w:ascii="Arial" w:hAnsi="Arial" w:cs="Arial"/>
            <w:sz w:val="20"/>
            <w:szCs w:val="20"/>
          </w:rPr>
          <w:t>92D</w:t>
        </w:r>
      </w:hyperlink>
      <w:r w:rsidRPr="00AA50B4">
        <w:rPr>
          <w:rFonts w:ascii="Arial" w:hAnsi="Arial" w:cs="Arial"/>
          <w:sz w:val="20"/>
          <w:szCs w:val="20"/>
        </w:rPr>
        <w:t xml:space="preserve">, </w:t>
      </w:r>
      <w:hyperlink r:id="rId13" w:tgtFrame="top" w:history="1">
        <w:r w:rsidRPr="00AA50B4">
          <w:rPr>
            <w:rStyle w:val="Hyperlink"/>
            <w:rFonts w:ascii="Arial" w:hAnsi="Arial" w:cs="Arial"/>
            <w:sz w:val="20"/>
            <w:szCs w:val="20"/>
          </w:rPr>
          <w:t>92E</w:t>
        </w:r>
      </w:hyperlink>
      <w:r w:rsidRPr="00AA50B4">
        <w:rPr>
          <w:rFonts w:ascii="Arial" w:hAnsi="Arial" w:cs="Arial"/>
          <w:sz w:val="20"/>
          <w:szCs w:val="20"/>
        </w:rPr>
        <w:t xml:space="preserve"> and </w:t>
      </w:r>
      <w:hyperlink r:id="rId14" w:tgtFrame="top" w:history="1">
        <w:r w:rsidRPr="00AA50B4">
          <w:rPr>
            <w:rStyle w:val="Hyperlink"/>
            <w:rFonts w:ascii="Arial" w:hAnsi="Arial" w:cs="Arial"/>
            <w:sz w:val="20"/>
            <w:szCs w:val="20"/>
          </w:rPr>
          <w:t>92F</w:t>
        </w:r>
      </w:hyperlink>
      <w:r w:rsidRPr="00AA50B4">
        <w:rPr>
          <w:rFonts w:ascii="Arial" w:hAnsi="Arial" w:cs="Arial"/>
          <w:sz w:val="20"/>
          <w:szCs w:val="20"/>
        </w:rPr>
        <w:t xml:space="preserve"> shall apply accordingly.</w:t>
      </w:r>
    </w:p>
    <w:p w:rsidR="007F5CFF" w:rsidRPr="00AA50B4" w:rsidRDefault="007F5CFF" w:rsidP="007F5CFF">
      <w:pPr>
        <w:pStyle w:val="tx"/>
        <w:rPr>
          <w:rFonts w:ascii="Arial" w:hAnsi="Arial" w:cs="Arial"/>
          <w:sz w:val="20"/>
          <w:szCs w:val="20"/>
        </w:rPr>
      </w:pPr>
      <w:r w:rsidRPr="00AA50B4">
        <w:rPr>
          <w:rFonts w:ascii="Arial" w:hAnsi="Arial" w:cs="Arial"/>
          <w:sz w:val="20"/>
          <w:szCs w:val="20"/>
        </w:rPr>
        <w:t>(3) Notwithstanding anything to the contrary contained in this Act, no deduction,—</w:t>
      </w:r>
    </w:p>
    <w:p w:rsidR="007F5CFF" w:rsidRPr="00AA50B4" w:rsidRDefault="007F5CFF" w:rsidP="007F5CFF">
      <w:pPr>
        <w:pStyle w:val="indent1a"/>
        <w:rPr>
          <w:rFonts w:ascii="Arial" w:hAnsi="Arial" w:cs="Arial"/>
          <w:sz w:val="20"/>
          <w:szCs w:val="20"/>
        </w:rPr>
      </w:pPr>
      <w:r w:rsidRPr="00AA50B4">
        <w:rPr>
          <w:rFonts w:ascii="Arial" w:hAnsi="Arial" w:cs="Arial"/>
          <w:sz w:val="20"/>
          <w:szCs w:val="20"/>
        </w:rPr>
        <w:t>(</w:t>
      </w:r>
      <w:r w:rsidRPr="00AA50B4">
        <w:rPr>
          <w:rFonts w:ascii="Arial" w:hAnsi="Arial" w:cs="Arial"/>
          <w:i/>
          <w:iCs/>
          <w:sz w:val="20"/>
          <w:szCs w:val="20"/>
        </w:rPr>
        <w:t>a</w:t>
      </w:r>
      <w:r w:rsidRPr="00AA50B4">
        <w:rPr>
          <w:rFonts w:ascii="Arial" w:hAnsi="Arial" w:cs="Arial"/>
          <w:sz w:val="20"/>
          <w:szCs w:val="20"/>
        </w:rPr>
        <w:t xml:space="preserve">)  in respect of any payment made to any financial institution located in a notified jurisdictional area shall be allowed under this Act, unless the </w:t>
      </w:r>
      <w:proofErr w:type="spellStart"/>
      <w:r w:rsidRPr="00AA50B4">
        <w:rPr>
          <w:rFonts w:ascii="Arial" w:hAnsi="Arial" w:cs="Arial"/>
          <w:sz w:val="20"/>
          <w:szCs w:val="20"/>
        </w:rPr>
        <w:t>assessee</w:t>
      </w:r>
      <w:proofErr w:type="spellEnd"/>
      <w:r w:rsidRPr="00AA50B4">
        <w:rPr>
          <w:rFonts w:ascii="Arial" w:hAnsi="Arial" w:cs="Arial"/>
          <w:sz w:val="20"/>
          <w:szCs w:val="20"/>
        </w:rPr>
        <w:t xml:space="preserve"> furnishes an authorisation in the prescribed form authorising the Board or any other income-tax authority acting on its behalf to seek relevant information from the said financial institution on behalf of such </w:t>
      </w:r>
      <w:proofErr w:type="spellStart"/>
      <w:r w:rsidRPr="00AA50B4">
        <w:rPr>
          <w:rFonts w:ascii="Arial" w:hAnsi="Arial" w:cs="Arial"/>
          <w:sz w:val="20"/>
          <w:szCs w:val="20"/>
        </w:rPr>
        <w:t>assessee</w:t>
      </w:r>
      <w:proofErr w:type="spellEnd"/>
      <w:r w:rsidRPr="00AA50B4">
        <w:rPr>
          <w:rFonts w:ascii="Arial" w:hAnsi="Arial" w:cs="Arial"/>
          <w:sz w:val="20"/>
          <w:szCs w:val="20"/>
        </w:rPr>
        <w:t>; and</w:t>
      </w:r>
    </w:p>
    <w:p w:rsidR="007F5CFF" w:rsidRPr="00AA50B4" w:rsidRDefault="007F5CFF" w:rsidP="007F5CFF">
      <w:pPr>
        <w:pStyle w:val="indent1a"/>
        <w:rPr>
          <w:rFonts w:ascii="Arial" w:hAnsi="Arial" w:cs="Arial"/>
          <w:sz w:val="20"/>
          <w:szCs w:val="20"/>
        </w:rPr>
      </w:pPr>
      <w:r w:rsidRPr="00AA50B4">
        <w:rPr>
          <w:rFonts w:ascii="Arial" w:hAnsi="Arial" w:cs="Arial"/>
          <w:sz w:val="20"/>
          <w:szCs w:val="20"/>
        </w:rPr>
        <w:t>(</w:t>
      </w:r>
      <w:r w:rsidRPr="00AA50B4">
        <w:rPr>
          <w:rFonts w:ascii="Arial" w:hAnsi="Arial" w:cs="Arial"/>
          <w:i/>
          <w:iCs/>
          <w:sz w:val="20"/>
          <w:szCs w:val="20"/>
        </w:rPr>
        <w:t>b</w:t>
      </w:r>
      <w:r w:rsidRPr="00AA50B4">
        <w:rPr>
          <w:rFonts w:ascii="Arial" w:hAnsi="Arial" w:cs="Arial"/>
          <w:sz w:val="20"/>
          <w:szCs w:val="20"/>
        </w:rPr>
        <w:t xml:space="preserve">)  </w:t>
      </w:r>
      <w:proofErr w:type="gramStart"/>
      <w:r w:rsidRPr="00AA50B4">
        <w:rPr>
          <w:rFonts w:ascii="Arial" w:hAnsi="Arial" w:cs="Arial"/>
          <w:sz w:val="20"/>
          <w:szCs w:val="20"/>
        </w:rPr>
        <w:t>in</w:t>
      </w:r>
      <w:proofErr w:type="gramEnd"/>
      <w:r w:rsidRPr="00AA50B4">
        <w:rPr>
          <w:rFonts w:ascii="Arial" w:hAnsi="Arial" w:cs="Arial"/>
          <w:sz w:val="20"/>
          <w:szCs w:val="20"/>
        </w:rPr>
        <w:t xml:space="preserve"> respect of any other expenditure or allowance (including depreciation) arising from the transaction with a person located in a notified jurisdictional area shall be allowed under any other provision of this Act, unless the </w:t>
      </w:r>
      <w:proofErr w:type="spellStart"/>
      <w:r w:rsidRPr="00AA50B4">
        <w:rPr>
          <w:rFonts w:ascii="Arial" w:hAnsi="Arial" w:cs="Arial"/>
          <w:sz w:val="20"/>
          <w:szCs w:val="20"/>
        </w:rPr>
        <w:t>assessee</w:t>
      </w:r>
      <w:proofErr w:type="spellEnd"/>
      <w:r w:rsidRPr="00AA50B4">
        <w:rPr>
          <w:rFonts w:ascii="Arial" w:hAnsi="Arial" w:cs="Arial"/>
          <w:sz w:val="20"/>
          <w:szCs w:val="20"/>
        </w:rPr>
        <w:t xml:space="preserve"> maintains such other documents and furnishes such information as may be prescribed, in this behalf.</w:t>
      </w:r>
    </w:p>
    <w:p w:rsidR="007F5CFF" w:rsidRPr="00AA50B4" w:rsidRDefault="007F5CFF" w:rsidP="007F5CFF">
      <w:pPr>
        <w:pStyle w:val="tx"/>
        <w:rPr>
          <w:rFonts w:ascii="Arial" w:hAnsi="Arial" w:cs="Arial"/>
          <w:sz w:val="20"/>
          <w:szCs w:val="20"/>
        </w:rPr>
      </w:pPr>
      <w:r w:rsidRPr="00AA50B4">
        <w:rPr>
          <w:rFonts w:ascii="Arial" w:hAnsi="Arial" w:cs="Arial"/>
          <w:sz w:val="20"/>
          <w:szCs w:val="20"/>
        </w:rPr>
        <w:t xml:space="preserve">(4) Notwithstanding anything to the contrary contained in this Act, where, in any previous year, the </w:t>
      </w:r>
      <w:proofErr w:type="spellStart"/>
      <w:r w:rsidRPr="00AA50B4">
        <w:rPr>
          <w:rFonts w:ascii="Arial" w:hAnsi="Arial" w:cs="Arial"/>
          <w:sz w:val="20"/>
          <w:szCs w:val="20"/>
        </w:rPr>
        <w:t>assessee</w:t>
      </w:r>
      <w:proofErr w:type="spellEnd"/>
      <w:r w:rsidRPr="00AA50B4">
        <w:rPr>
          <w:rFonts w:ascii="Arial" w:hAnsi="Arial" w:cs="Arial"/>
          <w:sz w:val="20"/>
          <w:szCs w:val="20"/>
        </w:rPr>
        <w:t xml:space="preserve"> has received or credited any sum from any person located in a notified jurisdictional area and the </w:t>
      </w:r>
      <w:proofErr w:type="spellStart"/>
      <w:r w:rsidRPr="00AA50B4">
        <w:rPr>
          <w:rFonts w:ascii="Arial" w:hAnsi="Arial" w:cs="Arial"/>
          <w:sz w:val="20"/>
          <w:szCs w:val="20"/>
        </w:rPr>
        <w:t>assessee</w:t>
      </w:r>
      <w:proofErr w:type="spellEnd"/>
      <w:r w:rsidRPr="00AA50B4">
        <w:rPr>
          <w:rFonts w:ascii="Arial" w:hAnsi="Arial" w:cs="Arial"/>
          <w:sz w:val="20"/>
          <w:szCs w:val="20"/>
        </w:rPr>
        <w:t xml:space="preserve"> does not offer any explanation about the source of the said sum in the hands of such person or in the hands of the beneficial owner (if such person is not the beneficial owner of the said sum) or the explanation offered by the </w:t>
      </w:r>
      <w:proofErr w:type="spellStart"/>
      <w:r w:rsidRPr="00AA50B4">
        <w:rPr>
          <w:rFonts w:ascii="Arial" w:hAnsi="Arial" w:cs="Arial"/>
          <w:sz w:val="20"/>
          <w:szCs w:val="20"/>
        </w:rPr>
        <w:t>assessee</w:t>
      </w:r>
      <w:proofErr w:type="spellEnd"/>
      <w:r w:rsidRPr="00AA50B4">
        <w:rPr>
          <w:rFonts w:ascii="Arial" w:hAnsi="Arial" w:cs="Arial"/>
          <w:sz w:val="20"/>
          <w:szCs w:val="20"/>
        </w:rPr>
        <w:t xml:space="preserve">, in the opinion of the Assessing Officer, is not satisfactory, then, such sum shall be deemed to be the income of the </w:t>
      </w:r>
      <w:proofErr w:type="spellStart"/>
      <w:r w:rsidRPr="00AA50B4">
        <w:rPr>
          <w:rFonts w:ascii="Arial" w:hAnsi="Arial" w:cs="Arial"/>
          <w:sz w:val="20"/>
          <w:szCs w:val="20"/>
        </w:rPr>
        <w:t>assessee</w:t>
      </w:r>
      <w:proofErr w:type="spellEnd"/>
      <w:r w:rsidRPr="00AA50B4">
        <w:rPr>
          <w:rFonts w:ascii="Arial" w:hAnsi="Arial" w:cs="Arial"/>
          <w:sz w:val="20"/>
          <w:szCs w:val="20"/>
        </w:rPr>
        <w:t xml:space="preserve"> for that previous year.</w:t>
      </w:r>
    </w:p>
    <w:p w:rsidR="007F5CFF" w:rsidRPr="00AA50B4" w:rsidRDefault="007F5CFF" w:rsidP="007F5CFF">
      <w:pPr>
        <w:pStyle w:val="tx"/>
        <w:rPr>
          <w:rFonts w:ascii="Arial" w:hAnsi="Arial" w:cs="Arial"/>
          <w:sz w:val="20"/>
          <w:szCs w:val="20"/>
        </w:rPr>
      </w:pPr>
      <w:r w:rsidRPr="00AA50B4">
        <w:rPr>
          <w:rFonts w:ascii="Arial" w:hAnsi="Arial" w:cs="Arial"/>
          <w:sz w:val="20"/>
          <w:szCs w:val="20"/>
        </w:rPr>
        <w:t xml:space="preserve">(5) Notwithstanding anything contained in any other provisions of this Act, where any person located in a notified jurisdictional area is entitled to receive any sum or income or amount on which tax is deductible under Chapter XVII-B, </w:t>
      </w:r>
      <w:r w:rsidRPr="00AA50B4">
        <w:rPr>
          <w:rFonts w:ascii="Arial" w:hAnsi="Arial" w:cs="Arial"/>
          <w:sz w:val="20"/>
          <w:szCs w:val="20"/>
          <w:highlight w:val="yellow"/>
        </w:rPr>
        <w:t>the tax shall be deducted at the highest of the following rates, namely:—</w:t>
      </w:r>
    </w:p>
    <w:p w:rsidR="007F5CFF" w:rsidRPr="00AA50B4" w:rsidRDefault="007F5CFF" w:rsidP="007F5CFF">
      <w:pPr>
        <w:pStyle w:val="indent1a"/>
        <w:rPr>
          <w:rFonts w:ascii="Arial" w:hAnsi="Arial" w:cs="Arial"/>
          <w:sz w:val="20"/>
          <w:szCs w:val="20"/>
        </w:rPr>
      </w:pPr>
      <w:r w:rsidRPr="00AA50B4">
        <w:rPr>
          <w:rFonts w:ascii="Arial" w:hAnsi="Arial" w:cs="Arial"/>
          <w:sz w:val="20"/>
          <w:szCs w:val="20"/>
        </w:rPr>
        <w:t>(</w:t>
      </w:r>
      <w:r w:rsidRPr="00AA50B4">
        <w:rPr>
          <w:rFonts w:ascii="Arial" w:hAnsi="Arial" w:cs="Arial"/>
          <w:i/>
          <w:iCs/>
          <w:sz w:val="20"/>
          <w:szCs w:val="20"/>
        </w:rPr>
        <w:t>a</w:t>
      </w:r>
      <w:r w:rsidRPr="00AA50B4">
        <w:rPr>
          <w:rFonts w:ascii="Arial" w:hAnsi="Arial" w:cs="Arial"/>
          <w:sz w:val="20"/>
          <w:szCs w:val="20"/>
        </w:rPr>
        <w:t xml:space="preserve">)  </w:t>
      </w:r>
      <w:proofErr w:type="gramStart"/>
      <w:r w:rsidRPr="00AA50B4">
        <w:rPr>
          <w:rFonts w:ascii="Arial" w:hAnsi="Arial" w:cs="Arial"/>
          <w:sz w:val="20"/>
          <w:szCs w:val="20"/>
        </w:rPr>
        <w:t>at</w:t>
      </w:r>
      <w:proofErr w:type="gramEnd"/>
      <w:r w:rsidRPr="00AA50B4">
        <w:rPr>
          <w:rFonts w:ascii="Arial" w:hAnsi="Arial" w:cs="Arial"/>
          <w:sz w:val="20"/>
          <w:szCs w:val="20"/>
        </w:rPr>
        <w:t xml:space="preserve"> the rate or rates in force;</w:t>
      </w:r>
    </w:p>
    <w:p w:rsidR="007F5CFF" w:rsidRPr="00AA50B4" w:rsidRDefault="007F5CFF" w:rsidP="007F5CFF">
      <w:pPr>
        <w:pStyle w:val="indent1a"/>
        <w:rPr>
          <w:rFonts w:ascii="Arial" w:hAnsi="Arial" w:cs="Arial"/>
          <w:sz w:val="20"/>
          <w:szCs w:val="20"/>
        </w:rPr>
      </w:pPr>
      <w:r w:rsidRPr="00AA50B4">
        <w:rPr>
          <w:rFonts w:ascii="Arial" w:hAnsi="Arial" w:cs="Arial"/>
          <w:sz w:val="20"/>
          <w:szCs w:val="20"/>
        </w:rPr>
        <w:t>(</w:t>
      </w:r>
      <w:r w:rsidRPr="00AA50B4">
        <w:rPr>
          <w:rFonts w:ascii="Arial" w:hAnsi="Arial" w:cs="Arial"/>
          <w:i/>
          <w:iCs/>
          <w:sz w:val="20"/>
          <w:szCs w:val="20"/>
        </w:rPr>
        <w:t>b</w:t>
      </w:r>
      <w:r w:rsidRPr="00AA50B4">
        <w:rPr>
          <w:rFonts w:ascii="Arial" w:hAnsi="Arial" w:cs="Arial"/>
          <w:sz w:val="20"/>
          <w:szCs w:val="20"/>
        </w:rPr>
        <w:t xml:space="preserve">)  </w:t>
      </w:r>
      <w:proofErr w:type="gramStart"/>
      <w:r w:rsidRPr="00AA50B4">
        <w:rPr>
          <w:rFonts w:ascii="Arial" w:hAnsi="Arial" w:cs="Arial"/>
          <w:sz w:val="20"/>
          <w:szCs w:val="20"/>
        </w:rPr>
        <w:t>at</w:t>
      </w:r>
      <w:proofErr w:type="gramEnd"/>
      <w:r w:rsidRPr="00AA50B4">
        <w:rPr>
          <w:rFonts w:ascii="Arial" w:hAnsi="Arial" w:cs="Arial"/>
          <w:sz w:val="20"/>
          <w:szCs w:val="20"/>
        </w:rPr>
        <w:t xml:space="preserve"> the rate specified in the relevant provisions of this Act;</w:t>
      </w:r>
    </w:p>
    <w:p w:rsidR="007F5CFF" w:rsidRPr="00AA50B4" w:rsidRDefault="007F5CFF" w:rsidP="007F5CFF">
      <w:pPr>
        <w:pStyle w:val="indent1a"/>
        <w:rPr>
          <w:rFonts w:ascii="Arial" w:hAnsi="Arial" w:cs="Arial"/>
          <w:sz w:val="20"/>
          <w:szCs w:val="20"/>
        </w:rPr>
      </w:pPr>
      <w:r w:rsidRPr="00AA50B4">
        <w:rPr>
          <w:rFonts w:ascii="Arial" w:hAnsi="Arial" w:cs="Arial"/>
          <w:sz w:val="20"/>
          <w:szCs w:val="20"/>
        </w:rPr>
        <w:t>(</w:t>
      </w:r>
      <w:r w:rsidRPr="00AA50B4">
        <w:rPr>
          <w:rFonts w:ascii="Arial" w:hAnsi="Arial" w:cs="Arial"/>
          <w:i/>
          <w:iCs/>
          <w:sz w:val="20"/>
          <w:szCs w:val="20"/>
        </w:rPr>
        <w:t>c</w:t>
      </w:r>
      <w:r w:rsidRPr="00AA50B4">
        <w:rPr>
          <w:rFonts w:ascii="Arial" w:hAnsi="Arial" w:cs="Arial"/>
          <w:sz w:val="20"/>
          <w:szCs w:val="20"/>
        </w:rPr>
        <w:t xml:space="preserve">)  </w:t>
      </w:r>
      <w:proofErr w:type="gramStart"/>
      <w:r w:rsidRPr="00AA50B4">
        <w:rPr>
          <w:rFonts w:ascii="Arial" w:hAnsi="Arial" w:cs="Arial"/>
          <w:sz w:val="20"/>
          <w:szCs w:val="20"/>
        </w:rPr>
        <w:t>at</w:t>
      </w:r>
      <w:proofErr w:type="gramEnd"/>
      <w:r w:rsidRPr="00AA50B4">
        <w:rPr>
          <w:rFonts w:ascii="Arial" w:hAnsi="Arial" w:cs="Arial"/>
          <w:sz w:val="20"/>
          <w:szCs w:val="20"/>
        </w:rPr>
        <w:t xml:space="preserve"> the rate of thirty per cent.</w:t>
      </w:r>
    </w:p>
    <w:p w:rsidR="007F5CFF" w:rsidRPr="00AA50B4" w:rsidRDefault="007F5CFF" w:rsidP="007F5CFF">
      <w:pPr>
        <w:pStyle w:val="tx"/>
        <w:rPr>
          <w:rFonts w:ascii="Arial" w:hAnsi="Arial" w:cs="Arial"/>
          <w:sz w:val="20"/>
          <w:szCs w:val="20"/>
        </w:rPr>
      </w:pPr>
      <w:r w:rsidRPr="00AA50B4">
        <w:rPr>
          <w:rFonts w:ascii="Arial" w:hAnsi="Arial" w:cs="Arial"/>
          <w:sz w:val="20"/>
          <w:szCs w:val="20"/>
        </w:rPr>
        <w:t>(6) In this section,—</w:t>
      </w:r>
    </w:p>
    <w:p w:rsidR="007F5CFF" w:rsidRPr="00AA50B4" w:rsidRDefault="007F5CFF" w:rsidP="007F5CFF">
      <w:pPr>
        <w:pStyle w:val="indent1"/>
        <w:rPr>
          <w:rFonts w:ascii="Arial" w:hAnsi="Arial" w:cs="Arial"/>
          <w:sz w:val="20"/>
          <w:szCs w:val="20"/>
        </w:rPr>
      </w:pPr>
      <w:r w:rsidRPr="00AA50B4">
        <w:rPr>
          <w:rFonts w:ascii="Arial" w:hAnsi="Arial" w:cs="Arial"/>
          <w:sz w:val="20"/>
          <w:szCs w:val="20"/>
        </w:rPr>
        <w:t> (</w:t>
      </w:r>
      <w:proofErr w:type="spellStart"/>
      <w:r w:rsidRPr="00AA50B4">
        <w:rPr>
          <w:rFonts w:ascii="Arial" w:hAnsi="Arial" w:cs="Arial"/>
          <w:i/>
          <w:iCs/>
          <w:sz w:val="20"/>
          <w:szCs w:val="20"/>
        </w:rPr>
        <w:t>i</w:t>
      </w:r>
      <w:proofErr w:type="spellEnd"/>
      <w:r w:rsidRPr="00AA50B4">
        <w:rPr>
          <w:rFonts w:ascii="Arial" w:hAnsi="Arial" w:cs="Arial"/>
          <w:sz w:val="20"/>
          <w:szCs w:val="20"/>
        </w:rPr>
        <w:t>)  "</w:t>
      </w:r>
      <w:proofErr w:type="gramStart"/>
      <w:r w:rsidRPr="00AA50B4">
        <w:rPr>
          <w:rFonts w:ascii="Arial" w:hAnsi="Arial" w:cs="Arial"/>
          <w:sz w:val="20"/>
          <w:szCs w:val="20"/>
        </w:rPr>
        <w:t>person</w:t>
      </w:r>
      <w:proofErr w:type="gramEnd"/>
      <w:r w:rsidRPr="00AA50B4">
        <w:rPr>
          <w:rFonts w:ascii="Arial" w:hAnsi="Arial" w:cs="Arial"/>
          <w:sz w:val="20"/>
          <w:szCs w:val="20"/>
        </w:rPr>
        <w:t xml:space="preserve"> located in a notified jurisdictional area" shall include,—</w:t>
      </w:r>
    </w:p>
    <w:p w:rsidR="007F5CFF" w:rsidRPr="00AA50B4" w:rsidRDefault="007F5CFF" w:rsidP="007F5CFF">
      <w:pPr>
        <w:pStyle w:val="indent2a"/>
        <w:rPr>
          <w:rFonts w:ascii="Arial" w:hAnsi="Arial" w:cs="Arial"/>
          <w:sz w:val="20"/>
          <w:szCs w:val="20"/>
        </w:rPr>
      </w:pPr>
      <w:r w:rsidRPr="00AA50B4">
        <w:rPr>
          <w:rFonts w:ascii="Arial" w:hAnsi="Arial" w:cs="Arial"/>
          <w:sz w:val="20"/>
          <w:szCs w:val="20"/>
        </w:rPr>
        <w:lastRenderedPageBreak/>
        <w:t>(</w:t>
      </w:r>
      <w:r w:rsidRPr="00AA50B4">
        <w:rPr>
          <w:rFonts w:ascii="Arial" w:hAnsi="Arial" w:cs="Arial"/>
          <w:i/>
          <w:iCs/>
          <w:sz w:val="20"/>
          <w:szCs w:val="20"/>
        </w:rPr>
        <w:t>a</w:t>
      </w:r>
      <w:r w:rsidRPr="00AA50B4">
        <w:rPr>
          <w:rFonts w:ascii="Arial" w:hAnsi="Arial" w:cs="Arial"/>
          <w:sz w:val="20"/>
          <w:szCs w:val="20"/>
        </w:rPr>
        <w:t xml:space="preserve">)  </w:t>
      </w:r>
      <w:proofErr w:type="gramStart"/>
      <w:r w:rsidRPr="00AA50B4">
        <w:rPr>
          <w:rFonts w:ascii="Arial" w:hAnsi="Arial" w:cs="Arial"/>
          <w:sz w:val="20"/>
          <w:szCs w:val="20"/>
        </w:rPr>
        <w:t>a</w:t>
      </w:r>
      <w:proofErr w:type="gramEnd"/>
      <w:r w:rsidRPr="00AA50B4">
        <w:rPr>
          <w:rFonts w:ascii="Arial" w:hAnsi="Arial" w:cs="Arial"/>
          <w:sz w:val="20"/>
          <w:szCs w:val="20"/>
        </w:rPr>
        <w:t xml:space="preserve"> person who is resident of the notified jurisdictional area;</w:t>
      </w:r>
    </w:p>
    <w:p w:rsidR="007F5CFF" w:rsidRPr="00AA50B4" w:rsidRDefault="007F5CFF" w:rsidP="007F5CFF">
      <w:pPr>
        <w:pStyle w:val="indent2a"/>
        <w:rPr>
          <w:rFonts w:ascii="Arial" w:hAnsi="Arial" w:cs="Arial"/>
          <w:sz w:val="20"/>
          <w:szCs w:val="20"/>
        </w:rPr>
      </w:pPr>
      <w:r w:rsidRPr="00AA50B4">
        <w:rPr>
          <w:rFonts w:ascii="Arial" w:hAnsi="Arial" w:cs="Arial"/>
          <w:sz w:val="20"/>
          <w:szCs w:val="20"/>
        </w:rPr>
        <w:t>(</w:t>
      </w:r>
      <w:r w:rsidRPr="00AA50B4">
        <w:rPr>
          <w:rFonts w:ascii="Arial" w:hAnsi="Arial" w:cs="Arial"/>
          <w:i/>
          <w:iCs/>
          <w:sz w:val="20"/>
          <w:szCs w:val="20"/>
        </w:rPr>
        <w:t>b</w:t>
      </w:r>
      <w:r w:rsidRPr="00AA50B4">
        <w:rPr>
          <w:rFonts w:ascii="Arial" w:hAnsi="Arial" w:cs="Arial"/>
          <w:sz w:val="20"/>
          <w:szCs w:val="20"/>
        </w:rPr>
        <w:t xml:space="preserve">)  </w:t>
      </w:r>
      <w:proofErr w:type="gramStart"/>
      <w:r w:rsidRPr="00AA50B4">
        <w:rPr>
          <w:rFonts w:ascii="Arial" w:hAnsi="Arial" w:cs="Arial"/>
          <w:sz w:val="20"/>
          <w:szCs w:val="20"/>
        </w:rPr>
        <w:t>a</w:t>
      </w:r>
      <w:proofErr w:type="gramEnd"/>
      <w:r w:rsidRPr="00AA50B4">
        <w:rPr>
          <w:rFonts w:ascii="Arial" w:hAnsi="Arial" w:cs="Arial"/>
          <w:sz w:val="20"/>
          <w:szCs w:val="20"/>
        </w:rPr>
        <w:t xml:space="preserve"> person, not being an individual, which is established in the notified jurisdictional area; or</w:t>
      </w:r>
    </w:p>
    <w:p w:rsidR="007F5CFF" w:rsidRPr="00AA50B4" w:rsidRDefault="007F5CFF" w:rsidP="007F5CFF">
      <w:pPr>
        <w:pStyle w:val="indent2a"/>
        <w:rPr>
          <w:rFonts w:ascii="Arial" w:hAnsi="Arial" w:cs="Arial"/>
          <w:sz w:val="20"/>
          <w:szCs w:val="20"/>
        </w:rPr>
      </w:pPr>
      <w:r w:rsidRPr="00AA50B4">
        <w:rPr>
          <w:rFonts w:ascii="Arial" w:hAnsi="Arial" w:cs="Arial"/>
          <w:sz w:val="20"/>
          <w:szCs w:val="20"/>
        </w:rPr>
        <w:t>(</w:t>
      </w:r>
      <w:r w:rsidRPr="00AA50B4">
        <w:rPr>
          <w:rFonts w:ascii="Arial" w:hAnsi="Arial" w:cs="Arial"/>
          <w:i/>
          <w:iCs/>
          <w:sz w:val="20"/>
          <w:szCs w:val="20"/>
        </w:rPr>
        <w:t>c</w:t>
      </w:r>
      <w:r w:rsidRPr="00AA50B4">
        <w:rPr>
          <w:rFonts w:ascii="Arial" w:hAnsi="Arial" w:cs="Arial"/>
          <w:sz w:val="20"/>
          <w:szCs w:val="20"/>
        </w:rPr>
        <w:t>)  a permanent establishment of a person not falling in sub-clause (</w:t>
      </w:r>
      <w:r w:rsidRPr="00AA50B4">
        <w:rPr>
          <w:rFonts w:ascii="Arial" w:hAnsi="Arial" w:cs="Arial"/>
          <w:i/>
          <w:iCs/>
          <w:sz w:val="20"/>
          <w:szCs w:val="20"/>
        </w:rPr>
        <w:t>a</w:t>
      </w:r>
      <w:r w:rsidRPr="00AA50B4">
        <w:rPr>
          <w:rFonts w:ascii="Arial" w:hAnsi="Arial" w:cs="Arial"/>
          <w:sz w:val="20"/>
          <w:szCs w:val="20"/>
        </w:rPr>
        <w:t>) or sub-clause (</w:t>
      </w:r>
      <w:r w:rsidRPr="00AA50B4">
        <w:rPr>
          <w:rFonts w:ascii="Arial" w:hAnsi="Arial" w:cs="Arial"/>
          <w:i/>
          <w:iCs/>
          <w:sz w:val="20"/>
          <w:szCs w:val="20"/>
        </w:rPr>
        <w:t>b</w:t>
      </w:r>
      <w:r w:rsidRPr="00AA50B4">
        <w:rPr>
          <w:rFonts w:ascii="Arial" w:hAnsi="Arial" w:cs="Arial"/>
          <w:sz w:val="20"/>
          <w:szCs w:val="20"/>
        </w:rPr>
        <w:t>), in the notified jurisdictional area;</w:t>
      </w:r>
    </w:p>
    <w:p w:rsidR="007F5CFF" w:rsidRPr="00AA50B4" w:rsidRDefault="007F5CFF" w:rsidP="007F5CFF">
      <w:pPr>
        <w:pStyle w:val="indent1a"/>
        <w:rPr>
          <w:rFonts w:ascii="Arial" w:hAnsi="Arial" w:cs="Arial"/>
          <w:sz w:val="20"/>
          <w:szCs w:val="20"/>
        </w:rPr>
      </w:pPr>
      <w:r w:rsidRPr="00AA50B4">
        <w:rPr>
          <w:rFonts w:ascii="Arial" w:hAnsi="Arial" w:cs="Arial"/>
          <w:sz w:val="20"/>
          <w:szCs w:val="20"/>
        </w:rPr>
        <w:t>(</w:t>
      </w:r>
      <w:r w:rsidRPr="00AA50B4">
        <w:rPr>
          <w:rFonts w:ascii="Arial" w:hAnsi="Arial" w:cs="Arial"/>
          <w:i/>
          <w:iCs/>
          <w:sz w:val="20"/>
          <w:szCs w:val="20"/>
        </w:rPr>
        <w:t>ii</w:t>
      </w:r>
      <w:r w:rsidRPr="00AA50B4">
        <w:rPr>
          <w:rFonts w:ascii="Arial" w:hAnsi="Arial" w:cs="Arial"/>
          <w:sz w:val="20"/>
          <w:szCs w:val="20"/>
        </w:rPr>
        <w:t>)  "</w:t>
      </w:r>
      <w:proofErr w:type="gramStart"/>
      <w:r w:rsidRPr="00AA50B4">
        <w:rPr>
          <w:rFonts w:ascii="Arial" w:hAnsi="Arial" w:cs="Arial"/>
          <w:sz w:val="20"/>
          <w:szCs w:val="20"/>
        </w:rPr>
        <w:t>permanent</w:t>
      </w:r>
      <w:proofErr w:type="gramEnd"/>
      <w:r w:rsidRPr="00AA50B4">
        <w:rPr>
          <w:rFonts w:ascii="Arial" w:hAnsi="Arial" w:cs="Arial"/>
          <w:sz w:val="20"/>
          <w:szCs w:val="20"/>
        </w:rPr>
        <w:t xml:space="preserve"> establishment" shall have the same meaning as defined in clause (</w:t>
      </w:r>
      <w:proofErr w:type="spellStart"/>
      <w:r w:rsidRPr="00AA50B4">
        <w:rPr>
          <w:rFonts w:ascii="Arial" w:hAnsi="Arial" w:cs="Arial"/>
          <w:i/>
          <w:iCs/>
          <w:sz w:val="20"/>
          <w:szCs w:val="20"/>
        </w:rPr>
        <w:t>iiia</w:t>
      </w:r>
      <w:proofErr w:type="spellEnd"/>
      <w:r w:rsidRPr="00AA50B4">
        <w:rPr>
          <w:rFonts w:ascii="Arial" w:hAnsi="Arial" w:cs="Arial"/>
          <w:sz w:val="20"/>
          <w:szCs w:val="20"/>
        </w:rPr>
        <w:t xml:space="preserve">) of </w:t>
      </w:r>
      <w:hyperlink r:id="rId15" w:tgtFrame="top" w:history="1">
        <w:r w:rsidRPr="00AA50B4">
          <w:rPr>
            <w:rStyle w:val="Hyperlink"/>
            <w:rFonts w:ascii="Arial" w:hAnsi="Arial" w:cs="Arial"/>
            <w:sz w:val="20"/>
            <w:szCs w:val="20"/>
          </w:rPr>
          <w:t>section 92F</w:t>
        </w:r>
      </w:hyperlink>
      <w:r w:rsidRPr="00AA50B4">
        <w:rPr>
          <w:rFonts w:ascii="Arial" w:hAnsi="Arial" w:cs="Arial"/>
          <w:sz w:val="20"/>
          <w:szCs w:val="20"/>
        </w:rPr>
        <w:t>;</w:t>
      </w:r>
    </w:p>
    <w:p w:rsidR="007F5CFF" w:rsidRPr="00AA50B4" w:rsidRDefault="007F5CFF" w:rsidP="007F5CFF">
      <w:pPr>
        <w:pStyle w:val="indent1a"/>
        <w:ind w:hanging="454"/>
        <w:rPr>
          <w:rFonts w:ascii="Arial" w:hAnsi="Arial" w:cs="Arial"/>
          <w:sz w:val="20"/>
          <w:szCs w:val="20"/>
        </w:rPr>
      </w:pPr>
      <w:r w:rsidRPr="00AA50B4">
        <w:rPr>
          <w:rFonts w:ascii="Arial" w:hAnsi="Arial" w:cs="Arial"/>
          <w:sz w:val="20"/>
          <w:szCs w:val="20"/>
        </w:rPr>
        <w:t>(</w:t>
      </w:r>
      <w:r w:rsidRPr="00AA50B4">
        <w:rPr>
          <w:rFonts w:ascii="Arial" w:hAnsi="Arial" w:cs="Arial"/>
          <w:i/>
          <w:iCs/>
          <w:sz w:val="20"/>
          <w:szCs w:val="20"/>
        </w:rPr>
        <w:t>iii</w:t>
      </w:r>
      <w:r w:rsidRPr="00AA50B4">
        <w:rPr>
          <w:rFonts w:ascii="Arial" w:hAnsi="Arial" w:cs="Arial"/>
          <w:sz w:val="20"/>
          <w:szCs w:val="20"/>
        </w:rPr>
        <w:t>)</w:t>
      </w:r>
      <w:proofErr w:type="gramStart"/>
      <w:r w:rsidRPr="00AA50B4">
        <w:rPr>
          <w:rFonts w:ascii="Arial" w:hAnsi="Arial" w:cs="Arial"/>
          <w:sz w:val="20"/>
          <w:szCs w:val="20"/>
        </w:rPr>
        <w:t>  "</w:t>
      </w:r>
      <w:proofErr w:type="gramEnd"/>
      <w:r w:rsidRPr="00AA50B4">
        <w:rPr>
          <w:rFonts w:ascii="Arial" w:hAnsi="Arial" w:cs="Arial"/>
          <w:sz w:val="20"/>
          <w:szCs w:val="20"/>
        </w:rPr>
        <w:t>transaction" shall have the same meaning as defined in clause (</w:t>
      </w:r>
      <w:r w:rsidRPr="00AA50B4">
        <w:rPr>
          <w:rFonts w:ascii="Arial" w:hAnsi="Arial" w:cs="Arial"/>
          <w:i/>
          <w:iCs/>
          <w:sz w:val="20"/>
          <w:szCs w:val="20"/>
        </w:rPr>
        <w:t>v</w:t>
      </w:r>
      <w:r w:rsidRPr="00AA50B4">
        <w:rPr>
          <w:rFonts w:ascii="Arial" w:hAnsi="Arial" w:cs="Arial"/>
          <w:sz w:val="20"/>
          <w:szCs w:val="20"/>
        </w:rPr>
        <w:t xml:space="preserve">) of </w:t>
      </w:r>
      <w:hyperlink r:id="rId16" w:tgtFrame="top" w:history="1">
        <w:r w:rsidRPr="00AA50B4">
          <w:rPr>
            <w:rStyle w:val="Hyperlink"/>
            <w:rFonts w:ascii="Arial" w:hAnsi="Arial" w:cs="Arial"/>
            <w:sz w:val="20"/>
            <w:szCs w:val="20"/>
          </w:rPr>
          <w:t>section 92F</w:t>
        </w:r>
      </w:hyperlink>
      <w:r w:rsidRPr="00AA50B4">
        <w:rPr>
          <w:rFonts w:ascii="Arial" w:hAnsi="Arial" w:cs="Arial"/>
          <w:sz w:val="20"/>
          <w:szCs w:val="20"/>
        </w:rPr>
        <w:t>.]</w:t>
      </w:r>
    </w:p>
    <w:p w:rsidR="000D3AE0" w:rsidRPr="00AA50B4" w:rsidRDefault="000D3AE0">
      <w:pPr>
        <w:rPr>
          <w:rFonts w:cs="Arial"/>
          <w:szCs w:val="20"/>
        </w:rPr>
      </w:pPr>
    </w:p>
    <w:p w:rsidR="00AA50B4" w:rsidRPr="00AA50B4" w:rsidRDefault="00AA50B4">
      <w:pPr>
        <w:rPr>
          <w:rFonts w:cs="Arial"/>
          <w:szCs w:val="20"/>
        </w:rPr>
      </w:pPr>
    </w:p>
    <w:p w:rsidR="00AA50B4" w:rsidRPr="00AA50B4" w:rsidRDefault="00AA50B4">
      <w:pPr>
        <w:rPr>
          <w:rFonts w:cs="Arial"/>
          <w:szCs w:val="20"/>
        </w:rPr>
      </w:pPr>
    </w:p>
    <w:p w:rsidR="00AA50B4" w:rsidRPr="00AA50B4" w:rsidRDefault="00AA50B4">
      <w:pPr>
        <w:rPr>
          <w:rFonts w:cs="Arial"/>
          <w:szCs w:val="20"/>
        </w:rPr>
      </w:pPr>
    </w:p>
    <w:p w:rsidR="00AA50B4" w:rsidRPr="00AA50B4" w:rsidRDefault="00AA50B4">
      <w:pPr>
        <w:rPr>
          <w:rFonts w:cs="Arial"/>
          <w:szCs w:val="20"/>
        </w:rPr>
      </w:pPr>
    </w:p>
    <w:p w:rsidR="00AA50B4" w:rsidRPr="00AA50B4" w:rsidRDefault="00AA50B4">
      <w:pPr>
        <w:rPr>
          <w:rFonts w:cs="Arial"/>
          <w:szCs w:val="20"/>
        </w:rPr>
      </w:pPr>
    </w:p>
    <w:p w:rsidR="00AA50B4" w:rsidRPr="00AA50B4" w:rsidRDefault="00AA50B4">
      <w:pPr>
        <w:rPr>
          <w:rFonts w:cs="Arial"/>
          <w:szCs w:val="20"/>
        </w:rPr>
      </w:pPr>
    </w:p>
    <w:p w:rsidR="00AA50B4" w:rsidRPr="00AA50B4" w:rsidRDefault="00AA50B4">
      <w:pPr>
        <w:rPr>
          <w:rFonts w:cs="Arial"/>
          <w:szCs w:val="20"/>
        </w:rPr>
      </w:pPr>
    </w:p>
    <w:p w:rsidR="00AA50B4" w:rsidRPr="00AA50B4" w:rsidRDefault="00AA50B4">
      <w:pPr>
        <w:rPr>
          <w:rFonts w:cs="Arial"/>
          <w:szCs w:val="20"/>
        </w:rPr>
      </w:pPr>
    </w:p>
    <w:p w:rsidR="00AA50B4" w:rsidRPr="00AA50B4" w:rsidRDefault="00AA50B4">
      <w:pPr>
        <w:rPr>
          <w:rFonts w:cs="Arial"/>
          <w:szCs w:val="20"/>
        </w:rPr>
      </w:pPr>
    </w:p>
    <w:p w:rsidR="00AA50B4" w:rsidRPr="00AA50B4" w:rsidRDefault="00AA50B4">
      <w:pPr>
        <w:rPr>
          <w:rFonts w:cs="Arial"/>
          <w:szCs w:val="20"/>
        </w:rPr>
      </w:pPr>
    </w:p>
    <w:p w:rsidR="00AA50B4" w:rsidRPr="00AA50B4" w:rsidRDefault="00AA50B4">
      <w:pPr>
        <w:rPr>
          <w:rFonts w:cs="Arial"/>
          <w:szCs w:val="20"/>
        </w:rPr>
      </w:pPr>
    </w:p>
    <w:p w:rsidR="00AA50B4" w:rsidRPr="00AA50B4" w:rsidRDefault="00AA50B4">
      <w:pPr>
        <w:rPr>
          <w:rFonts w:cs="Arial"/>
          <w:szCs w:val="20"/>
        </w:rPr>
      </w:pPr>
    </w:p>
    <w:p w:rsidR="00AA50B4" w:rsidRPr="00AA50B4" w:rsidRDefault="00AA50B4">
      <w:pPr>
        <w:rPr>
          <w:rFonts w:cs="Arial"/>
          <w:szCs w:val="20"/>
        </w:rPr>
      </w:pPr>
    </w:p>
    <w:p w:rsidR="00AA50B4" w:rsidRPr="00AA50B4" w:rsidRDefault="00AA50B4">
      <w:pPr>
        <w:rPr>
          <w:rFonts w:cs="Arial"/>
          <w:szCs w:val="20"/>
        </w:rPr>
      </w:pPr>
    </w:p>
    <w:p w:rsidR="00AA50B4" w:rsidRPr="00AA50B4" w:rsidRDefault="00AA50B4">
      <w:pPr>
        <w:rPr>
          <w:rFonts w:cs="Arial"/>
          <w:szCs w:val="20"/>
        </w:rPr>
      </w:pPr>
    </w:p>
    <w:p w:rsidR="00AA50B4" w:rsidRPr="00AA50B4" w:rsidRDefault="00AA50B4">
      <w:pPr>
        <w:rPr>
          <w:rFonts w:cs="Arial"/>
          <w:szCs w:val="20"/>
        </w:rPr>
      </w:pPr>
    </w:p>
    <w:p w:rsidR="00AA50B4" w:rsidRPr="00AA50B4" w:rsidRDefault="00AA50B4">
      <w:pPr>
        <w:rPr>
          <w:rFonts w:cs="Arial"/>
          <w:szCs w:val="20"/>
        </w:rPr>
      </w:pPr>
    </w:p>
    <w:p w:rsidR="00AA50B4" w:rsidRPr="00AA50B4" w:rsidRDefault="00AA50B4">
      <w:pPr>
        <w:rPr>
          <w:rFonts w:cs="Arial"/>
          <w:szCs w:val="20"/>
        </w:rPr>
      </w:pPr>
    </w:p>
    <w:p w:rsidR="00AA50B4" w:rsidRPr="00AA50B4" w:rsidRDefault="00AA50B4">
      <w:pPr>
        <w:rPr>
          <w:rFonts w:cs="Arial"/>
          <w:szCs w:val="20"/>
        </w:rPr>
      </w:pPr>
    </w:p>
    <w:p w:rsidR="00AA50B4" w:rsidRPr="00AA50B4" w:rsidRDefault="00AA50B4">
      <w:pPr>
        <w:rPr>
          <w:rFonts w:cs="Arial"/>
          <w:szCs w:val="20"/>
        </w:rPr>
      </w:pPr>
    </w:p>
    <w:p w:rsidR="00AA50B4" w:rsidRPr="00AA50B4" w:rsidRDefault="00AA50B4">
      <w:pPr>
        <w:rPr>
          <w:rFonts w:cs="Arial"/>
          <w:szCs w:val="20"/>
        </w:rPr>
      </w:pPr>
    </w:p>
    <w:p w:rsidR="00AA50B4" w:rsidRPr="00AA50B4" w:rsidRDefault="00AA50B4" w:rsidP="00AA50B4">
      <w:pPr>
        <w:pStyle w:val="NormalWeb"/>
        <w:shd w:val="clear" w:color="auto" w:fill="FFFFFF"/>
        <w:spacing w:before="0" w:beforeAutospacing="0" w:after="324" w:afterAutospacing="0"/>
        <w:jc w:val="both"/>
        <w:rPr>
          <w:rFonts w:ascii="Arial" w:hAnsi="Arial" w:cs="Arial"/>
          <w:color w:val="373737"/>
          <w:sz w:val="20"/>
          <w:szCs w:val="20"/>
        </w:rPr>
      </w:pPr>
    </w:p>
    <w:p w:rsidR="00AA50B4" w:rsidRPr="00AA50B4" w:rsidRDefault="00AA50B4">
      <w:pPr>
        <w:rPr>
          <w:rFonts w:cs="Arial"/>
          <w:szCs w:val="20"/>
        </w:rPr>
      </w:pPr>
    </w:p>
    <w:sectPr w:rsidR="00AA50B4" w:rsidRPr="00AA50B4" w:rsidSect="000D3AE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F5CFF"/>
    <w:rsid w:val="000D3AE0"/>
    <w:rsid w:val="00324783"/>
    <w:rsid w:val="007F5CFF"/>
    <w:rsid w:val="009D215C"/>
    <w:rsid w:val="00AA50B4"/>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AE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x">
    <w:name w:val="tx"/>
    <w:basedOn w:val="Normal"/>
    <w:rsid w:val="007F5CFF"/>
    <w:pPr>
      <w:spacing w:before="100" w:beforeAutospacing="1" w:after="80" w:line="240" w:lineRule="auto"/>
      <w:jc w:val="both"/>
    </w:pPr>
    <w:rPr>
      <w:rFonts w:ascii="Times New Roman" w:eastAsia="Times New Roman" w:hAnsi="Times New Roman" w:cs="Times New Roman"/>
      <w:sz w:val="24"/>
      <w:szCs w:val="24"/>
      <w:lang w:eastAsia="en-IN"/>
    </w:rPr>
  </w:style>
  <w:style w:type="paragraph" w:customStyle="1" w:styleId="indent1">
    <w:name w:val="indent1"/>
    <w:basedOn w:val="Normal"/>
    <w:rsid w:val="007F5CFF"/>
    <w:pPr>
      <w:spacing w:before="100" w:beforeAutospacing="1" w:after="80" w:line="240" w:lineRule="auto"/>
      <w:ind w:left="567" w:hanging="397"/>
      <w:jc w:val="both"/>
    </w:pPr>
    <w:rPr>
      <w:rFonts w:ascii="Times New Roman" w:eastAsia="Times New Roman" w:hAnsi="Times New Roman" w:cs="Times New Roman"/>
      <w:sz w:val="24"/>
      <w:szCs w:val="24"/>
      <w:lang w:eastAsia="en-IN"/>
    </w:rPr>
  </w:style>
  <w:style w:type="paragraph" w:customStyle="1" w:styleId="indent1a">
    <w:name w:val="indent1a"/>
    <w:basedOn w:val="Normal"/>
    <w:rsid w:val="007F5CFF"/>
    <w:pPr>
      <w:spacing w:before="100" w:beforeAutospacing="1" w:after="80" w:line="240" w:lineRule="auto"/>
      <w:ind w:left="794" w:hanging="397"/>
      <w:jc w:val="both"/>
    </w:pPr>
    <w:rPr>
      <w:rFonts w:ascii="Times New Roman" w:eastAsia="Times New Roman" w:hAnsi="Times New Roman" w:cs="Times New Roman"/>
      <w:sz w:val="24"/>
      <w:szCs w:val="24"/>
      <w:lang w:eastAsia="en-IN"/>
    </w:rPr>
  </w:style>
  <w:style w:type="paragraph" w:customStyle="1" w:styleId="indent2a">
    <w:name w:val="indent2a"/>
    <w:basedOn w:val="Normal"/>
    <w:rsid w:val="007F5CFF"/>
    <w:pPr>
      <w:spacing w:before="100" w:beforeAutospacing="1" w:after="80" w:line="240" w:lineRule="auto"/>
      <w:ind w:left="1361" w:hanging="397"/>
      <w:jc w:val="both"/>
    </w:pPr>
    <w:rPr>
      <w:rFonts w:ascii="Times New Roman" w:eastAsia="Times New Roman" w:hAnsi="Times New Roman" w:cs="Times New Roman"/>
      <w:sz w:val="24"/>
      <w:szCs w:val="24"/>
      <w:lang w:eastAsia="en-IN"/>
    </w:rPr>
  </w:style>
  <w:style w:type="character" w:styleId="Hyperlink">
    <w:name w:val="Hyperlink"/>
    <w:basedOn w:val="DefaultParagraphFont"/>
    <w:uiPriority w:val="99"/>
    <w:semiHidden/>
    <w:unhideWhenUsed/>
    <w:rsid w:val="007F5CFF"/>
    <w:rPr>
      <w:color w:val="0000FF"/>
      <w:u w:val="single"/>
    </w:rPr>
  </w:style>
  <w:style w:type="paragraph" w:customStyle="1" w:styleId="ecxmsoplaintext">
    <w:name w:val="ecxmsoplaintext"/>
    <w:basedOn w:val="Normal"/>
    <w:rsid w:val="00AA50B4"/>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pple-converted-space">
    <w:name w:val="apple-converted-space"/>
    <w:basedOn w:val="DefaultParagraphFont"/>
    <w:rsid w:val="00AA50B4"/>
  </w:style>
  <w:style w:type="paragraph" w:styleId="NormalWeb">
    <w:name w:val="Normal (Web)"/>
    <w:basedOn w:val="Normal"/>
    <w:uiPriority w:val="99"/>
    <w:semiHidden/>
    <w:unhideWhenUsed/>
    <w:rsid w:val="00AA50B4"/>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r="http://schemas.openxmlformats.org/officeDocument/2006/relationships" xmlns:w="http://schemas.openxmlformats.org/wordprocessingml/2006/main">
  <w:divs>
    <w:div w:id="943652960">
      <w:bodyDiv w:val="1"/>
      <w:marLeft w:val="0"/>
      <w:marRight w:val="0"/>
      <w:marTop w:val="0"/>
      <w:marBottom w:val="0"/>
      <w:divBdr>
        <w:top w:val="none" w:sz="0" w:space="0" w:color="auto"/>
        <w:left w:val="none" w:sz="0" w:space="0" w:color="auto"/>
        <w:bottom w:val="none" w:sz="0" w:space="0" w:color="auto"/>
        <w:right w:val="none" w:sz="0" w:space="0" w:color="auto"/>
      </w:divBdr>
      <w:divsChild>
        <w:div w:id="820121602">
          <w:marLeft w:val="0"/>
          <w:marRight w:val="0"/>
          <w:marTop w:val="0"/>
          <w:marBottom w:val="0"/>
          <w:divBdr>
            <w:top w:val="none" w:sz="0" w:space="0" w:color="auto"/>
            <w:left w:val="none" w:sz="0" w:space="0" w:color="auto"/>
            <w:bottom w:val="none" w:sz="0" w:space="0" w:color="auto"/>
            <w:right w:val="none" w:sz="0" w:space="0" w:color="auto"/>
          </w:divBdr>
        </w:div>
      </w:divsChild>
    </w:div>
    <w:div w:id="1363628543">
      <w:bodyDiv w:val="1"/>
      <w:marLeft w:val="0"/>
      <w:marRight w:val="0"/>
      <w:marTop w:val="0"/>
      <w:marBottom w:val="0"/>
      <w:divBdr>
        <w:top w:val="none" w:sz="0" w:space="0" w:color="auto"/>
        <w:left w:val="none" w:sz="0" w:space="0" w:color="auto"/>
        <w:bottom w:val="none" w:sz="0" w:space="0" w:color="auto"/>
        <w:right w:val="none" w:sz="0" w:space="0" w:color="auto"/>
      </w:divBdr>
      <w:divsChild>
        <w:div w:id="711272015">
          <w:marLeft w:val="0"/>
          <w:marRight w:val="0"/>
          <w:marTop w:val="0"/>
          <w:marBottom w:val="0"/>
          <w:divBdr>
            <w:top w:val="none" w:sz="0" w:space="0" w:color="auto"/>
            <w:left w:val="none" w:sz="0" w:space="0" w:color="auto"/>
            <w:bottom w:val="none" w:sz="0" w:space="0" w:color="auto"/>
            <w:right w:val="none" w:sz="0" w:space="0" w:color="auto"/>
          </w:divBdr>
          <w:divsChild>
            <w:div w:id="503397031">
              <w:marLeft w:val="0"/>
              <w:marRight w:val="0"/>
              <w:marTop w:val="0"/>
              <w:marBottom w:val="0"/>
              <w:divBdr>
                <w:top w:val="none" w:sz="0" w:space="0" w:color="auto"/>
                <w:left w:val="none" w:sz="0" w:space="0" w:color="auto"/>
                <w:bottom w:val="none" w:sz="0" w:space="0" w:color="auto"/>
                <w:right w:val="none" w:sz="0" w:space="0" w:color="auto"/>
              </w:divBdr>
              <w:divsChild>
                <w:div w:id="124854608">
                  <w:marLeft w:val="0"/>
                  <w:marRight w:val="0"/>
                  <w:marTop w:val="0"/>
                  <w:marBottom w:val="0"/>
                  <w:divBdr>
                    <w:top w:val="none" w:sz="0" w:space="0" w:color="auto"/>
                    <w:left w:val="none" w:sz="0" w:space="0" w:color="auto"/>
                    <w:bottom w:val="none" w:sz="0" w:space="0" w:color="auto"/>
                    <w:right w:val="none" w:sz="0" w:space="0" w:color="auto"/>
                  </w:divBdr>
                  <w:divsChild>
                    <w:div w:id="1474565642">
                      <w:marLeft w:val="0"/>
                      <w:marRight w:val="0"/>
                      <w:marTop w:val="0"/>
                      <w:marBottom w:val="0"/>
                      <w:divBdr>
                        <w:top w:val="none" w:sz="0" w:space="0" w:color="auto"/>
                        <w:left w:val="none" w:sz="0" w:space="0" w:color="auto"/>
                        <w:bottom w:val="none" w:sz="0" w:space="0" w:color="auto"/>
                        <w:right w:val="none" w:sz="0" w:space="0" w:color="auto"/>
                      </w:divBdr>
                      <w:divsChild>
                        <w:div w:id="472647833">
                          <w:marLeft w:val="0"/>
                          <w:marRight w:val="0"/>
                          <w:marTop w:val="0"/>
                          <w:marBottom w:val="0"/>
                          <w:divBdr>
                            <w:top w:val="none" w:sz="0" w:space="0" w:color="auto"/>
                            <w:left w:val="none" w:sz="0" w:space="0" w:color="auto"/>
                            <w:bottom w:val="none" w:sz="0" w:space="0" w:color="auto"/>
                            <w:right w:val="none" w:sz="0" w:space="0" w:color="auto"/>
                          </w:divBdr>
                          <w:divsChild>
                            <w:div w:id="932319951">
                              <w:marLeft w:val="0"/>
                              <w:marRight w:val="300"/>
                              <w:marTop w:val="0"/>
                              <w:marBottom w:val="0"/>
                              <w:divBdr>
                                <w:top w:val="none" w:sz="0" w:space="0" w:color="auto"/>
                                <w:left w:val="none" w:sz="0" w:space="0" w:color="auto"/>
                                <w:bottom w:val="none" w:sz="0" w:space="0" w:color="auto"/>
                                <w:right w:val="none" w:sz="0" w:space="0" w:color="auto"/>
                              </w:divBdr>
                              <w:divsChild>
                                <w:div w:id="2135980022">
                                  <w:marLeft w:val="0"/>
                                  <w:marRight w:val="0"/>
                                  <w:marTop w:val="0"/>
                                  <w:marBottom w:val="0"/>
                                  <w:divBdr>
                                    <w:top w:val="none" w:sz="0" w:space="0" w:color="auto"/>
                                    <w:left w:val="none" w:sz="0" w:space="0" w:color="auto"/>
                                    <w:bottom w:val="none" w:sz="0" w:space="0" w:color="auto"/>
                                    <w:right w:val="none" w:sz="0" w:space="0" w:color="auto"/>
                                  </w:divBdr>
                                  <w:divsChild>
                                    <w:div w:id="56318255">
                                      <w:marLeft w:val="0"/>
                                      <w:marRight w:val="0"/>
                                      <w:marTop w:val="0"/>
                                      <w:marBottom w:val="0"/>
                                      <w:divBdr>
                                        <w:top w:val="none" w:sz="0" w:space="0" w:color="auto"/>
                                        <w:left w:val="none" w:sz="0" w:space="0" w:color="auto"/>
                                        <w:bottom w:val="none" w:sz="0" w:space="0" w:color="auto"/>
                                        <w:right w:val="none" w:sz="0" w:space="0" w:color="auto"/>
                                      </w:divBdr>
                                      <w:divsChild>
                                        <w:div w:id="87890706">
                                          <w:marLeft w:val="0"/>
                                          <w:marRight w:val="0"/>
                                          <w:marTop w:val="0"/>
                                          <w:marBottom w:val="0"/>
                                          <w:divBdr>
                                            <w:top w:val="none" w:sz="0" w:space="0" w:color="auto"/>
                                            <w:left w:val="none" w:sz="0" w:space="0" w:color="auto"/>
                                            <w:bottom w:val="none" w:sz="0" w:space="0" w:color="auto"/>
                                            <w:right w:val="none" w:sz="0" w:space="0" w:color="auto"/>
                                          </w:divBdr>
                                          <w:divsChild>
                                            <w:div w:id="2003197351">
                                              <w:marLeft w:val="0"/>
                                              <w:marRight w:val="0"/>
                                              <w:marTop w:val="0"/>
                                              <w:marBottom w:val="360"/>
                                              <w:divBdr>
                                                <w:top w:val="single" w:sz="6" w:space="0" w:color="CCCCCC"/>
                                                <w:left w:val="none" w:sz="0" w:space="0" w:color="auto"/>
                                                <w:bottom w:val="none" w:sz="0" w:space="0" w:color="auto"/>
                                                <w:right w:val="none" w:sz="0" w:space="0" w:color="auto"/>
                                              </w:divBdr>
                                              <w:divsChild>
                                                <w:div w:id="838618380">
                                                  <w:marLeft w:val="0"/>
                                                  <w:marRight w:val="0"/>
                                                  <w:marTop w:val="0"/>
                                                  <w:marBottom w:val="0"/>
                                                  <w:divBdr>
                                                    <w:top w:val="none" w:sz="0" w:space="0" w:color="auto"/>
                                                    <w:left w:val="none" w:sz="0" w:space="0" w:color="auto"/>
                                                    <w:bottom w:val="none" w:sz="0" w:space="0" w:color="auto"/>
                                                    <w:right w:val="none" w:sz="0" w:space="0" w:color="auto"/>
                                                  </w:divBdr>
                                                  <w:divsChild>
                                                    <w:div w:id="1709406795">
                                                      <w:marLeft w:val="0"/>
                                                      <w:marRight w:val="0"/>
                                                      <w:marTop w:val="0"/>
                                                      <w:marBottom w:val="0"/>
                                                      <w:divBdr>
                                                        <w:top w:val="none" w:sz="0" w:space="0" w:color="auto"/>
                                                        <w:left w:val="none" w:sz="0" w:space="0" w:color="auto"/>
                                                        <w:bottom w:val="none" w:sz="0" w:space="0" w:color="auto"/>
                                                        <w:right w:val="none" w:sz="0" w:space="0" w:color="auto"/>
                                                      </w:divBdr>
                                                      <w:divsChild>
                                                        <w:div w:id="826165342">
                                                          <w:marLeft w:val="0"/>
                                                          <w:marRight w:val="0"/>
                                                          <w:marTop w:val="0"/>
                                                          <w:marBottom w:val="0"/>
                                                          <w:divBdr>
                                                            <w:top w:val="none" w:sz="0" w:space="0" w:color="auto"/>
                                                            <w:left w:val="none" w:sz="0" w:space="0" w:color="auto"/>
                                                            <w:bottom w:val="none" w:sz="0" w:space="0" w:color="auto"/>
                                                            <w:right w:val="none" w:sz="0" w:space="0" w:color="auto"/>
                                                          </w:divBdr>
                                                          <w:divsChild>
                                                            <w:div w:id="789320887">
                                                              <w:marLeft w:val="0"/>
                                                              <w:marRight w:val="0"/>
                                                              <w:marTop w:val="0"/>
                                                              <w:marBottom w:val="0"/>
                                                              <w:divBdr>
                                                                <w:top w:val="none" w:sz="0" w:space="0" w:color="auto"/>
                                                                <w:left w:val="none" w:sz="0" w:space="0" w:color="auto"/>
                                                                <w:bottom w:val="none" w:sz="0" w:space="0" w:color="auto"/>
                                                                <w:right w:val="none" w:sz="0" w:space="0" w:color="auto"/>
                                                              </w:divBdr>
                                                              <w:divsChild>
                                                                <w:div w:id="1566527998">
                                                                  <w:marLeft w:val="0"/>
                                                                  <w:marRight w:val="0"/>
                                                                  <w:marTop w:val="0"/>
                                                                  <w:marBottom w:val="0"/>
                                                                  <w:divBdr>
                                                                    <w:top w:val="none" w:sz="0" w:space="0" w:color="auto"/>
                                                                    <w:left w:val="none" w:sz="0" w:space="0" w:color="auto"/>
                                                                    <w:bottom w:val="none" w:sz="0" w:space="0" w:color="auto"/>
                                                                    <w:right w:val="none" w:sz="0" w:space="0" w:color="auto"/>
                                                                  </w:divBdr>
                                                                  <w:divsChild>
                                                                    <w:div w:id="1038549425">
                                                                      <w:marLeft w:val="0"/>
                                                                      <w:marRight w:val="0"/>
                                                                      <w:marTop w:val="0"/>
                                                                      <w:marBottom w:val="0"/>
                                                                      <w:divBdr>
                                                                        <w:top w:val="none" w:sz="0" w:space="0" w:color="auto"/>
                                                                        <w:left w:val="none" w:sz="0" w:space="0" w:color="auto"/>
                                                                        <w:bottom w:val="none" w:sz="0" w:space="0" w:color="auto"/>
                                                                        <w:right w:val="none" w:sz="0" w:space="0" w:color="auto"/>
                                                                      </w:divBdr>
                                                                      <w:divsChild>
                                                                        <w:div w:id="131214330">
                                                                          <w:marLeft w:val="0"/>
                                                                          <w:marRight w:val="0"/>
                                                                          <w:marTop w:val="0"/>
                                                                          <w:marBottom w:val="0"/>
                                                                          <w:divBdr>
                                                                            <w:top w:val="none" w:sz="0" w:space="0" w:color="auto"/>
                                                                            <w:left w:val="none" w:sz="0" w:space="0" w:color="auto"/>
                                                                            <w:bottom w:val="none" w:sz="0" w:space="0" w:color="auto"/>
                                                                            <w:right w:val="none" w:sz="0" w:space="0" w:color="auto"/>
                                                                          </w:divBdr>
                                                                          <w:divsChild>
                                                                            <w:div w:id="97571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aw.incometaxindia.gov.in/DIT/HtmlFileProcess.aspx?FooterPath=D:\WebSites\DITTaxmann\Act2010\DirectTaxLaws\ITACT\HTMLFiles\2013&amp;DFile=section92b.htm&amp;tar=top" TargetMode="External"/><Relationship Id="rId13" Type="http://schemas.openxmlformats.org/officeDocument/2006/relationships/hyperlink" Target="http://law.incometaxindia.gov.in/DIT/HtmlFileProcess.aspx?FooterPath=D:\WebSites\DITTaxmann\Act2010\DirectTaxLaws\ITACT\HTMLFiles\2013&amp;DFile=section92e.htm&amp;tar=top"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law.incometaxindia.gov.in/DIT/HtmlFileProcess.aspx?FooterPath=D:\WebSites\DITTaxmann\Act2010\DirectTaxLaws\ITACT\HTMLFiles\2013&amp;DFile=section92a.htm&amp;tar=top" TargetMode="External"/><Relationship Id="rId12" Type="http://schemas.openxmlformats.org/officeDocument/2006/relationships/hyperlink" Target="http://law.incometaxindia.gov.in/DIT/HtmlFileProcess.aspx?FooterPath=D:\WebSites\DITTaxmann\Act2010\DirectTaxLaws\ITACT\HTMLFiles\2013&amp;DFile=section92d.htm&amp;tar=top"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law.incometaxindia.gov.in/DIT/HtmlFileProcess.aspx?FooterPath=D:\WebSites\DITTaxmann\Act2010\DirectTaxLaws\ITACT\HTMLFiles\2013&amp;DFile=section92f.htm&amp;tar=top" TargetMode="External"/><Relationship Id="rId1" Type="http://schemas.openxmlformats.org/officeDocument/2006/relationships/styles" Target="styles.xml"/><Relationship Id="rId6" Type="http://schemas.openxmlformats.org/officeDocument/2006/relationships/hyperlink" Target="http://law.incometaxindia.gov.in/DIT/HtmlFileProcess.aspx?FooterPath=D:\WebSites\DITTaxmann\Act2010\DirectTaxLaws\ITACT\HTMLFiles\2013&amp;DFile=section92.htm&amp;tar=top" TargetMode="External"/><Relationship Id="rId11" Type="http://schemas.openxmlformats.org/officeDocument/2006/relationships/hyperlink" Target="http://law.incometaxindia.gov.in/DIT/HtmlFileProcess.aspx?FooterPath=D:\WebSites\DITTaxmann\Act2010\DirectTaxLaws\ITACT\HTMLFiles\2013&amp;DFile=section92cb.htm&amp;tar=top" TargetMode="External"/><Relationship Id="rId5" Type="http://schemas.openxmlformats.org/officeDocument/2006/relationships/hyperlink" Target="http://law.incometaxindia.gov.in/DIT/HtmlFileProcess.aspx?FooterPath=D:\WebSites\DITTaxmann\Act2010\DirectTaxLaws\ITACT\HTMLFiles\2013&amp;DFile=section92b.htm&amp;tar=top" TargetMode="External"/><Relationship Id="rId15" Type="http://schemas.openxmlformats.org/officeDocument/2006/relationships/hyperlink" Target="http://law.incometaxindia.gov.in/DIT/HtmlFileProcess.aspx?FooterPath=D:\WebSites\DITTaxmann\Act2010\DirectTaxLaws\ITACT\HTMLFiles\2013&amp;DFile=section92f.htm&amp;tar=top" TargetMode="External"/><Relationship Id="rId10" Type="http://schemas.openxmlformats.org/officeDocument/2006/relationships/hyperlink" Target="http://law.incometaxindia.gov.in/DIT/HtmlFileProcess.aspx?FooterPath=D:\WebSites\DITTaxmann\Act2010\DirectTaxLaws\ITACT\HTMLFiles\2013&amp;DFile=section92ca.htm&amp;tar=top" TargetMode="External"/><Relationship Id="rId4" Type="http://schemas.openxmlformats.org/officeDocument/2006/relationships/hyperlink" Target="http://law.incometaxindia.gov.in/DIT/HtmlFileProcess.aspx?FooterPath=D:\WebSites\DITTaxmann\Act2010\DirectTaxLaws\ITACT\HTMLFiles\2013&amp;DFile=section92a.htm&amp;tar=top" TargetMode="External"/><Relationship Id="rId9" Type="http://schemas.openxmlformats.org/officeDocument/2006/relationships/hyperlink" Target="http://law.incometaxindia.gov.in/DIT/HtmlFileProcess.aspx?FooterPath=D:\WebSites\DITTaxmann\Act2010\DirectTaxLaws\ITACT\HTMLFiles\2013&amp;DFile=section92c.htm&amp;tar=top" TargetMode="External"/><Relationship Id="rId14" Type="http://schemas.openxmlformats.org/officeDocument/2006/relationships/hyperlink" Target="http://law.incometaxindia.gov.in/DIT/HtmlFileProcess.aspx?FooterPath=D:\WebSites\DITTaxmann\Act2010\DirectTaxLaws\ITACT\HTMLFiles\2013&amp;DFile=section92f.htm&amp;tar=to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4</Pages>
  <Words>1347</Words>
  <Characters>7683</Characters>
  <Application>Microsoft Office Word</Application>
  <DocSecurity>0</DocSecurity>
  <Lines>64</Lines>
  <Paragraphs>18</Paragraphs>
  <ScaleCrop>false</ScaleCrop>
  <Company/>
  <LinksUpToDate>false</LinksUpToDate>
  <CharactersWithSpaces>9012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Arya</dc:creator>
  <cp:lastModifiedBy>Arya</cp:lastModifiedBy>
  <cp:revision>2</cp:revision>
  <dcterms:created xsi:type="dcterms:W3CDTF">2013-11-02T04:31:00Z</dcterms:created>
  <dcterms:modified xsi:type="dcterms:W3CDTF">2013-11-02T05:14:00Z</dcterms:modified>
</cp:coreProperties>
</file>