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1309"/>
        <w:gridCol w:w="845"/>
        <w:gridCol w:w="1348"/>
        <w:gridCol w:w="1396"/>
        <w:gridCol w:w="1607"/>
        <w:gridCol w:w="992"/>
        <w:gridCol w:w="848"/>
        <w:gridCol w:w="1031"/>
      </w:tblGrid>
      <w:tr w:rsidR="00734DA3" w:rsidRPr="00734DA3">
        <w:trPr>
          <w:jc w:val="center"/>
        </w:trPr>
        <w:tc>
          <w:tcPr>
            <w:tcW w:w="40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b/>
                <w:bCs/>
                <w:sz w:val="20"/>
                <w:szCs w:val="20"/>
              </w:rPr>
              <w:t>Section</w:t>
            </w:r>
          </w:p>
        </w:tc>
        <w:tc>
          <w:tcPr>
            <w:tcW w:w="60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jc w:val="center"/>
              <w:rPr>
                <w:rFonts w:ascii="Verdana" w:eastAsia="Times New Roman" w:hAnsi="Verdana" w:cs="Times New Roman"/>
                <w:sz w:val="18"/>
                <w:szCs w:val="18"/>
              </w:rPr>
            </w:pPr>
            <w:r w:rsidRPr="00734DA3">
              <w:rPr>
                <w:rFonts w:ascii="Verdana" w:eastAsia="Times New Roman" w:hAnsi="Verdana" w:cs="Times New Roman"/>
                <w:b/>
                <w:bCs/>
                <w:sz w:val="20"/>
                <w:szCs w:val="20"/>
              </w:rPr>
              <w:t>Applicable Rules</w:t>
            </w:r>
          </w:p>
        </w:tc>
        <w:tc>
          <w:tcPr>
            <w:tcW w:w="65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jc w:val="center"/>
              <w:rPr>
                <w:rFonts w:ascii="Verdana" w:eastAsia="Times New Roman" w:hAnsi="Verdana" w:cs="Times New Roman"/>
                <w:sz w:val="18"/>
                <w:szCs w:val="18"/>
              </w:rPr>
            </w:pPr>
            <w:r w:rsidRPr="00734DA3">
              <w:rPr>
                <w:rFonts w:ascii="Verdana" w:eastAsia="Times New Roman" w:hAnsi="Verdana" w:cs="Times New Roman"/>
                <w:b/>
                <w:bCs/>
                <w:sz w:val="20"/>
                <w:szCs w:val="20"/>
              </w:rPr>
              <w:t>Nature of Payment</w:t>
            </w:r>
          </w:p>
        </w:tc>
        <w:tc>
          <w:tcPr>
            <w:tcW w:w="75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jc w:val="center"/>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Exemption &amp; </w:t>
            </w:r>
            <w:r w:rsidRPr="00734DA3">
              <w:rPr>
                <w:rFonts w:ascii="Verdana" w:eastAsia="Times New Roman" w:hAnsi="Verdana" w:cs="Times New Roman"/>
                <w:b/>
                <w:bCs/>
                <w:sz w:val="20"/>
                <w:szCs w:val="20"/>
              </w:rPr>
              <w:br/>
              <w:t>Limit</w:t>
            </w:r>
          </w:p>
        </w:tc>
        <w:tc>
          <w:tcPr>
            <w:tcW w:w="65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jc w:val="center"/>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Rate of </w:t>
            </w:r>
            <w:r w:rsidRPr="00734DA3">
              <w:rPr>
                <w:rFonts w:ascii="Verdana" w:eastAsia="Times New Roman" w:hAnsi="Verdana" w:cs="Times New Roman"/>
                <w:b/>
                <w:bCs/>
                <w:sz w:val="20"/>
                <w:szCs w:val="20"/>
              </w:rPr>
              <w:br/>
              <w:t xml:space="preserve">Deduction for </w:t>
            </w:r>
            <w:r w:rsidRPr="00734DA3">
              <w:rPr>
                <w:rFonts w:ascii="Verdana" w:eastAsia="Times New Roman" w:hAnsi="Verdana" w:cs="Times New Roman"/>
                <w:b/>
                <w:bCs/>
                <w:sz w:val="20"/>
                <w:szCs w:val="20"/>
              </w:rPr>
              <w:br/>
              <w:t>F. Y.2008-2009*</w:t>
            </w:r>
          </w:p>
        </w:tc>
        <w:tc>
          <w:tcPr>
            <w:tcW w:w="65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jc w:val="center"/>
              <w:rPr>
                <w:rFonts w:ascii="Verdana" w:eastAsia="Times New Roman" w:hAnsi="Verdana" w:cs="Times New Roman"/>
                <w:sz w:val="18"/>
                <w:szCs w:val="18"/>
              </w:rPr>
            </w:pPr>
            <w:r w:rsidRPr="00734DA3">
              <w:rPr>
                <w:rFonts w:ascii="Verdana" w:eastAsia="Times New Roman" w:hAnsi="Verdana" w:cs="Times New Roman"/>
                <w:b/>
                <w:bCs/>
                <w:sz w:val="20"/>
                <w:szCs w:val="20"/>
              </w:rPr>
              <w:t>Procedure for Nil/Lower Deduction</w:t>
            </w:r>
          </w:p>
        </w:tc>
        <w:tc>
          <w:tcPr>
            <w:tcW w:w="65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jc w:val="center"/>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Return Statement </w:t>
            </w:r>
            <w:r w:rsidRPr="00734DA3">
              <w:rPr>
                <w:rFonts w:ascii="Verdana" w:eastAsia="Times New Roman" w:hAnsi="Verdana" w:cs="Times New Roman"/>
                <w:b/>
                <w:bCs/>
                <w:sz w:val="20"/>
                <w:szCs w:val="20"/>
              </w:rPr>
              <w:br/>
              <w:t>Form No./</w:t>
            </w:r>
            <w:r w:rsidRPr="00734DA3">
              <w:rPr>
                <w:rFonts w:ascii="Verdana" w:eastAsia="Times New Roman" w:hAnsi="Verdana" w:cs="Times New Roman"/>
                <w:b/>
                <w:bCs/>
                <w:sz w:val="20"/>
                <w:szCs w:val="20"/>
              </w:rPr>
              <w:br/>
              <w:t>Due Date</w:t>
            </w:r>
          </w:p>
        </w:tc>
        <w:tc>
          <w:tcPr>
            <w:tcW w:w="650" w:type="pct"/>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jc w:val="center"/>
              <w:rPr>
                <w:rFonts w:ascii="Verdana" w:eastAsia="Times New Roman" w:hAnsi="Verdana" w:cs="Times New Roman"/>
                <w:sz w:val="18"/>
                <w:szCs w:val="18"/>
              </w:rPr>
            </w:pPr>
            <w:r w:rsidRPr="00734DA3">
              <w:rPr>
                <w:rFonts w:ascii="Verdana" w:eastAsia="Times New Roman" w:hAnsi="Verdana" w:cs="Times New Roman"/>
                <w:b/>
                <w:bCs/>
                <w:sz w:val="20"/>
                <w:szCs w:val="20"/>
              </w:rPr>
              <w:t>TDS Certificate Form No./Due Date</w:t>
            </w:r>
          </w:p>
        </w:tc>
      </w:tr>
      <w:tr w:rsidR="00734DA3" w:rsidRPr="00734DA3">
        <w:trPr>
          <w:jc w:val="center"/>
        </w:trPr>
        <w:tc>
          <w:tcPr>
            <w:tcW w:w="5000" w:type="pct"/>
            <w:gridSpan w:val="8"/>
            <w:tcBorders>
              <w:top w:val="outset" w:sz="6" w:space="0" w:color="111111"/>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 The rates of deduction in this chart are exclusive of surcharge, education </w:t>
            </w:r>
            <w:proofErr w:type="spellStart"/>
            <w:r w:rsidRPr="00734DA3">
              <w:rPr>
                <w:rFonts w:ascii="Verdana" w:eastAsia="Times New Roman" w:hAnsi="Verdana" w:cs="Times New Roman"/>
                <w:b/>
                <w:bCs/>
                <w:sz w:val="20"/>
                <w:szCs w:val="20"/>
              </w:rPr>
              <w:t>cess</w:t>
            </w:r>
            <w:proofErr w:type="spellEnd"/>
            <w:r w:rsidRPr="00734DA3">
              <w:rPr>
                <w:rFonts w:ascii="Verdana" w:eastAsia="Times New Roman" w:hAnsi="Verdana" w:cs="Times New Roman"/>
                <w:b/>
                <w:bCs/>
                <w:sz w:val="20"/>
                <w:szCs w:val="20"/>
              </w:rPr>
              <w:t xml:space="preserve"> and secondary and higher education </w:t>
            </w:r>
            <w:proofErr w:type="spellStart"/>
            <w:r w:rsidRPr="00734DA3">
              <w:rPr>
                <w:rFonts w:ascii="Verdana" w:eastAsia="Times New Roman" w:hAnsi="Verdana" w:cs="Times New Roman"/>
                <w:b/>
                <w:bCs/>
                <w:sz w:val="20"/>
                <w:szCs w:val="20"/>
              </w:rPr>
              <w:t>cess</w:t>
            </w:r>
            <w:proofErr w:type="spellEnd"/>
            <w:r w:rsidRPr="00734DA3">
              <w:rPr>
                <w:rFonts w:ascii="Verdana" w:eastAsia="Times New Roman" w:hAnsi="Verdana" w:cs="Times New Roman"/>
                <w:b/>
                <w:bCs/>
                <w:sz w:val="20"/>
                <w:szCs w:val="20"/>
              </w:rPr>
              <w:t xml:space="preserve">. Rates to be increased by such surcharge &amp; </w:t>
            </w:r>
            <w:proofErr w:type="spellStart"/>
            <w:r w:rsidRPr="00734DA3">
              <w:rPr>
                <w:rFonts w:ascii="Verdana" w:eastAsia="Times New Roman" w:hAnsi="Verdana" w:cs="Times New Roman"/>
                <w:b/>
                <w:bCs/>
                <w:sz w:val="20"/>
                <w:szCs w:val="20"/>
              </w:rPr>
              <w:t>cess</w:t>
            </w:r>
            <w:proofErr w:type="spellEnd"/>
            <w:r w:rsidRPr="00734DA3">
              <w:rPr>
                <w:rFonts w:ascii="Verdana" w:eastAsia="Times New Roman" w:hAnsi="Verdana" w:cs="Times New Roman"/>
                <w:b/>
                <w:bCs/>
                <w:sz w:val="20"/>
                <w:szCs w:val="20"/>
              </w:rPr>
              <w:t xml:space="preserve"> as per the status of the payee. Refer note 1 below. For due date of deduction and payment of TDS, refer note 2.</w:t>
            </w:r>
          </w:p>
        </w:tc>
      </w:tr>
      <w:tr w:rsidR="00734DA3" w:rsidRPr="00734DA3">
        <w:trPr>
          <w:jc w:val="center"/>
        </w:trPr>
        <w:tc>
          <w:tcPr>
            <w:tcW w:w="40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192 </w:t>
            </w:r>
          </w:p>
        </w:tc>
        <w:tc>
          <w:tcPr>
            <w:tcW w:w="60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21A, 21AA,26A, 26B,28, 28AA, 30, 31, 31A 31AB, 33 </w:t>
            </w:r>
          </w:p>
        </w:tc>
        <w:tc>
          <w:tcPr>
            <w:tcW w:w="65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Salary to any person</w:t>
            </w:r>
          </w:p>
        </w:tc>
        <w:tc>
          <w:tcPr>
            <w:tcW w:w="75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a) Rs. 2,25,000 for senior citizen, Rs. 1,80,000/- for woman </w:t>
            </w:r>
            <w:proofErr w:type="spellStart"/>
            <w:r w:rsidRPr="00734DA3">
              <w:rPr>
                <w:rFonts w:ascii="Verdana" w:eastAsia="Times New Roman" w:hAnsi="Verdana" w:cs="Times New Roman"/>
                <w:sz w:val="20"/>
                <w:szCs w:val="20"/>
              </w:rPr>
              <w:t>assessee</w:t>
            </w:r>
            <w:proofErr w:type="spellEnd"/>
            <w:r w:rsidRPr="00734DA3">
              <w:rPr>
                <w:rFonts w:ascii="Verdana" w:eastAsia="Times New Roman" w:hAnsi="Verdana" w:cs="Times New Roman"/>
                <w:sz w:val="20"/>
                <w:szCs w:val="20"/>
              </w:rPr>
              <w:t xml:space="preserve"> and Rs.1,50,000 for others after considering deduction u/ss. 16, 80C, 80CCC, 80D, 80DD, 80DDB, 80GG, 80E and 80U and loss under the head 'Income from House Property' </w:t>
            </w:r>
            <w:r w:rsidRPr="00734DA3">
              <w:rPr>
                <w:rFonts w:ascii="Verdana" w:eastAsia="Times New Roman" w:hAnsi="Verdana" w:cs="Times New Roman"/>
                <w:sz w:val="20"/>
                <w:szCs w:val="20"/>
              </w:rPr>
              <w:br/>
              <w:t> </w:t>
            </w:r>
          </w:p>
        </w:tc>
        <w:tc>
          <w:tcPr>
            <w:tcW w:w="65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As applicable to individual Refer Part III of 1st Schedule of Finance Act, 2008 </w:t>
            </w:r>
          </w:p>
        </w:tc>
        <w:tc>
          <w:tcPr>
            <w:tcW w:w="65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Employee to apply to the A.O. in Form 13. </w:t>
            </w:r>
          </w:p>
        </w:tc>
        <w:tc>
          <w:tcPr>
            <w:tcW w:w="65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Quarterly statement in Form No. 24Q/15th July, 15th Oct.,15th Jan., 15th June (for last quarter ended 31st March)</w:t>
            </w:r>
          </w:p>
        </w:tc>
        <w:tc>
          <w:tcPr>
            <w:tcW w:w="650" w:type="pct"/>
            <w:tcBorders>
              <w:top w:val="outset" w:sz="6" w:space="0" w:color="111111"/>
              <w:left w:val="outset" w:sz="6" w:space="0" w:color="111111"/>
              <w:bottom w:val="nil"/>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 and 12BA/F.16AA Within 1 month from the close of financial year.</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b) The employer has an option not to deduct tax on non</w:t>
            </w:r>
            <w:r w:rsidRPr="00734DA3">
              <w:rPr>
                <w:rFonts w:ascii="Verdana" w:eastAsia="Times New Roman" w:hAnsi="Verdana" w:cs="Times New Roman"/>
                <w:sz w:val="20"/>
                <w:szCs w:val="20"/>
              </w:rPr>
              <w:br/>
              <w:t>monetary perquisites</w:t>
            </w:r>
            <w:r w:rsidRPr="00734DA3">
              <w:rPr>
                <w:rFonts w:ascii="Verdana" w:eastAsia="Times New Roman" w:hAnsi="Verdana" w:cs="Times New Roman"/>
                <w:sz w:val="20"/>
                <w:szCs w:val="20"/>
              </w:rPr>
              <w:br/>
              <w:t>provided to employee and</w:t>
            </w:r>
            <w:r w:rsidRPr="00734DA3">
              <w:rPr>
                <w:rFonts w:ascii="Verdana" w:eastAsia="Times New Roman" w:hAnsi="Verdana" w:cs="Times New Roman"/>
                <w:sz w:val="20"/>
                <w:szCs w:val="20"/>
              </w:rPr>
              <w:br/>
              <w:t>instead, pay it himself.</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 </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193 Refer Note 5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28, 28AA, </w:t>
            </w:r>
            <w:r w:rsidRPr="00734DA3">
              <w:rPr>
                <w:rFonts w:ascii="Verdana" w:eastAsia="Times New Roman" w:hAnsi="Verdana" w:cs="Times New Roman"/>
                <w:sz w:val="20"/>
                <w:szCs w:val="20"/>
              </w:rPr>
              <w:lastRenderedPageBreak/>
              <w:t>29C, 30,31, 31A, 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lastRenderedPageBreak/>
              <w:t xml:space="preserve">Interest on </w:t>
            </w:r>
            <w:r w:rsidRPr="00734DA3">
              <w:rPr>
                <w:rFonts w:ascii="Verdana" w:eastAsia="Times New Roman" w:hAnsi="Verdana" w:cs="Times New Roman"/>
                <w:b/>
                <w:bCs/>
                <w:sz w:val="20"/>
                <w:szCs w:val="20"/>
              </w:rPr>
              <w:lastRenderedPageBreak/>
              <w:t>Securities to any resident</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a) Rs. 2,500 for interest </w:t>
            </w:r>
            <w:r w:rsidRPr="00734DA3">
              <w:rPr>
                <w:rFonts w:ascii="Verdana" w:eastAsia="Times New Roman" w:hAnsi="Verdana" w:cs="Times New Roman"/>
                <w:sz w:val="20"/>
                <w:szCs w:val="20"/>
              </w:rPr>
              <w:lastRenderedPageBreak/>
              <w:t>on debentures paid by a widely held company (to a resident individual).</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b) Interest on any State or Central Govt. Security</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 No tax is to be deducted on interest payable</w:t>
            </w:r>
            <w:r w:rsidRPr="00734DA3">
              <w:rPr>
                <w:rFonts w:ascii="Verdana" w:eastAsia="Times New Roman" w:hAnsi="Verdana" w:cs="Times New Roman"/>
                <w:sz w:val="20"/>
                <w:szCs w:val="20"/>
              </w:rPr>
              <w:br/>
            </w:r>
            <w:r w:rsidRPr="00734DA3">
              <w:rPr>
                <w:rFonts w:ascii="Verdana" w:eastAsia="Times New Roman" w:hAnsi="Verdana" w:cs="Times New Roman"/>
                <w:sz w:val="20"/>
                <w:szCs w:val="20"/>
              </w:rPr>
              <w:br/>
              <w:t xml:space="preserve">• To the Government, </w:t>
            </w:r>
            <w:r w:rsidRPr="00734DA3">
              <w:rPr>
                <w:rFonts w:ascii="Verdana" w:eastAsia="Times New Roman" w:hAnsi="Verdana" w:cs="Times New Roman"/>
                <w:sz w:val="20"/>
                <w:szCs w:val="20"/>
              </w:rPr>
              <w:br/>
              <w:t xml:space="preserve">• To the RBI,  </w:t>
            </w:r>
            <w:r w:rsidRPr="00734DA3">
              <w:rPr>
                <w:rFonts w:ascii="Verdana" w:eastAsia="Times New Roman" w:hAnsi="Verdana" w:cs="Times New Roman"/>
                <w:sz w:val="20"/>
                <w:szCs w:val="20"/>
              </w:rPr>
              <w:br/>
              <w:t xml:space="preserve">• To LIC, GIC or any other insurer </w:t>
            </w:r>
            <w:r w:rsidRPr="00734DA3">
              <w:rPr>
                <w:rFonts w:ascii="Verdana" w:eastAsia="Times New Roman" w:hAnsi="Verdana" w:cs="Times New Roman"/>
                <w:sz w:val="20"/>
                <w:szCs w:val="20"/>
              </w:rPr>
              <w:br/>
              <w:t>• To a corporation established by or under a Central Act which is exempt from Income Tax by virtue of any law</w:t>
            </w:r>
            <w:r w:rsidRPr="00734DA3">
              <w:rPr>
                <w:rFonts w:ascii="Verdana" w:eastAsia="Times New Roman" w:hAnsi="Verdana" w:cs="Times New Roman"/>
                <w:sz w:val="20"/>
                <w:szCs w:val="20"/>
              </w:rPr>
              <w:br/>
              <w:t>• To a mutual fund specified u/s. 10(23D)</w:t>
            </w:r>
            <w:r w:rsidRPr="00734DA3">
              <w:rPr>
                <w:rFonts w:ascii="Verdana" w:eastAsia="Times New Roman" w:hAnsi="Verdana" w:cs="Times New Roman"/>
                <w:sz w:val="20"/>
                <w:szCs w:val="20"/>
              </w:rPr>
              <w:br/>
              <w:t xml:space="preserve">• On any securities </w:t>
            </w:r>
            <w:r w:rsidRPr="00734DA3">
              <w:rPr>
                <w:rFonts w:ascii="Verdana" w:eastAsia="Times New Roman" w:hAnsi="Verdana" w:cs="Times New Roman"/>
                <w:sz w:val="20"/>
                <w:szCs w:val="20"/>
              </w:rPr>
              <w:br/>
              <w:t xml:space="preserve">issued by a company </w:t>
            </w:r>
            <w:r w:rsidRPr="00734DA3">
              <w:rPr>
                <w:rFonts w:ascii="Verdana" w:eastAsia="Times New Roman" w:hAnsi="Verdana" w:cs="Times New Roman"/>
                <w:sz w:val="20"/>
                <w:szCs w:val="20"/>
              </w:rPr>
              <w:br/>
              <w:t xml:space="preserve">in a dematerialized form listed on recognized </w:t>
            </w:r>
            <w:r w:rsidRPr="00734DA3">
              <w:rPr>
                <w:rFonts w:ascii="Verdana" w:eastAsia="Times New Roman" w:hAnsi="Verdana" w:cs="Times New Roman"/>
                <w:sz w:val="20"/>
                <w:szCs w:val="20"/>
              </w:rPr>
              <w:lastRenderedPageBreak/>
              <w:t>stock exchange in India</w:t>
            </w:r>
            <w:r w:rsidRPr="00734DA3">
              <w:rPr>
                <w:rFonts w:ascii="Verdana" w:eastAsia="Times New Roman" w:hAnsi="Verdana" w:cs="Times New Roman"/>
                <w:sz w:val="20"/>
                <w:szCs w:val="20"/>
              </w:rPr>
              <w:br/>
              <w:t>(</w:t>
            </w:r>
            <w:proofErr w:type="spellStart"/>
            <w:r w:rsidRPr="00734DA3">
              <w:rPr>
                <w:rFonts w:ascii="Verdana" w:eastAsia="Times New Roman" w:hAnsi="Verdana" w:cs="Times New Roman"/>
                <w:sz w:val="20"/>
                <w:szCs w:val="20"/>
              </w:rPr>
              <w:t>w.e.f</w:t>
            </w:r>
            <w:proofErr w:type="spellEnd"/>
            <w:r w:rsidRPr="00734DA3">
              <w:rPr>
                <w:rFonts w:ascii="Verdana" w:eastAsia="Times New Roman" w:hAnsi="Verdana" w:cs="Times New Roman"/>
                <w:sz w:val="20"/>
                <w:szCs w:val="20"/>
              </w:rPr>
              <w:t>. 1.06.2008)</w:t>
            </w:r>
          </w:p>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d) Rs. 10,000 for 8% savings (taxable) Bonds, 2003</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48"/>
              <w:gridCol w:w="544"/>
            </w:tblGrid>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Cos.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20% </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Firms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Co-op</w:t>
                  </w:r>
                  <w:proofErr w:type="gramStart"/>
                  <w:r w:rsidRPr="00734DA3">
                    <w:rPr>
                      <w:rFonts w:ascii="Verdana" w:eastAsia="Times New Roman" w:hAnsi="Verdana" w:cs="Times New Roman"/>
                      <w:sz w:val="20"/>
                      <w:szCs w:val="20"/>
                    </w:rPr>
                    <w:t>..</w:t>
                  </w:r>
                  <w:proofErr w:type="gramEnd"/>
                  <w:r w:rsidRPr="00734DA3">
                    <w:rPr>
                      <w:rFonts w:ascii="Verdana" w:eastAsia="Times New Roman" w:hAnsi="Verdana" w:cs="Times New Roman"/>
                      <w:sz w:val="20"/>
                      <w:szCs w:val="20"/>
                    </w:rPr>
                    <w:t xml:space="preserve"> Soc.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w:t>
                  </w:r>
                  <w:r w:rsidRPr="00734DA3">
                    <w:rPr>
                      <w:rFonts w:ascii="Verdana" w:eastAsia="Times New Roman" w:hAnsi="Verdana" w:cs="Times New Roman"/>
                      <w:sz w:val="20"/>
                      <w:szCs w:val="20"/>
                    </w:rPr>
                    <w:br/>
                    <w:t>/HUF/ AOP/BOI</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1. Senior </w:t>
            </w:r>
            <w:r w:rsidRPr="00734DA3">
              <w:rPr>
                <w:rFonts w:ascii="Verdana" w:eastAsia="Times New Roman" w:hAnsi="Verdana" w:cs="Times New Roman"/>
                <w:sz w:val="20"/>
                <w:szCs w:val="20"/>
              </w:rPr>
              <w:lastRenderedPageBreak/>
              <w:t>Citizen can furnish declaration in duplicate in Form 15H if the tax on the estimated income of Rs. Nil. Refer Note 4.</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 A person other than a company or a firm can furnish declaration in duplicate in Form 15G where the aggregate income does exceed the maximum amount not liable to tax Refer Note 4</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3. Payee can apply to the A.O. </w:t>
            </w:r>
            <w:r w:rsidRPr="00734DA3">
              <w:rPr>
                <w:rFonts w:ascii="Verdana" w:eastAsia="Times New Roman" w:hAnsi="Verdana" w:cs="Times New Roman"/>
                <w:sz w:val="20"/>
                <w:szCs w:val="20"/>
              </w:rPr>
              <w:lastRenderedPageBreak/>
              <w:t>in Form 13.</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Quarterly </w:t>
            </w:r>
            <w:r w:rsidRPr="00734DA3">
              <w:rPr>
                <w:rFonts w:ascii="Verdana" w:eastAsia="Times New Roman" w:hAnsi="Verdana" w:cs="Times New Roman"/>
                <w:sz w:val="20"/>
                <w:szCs w:val="20"/>
              </w:rPr>
              <w:lastRenderedPageBreak/>
              <w:t xml:space="preserve">statement in Form No. 26Q/15th July, 15th Oct., 15th Jan. 15th June (for last quarter ended 31st March)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F. 16A</w:t>
            </w:r>
            <w:r w:rsidRPr="00734DA3">
              <w:rPr>
                <w:rFonts w:ascii="Verdana" w:eastAsia="Times New Roman" w:hAnsi="Verdana" w:cs="Times New Roman"/>
                <w:sz w:val="20"/>
                <w:szCs w:val="20"/>
              </w:rPr>
              <w:br/>
              <w:t xml:space="preserve">1. If </w:t>
            </w:r>
            <w:r w:rsidRPr="00734DA3">
              <w:rPr>
                <w:rFonts w:ascii="Verdana" w:eastAsia="Times New Roman" w:hAnsi="Verdana" w:cs="Times New Roman"/>
                <w:sz w:val="20"/>
                <w:szCs w:val="20"/>
              </w:rPr>
              <w:lastRenderedPageBreak/>
              <w:t>income is credited on the date on which accounts are made by the payer within 1 week after expiry of 2 months from the month in which income is credited</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 Any other case – within 1 month from end of month of deduction</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3. Where more than one certificate is to be furnished, at the option of the payee, a </w:t>
            </w:r>
            <w:proofErr w:type="spellStart"/>
            <w:r w:rsidRPr="00734DA3">
              <w:rPr>
                <w:rFonts w:ascii="Verdana" w:eastAsia="Times New Roman" w:hAnsi="Verdana" w:cs="Times New Roman"/>
                <w:sz w:val="20"/>
                <w:szCs w:val="20"/>
              </w:rPr>
              <w:t>consoli</w:t>
            </w:r>
            <w:proofErr w:type="spellEnd"/>
            <w:r w:rsidRPr="00734DA3">
              <w:rPr>
                <w:rFonts w:ascii="Verdana" w:eastAsia="Times New Roman" w:hAnsi="Verdana" w:cs="Times New Roman"/>
                <w:sz w:val="20"/>
                <w:szCs w:val="20"/>
              </w:rPr>
              <w:t xml:space="preserve">-dated certificate within 1 month from the close of the </w:t>
            </w:r>
            <w:r w:rsidRPr="00734DA3">
              <w:rPr>
                <w:rFonts w:ascii="Verdana" w:eastAsia="Times New Roman" w:hAnsi="Verdana" w:cs="Times New Roman"/>
                <w:sz w:val="20"/>
                <w:szCs w:val="20"/>
              </w:rPr>
              <w:lastRenderedPageBreak/>
              <w:t>financial year.</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lastRenderedPageBreak/>
              <w:t>194A</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28, 28AA, 29C, 30, 31, 31A, 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Interest (other than</w:t>
            </w:r>
            <w:r w:rsidRPr="00734DA3">
              <w:rPr>
                <w:rFonts w:ascii="Verdana" w:eastAsia="Times New Roman" w:hAnsi="Verdana" w:cs="Times New Roman"/>
                <w:sz w:val="20"/>
                <w:szCs w:val="20"/>
              </w:rPr>
              <w:t xml:space="preserve"> </w:t>
            </w:r>
            <w:r w:rsidRPr="00734DA3">
              <w:rPr>
                <w:rFonts w:ascii="Verdana" w:eastAsia="Times New Roman" w:hAnsi="Verdana" w:cs="Times New Roman"/>
                <w:b/>
                <w:bCs/>
                <w:sz w:val="20"/>
                <w:szCs w:val="20"/>
              </w:rPr>
              <w:t>Interest on Securities) to resident</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a) Rs. 10,000 (Rs. 5,000 up to 31-5-2007) where payer is a banking Co. or Co-operative Society engaged in Banking </w:t>
            </w:r>
            <w:proofErr w:type="gramStart"/>
            <w:r w:rsidRPr="00734DA3">
              <w:rPr>
                <w:rFonts w:ascii="Verdana" w:eastAsia="Times New Roman" w:hAnsi="Verdana" w:cs="Times New Roman"/>
                <w:sz w:val="20"/>
                <w:szCs w:val="20"/>
              </w:rPr>
              <w:t>Business,</w:t>
            </w:r>
            <w:proofErr w:type="gramEnd"/>
            <w:r w:rsidRPr="00734DA3">
              <w:rPr>
                <w:rFonts w:ascii="Verdana" w:eastAsia="Times New Roman" w:hAnsi="Verdana" w:cs="Times New Roman"/>
                <w:sz w:val="20"/>
                <w:szCs w:val="20"/>
              </w:rPr>
              <w:t xml:space="preserve"> or in case of Deposits with PO under a scheme notified by Central Govt. Rs. 5,000 in any other </w:t>
            </w:r>
            <w:r w:rsidRPr="00734DA3">
              <w:rPr>
                <w:rFonts w:ascii="Verdana" w:eastAsia="Times New Roman" w:hAnsi="Verdana" w:cs="Times New Roman"/>
                <w:sz w:val="20"/>
                <w:szCs w:val="20"/>
              </w:rPr>
              <w:br/>
              <w:t xml:space="preserve">case (in case of Bank Interest </w:t>
            </w:r>
            <w:r w:rsidRPr="00734DA3">
              <w:rPr>
                <w:rFonts w:ascii="Verdana" w:eastAsia="Times New Roman" w:hAnsi="Verdana" w:cs="Times New Roman"/>
                <w:sz w:val="20"/>
                <w:szCs w:val="20"/>
              </w:rPr>
              <w:br/>
              <w:t>and deposits with Housing finance companies. Limit</w:t>
            </w:r>
            <w:r w:rsidRPr="00734DA3">
              <w:rPr>
                <w:rFonts w:ascii="Verdana" w:eastAsia="Times New Roman" w:hAnsi="Verdana" w:cs="Times New Roman"/>
                <w:sz w:val="20"/>
                <w:szCs w:val="20"/>
              </w:rPr>
              <w:br/>
              <w:t>will apply qua each branch)</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b) Individual &amp; HUF – not required </w:t>
            </w:r>
            <w:proofErr w:type="gramStart"/>
            <w:r w:rsidRPr="00734DA3">
              <w:rPr>
                <w:rFonts w:ascii="Verdana" w:eastAsia="Times New Roman" w:hAnsi="Verdana" w:cs="Times New Roman"/>
                <w:sz w:val="20"/>
                <w:szCs w:val="20"/>
              </w:rPr>
              <w:t>to deduct</w:t>
            </w:r>
            <w:proofErr w:type="gramEnd"/>
            <w:r w:rsidRPr="00734DA3">
              <w:rPr>
                <w:rFonts w:ascii="Verdana" w:eastAsia="Times New Roman" w:hAnsi="Verdana" w:cs="Times New Roman"/>
                <w:sz w:val="20"/>
                <w:szCs w:val="20"/>
              </w:rPr>
              <w:t xml:space="preserve"> tax.</w:t>
            </w:r>
            <w:r w:rsidRPr="00734DA3">
              <w:rPr>
                <w:rFonts w:ascii="Verdana" w:eastAsia="Times New Roman" w:hAnsi="Verdana" w:cs="Times New Roman"/>
                <w:sz w:val="20"/>
                <w:szCs w:val="20"/>
              </w:rPr>
              <w:br/>
              <w:t>(subject to Note 6)</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c) </w:t>
            </w:r>
            <w:proofErr w:type="spellStart"/>
            <w:r w:rsidRPr="00734DA3">
              <w:rPr>
                <w:rFonts w:ascii="Verdana" w:eastAsia="Times New Roman" w:hAnsi="Verdana" w:cs="Times New Roman"/>
                <w:sz w:val="20"/>
                <w:szCs w:val="20"/>
              </w:rPr>
              <w:t>W.e.f</w:t>
            </w:r>
            <w:proofErr w:type="spellEnd"/>
            <w:r w:rsidRPr="00734DA3">
              <w:rPr>
                <w:rFonts w:ascii="Verdana" w:eastAsia="Times New Roman" w:hAnsi="Verdana" w:cs="Times New Roman"/>
                <w:sz w:val="20"/>
                <w:szCs w:val="20"/>
              </w:rPr>
              <w:t xml:space="preserve">. 1-6-2007, Rs. </w:t>
            </w:r>
            <w:r w:rsidRPr="00734DA3">
              <w:rPr>
                <w:rFonts w:ascii="Verdana" w:eastAsia="Times New Roman" w:hAnsi="Verdana" w:cs="Times New Roman"/>
                <w:sz w:val="20"/>
                <w:szCs w:val="20"/>
              </w:rPr>
              <w:lastRenderedPageBreak/>
              <w:t>10,000 for interest on deposit under Senior Citizens Savings Scheme, 2004</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d) No deduction required on following payments: </w:t>
            </w:r>
          </w:p>
          <w:p w:rsidR="00734DA3" w:rsidRPr="00734DA3" w:rsidRDefault="00734DA3" w:rsidP="00734DA3">
            <w:pPr>
              <w:spacing w:before="30" w:after="30" w:line="240" w:lineRule="auto"/>
              <w:ind w:left="45" w:right="45"/>
              <w:rPr>
                <w:rFonts w:ascii="Verdana" w:eastAsia="Times New Roman" w:hAnsi="Verdana" w:cs="Times New Roman"/>
                <w:sz w:val="18"/>
                <w:szCs w:val="18"/>
              </w:rPr>
            </w:pPr>
            <w:proofErr w:type="spellStart"/>
            <w:r w:rsidRPr="00734DA3">
              <w:rPr>
                <w:rFonts w:ascii="Verdana" w:eastAsia="Times New Roman" w:hAnsi="Verdana" w:cs="Times New Roman"/>
                <w:sz w:val="20"/>
                <w:szCs w:val="20"/>
              </w:rPr>
              <w:t>i</w:t>
            </w:r>
            <w:proofErr w:type="spellEnd"/>
            <w:r w:rsidRPr="00734DA3">
              <w:rPr>
                <w:rFonts w:ascii="Verdana" w:eastAsia="Times New Roman" w:hAnsi="Verdana" w:cs="Times New Roman"/>
                <w:sz w:val="20"/>
                <w:szCs w:val="20"/>
              </w:rPr>
              <w:t>) Firm to partner</w:t>
            </w:r>
            <w:r w:rsidRPr="00734DA3">
              <w:rPr>
                <w:rFonts w:ascii="Verdana" w:eastAsia="Times New Roman" w:hAnsi="Verdana" w:cs="Times New Roman"/>
                <w:sz w:val="20"/>
                <w:szCs w:val="20"/>
              </w:rPr>
              <w:br/>
              <w:t>ii) On deposits with bank made before 1-7-1995</w:t>
            </w:r>
            <w:r w:rsidRPr="00734DA3">
              <w:rPr>
                <w:rFonts w:ascii="Verdana" w:eastAsia="Times New Roman" w:hAnsi="Verdana" w:cs="Times New Roman"/>
                <w:sz w:val="20"/>
                <w:szCs w:val="20"/>
              </w:rPr>
              <w:br/>
              <w:t xml:space="preserve">iii) Co-op. Soc. to member or other Co-op. Soc. </w:t>
            </w:r>
            <w:r w:rsidRPr="00734DA3">
              <w:rPr>
                <w:rFonts w:ascii="Verdana" w:eastAsia="Times New Roman" w:hAnsi="Verdana" w:cs="Times New Roman"/>
                <w:sz w:val="20"/>
                <w:szCs w:val="20"/>
              </w:rPr>
              <w:br/>
              <w:t>iv) Payment to UTI, LIC or any other Insurance company</w:t>
            </w:r>
            <w:r w:rsidRPr="00734DA3">
              <w:rPr>
                <w:rFonts w:ascii="Verdana" w:eastAsia="Times New Roman" w:hAnsi="Verdana" w:cs="Times New Roman"/>
                <w:sz w:val="20"/>
                <w:szCs w:val="20"/>
              </w:rPr>
              <w:br/>
              <w:t>v) Payment to financial corporation established</w:t>
            </w:r>
            <w:r w:rsidRPr="00734DA3">
              <w:rPr>
                <w:rFonts w:ascii="Verdana" w:eastAsia="Times New Roman" w:hAnsi="Verdana" w:cs="Times New Roman"/>
                <w:sz w:val="20"/>
                <w:szCs w:val="20"/>
              </w:rPr>
              <w:br/>
              <w:t>under any Central,</w:t>
            </w:r>
            <w:r w:rsidRPr="00734DA3">
              <w:rPr>
                <w:rFonts w:ascii="Verdana" w:eastAsia="Times New Roman" w:hAnsi="Verdana" w:cs="Times New Roman"/>
                <w:sz w:val="20"/>
                <w:szCs w:val="20"/>
              </w:rPr>
              <w:br/>
              <w:t xml:space="preserve">State or Provincial Act. </w:t>
            </w:r>
            <w:r w:rsidRPr="00734DA3">
              <w:rPr>
                <w:rFonts w:ascii="Verdana" w:eastAsia="Times New Roman" w:hAnsi="Verdana" w:cs="Times New Roman"/>
                <w:sz w:val="20"/>
                <w:szCs w:val="20"/>
              </w:rPr>
              <w:br/>
              <w:t xml:space="preserve">vi) Central Govt. to </w:t>
            </w:r>
            <w:r w:rsidRPr="00734DA3">
              <w:rPr>
                <w:rFonts w:ascii="Verdana" w:eastAsia="Times New Roman" w:hAnsi="Verdana" w:cs="Times New Roman"/>
                <w:sz w:val="20"/>
                <w:szCs w:val="20"/>
              </w:rPr>
              <w:br/>
            </w:r>
            <w:proofErr w:type="spellStart"/>
            <w:r w:rsidRPr="00734DA3">
              <w:rPr>
                <w:rFonts w:ascii="Verdana" w:eastAsia="Times New Roman" w:hAnsi="Verdana" w:cs="Times New Roman"/>
                <w:sz w:val="20"/>
                <w:szCs w:val="20"/>
              </w:rPr>
              <w:t>assessees</w:t>
            </w:r>
            <w:proofErr w:type="spellEnd"/>
            <w:r w:rsidRPr="00734DA3">
              <w:rPr>
                <w:rFonts w:ascii="Verdana" w:eastAsia="Times New Roman" w:hAnsi="Verdana" w:cs="Times New Roman"/>
                <w:sz w:val="20"/>
                <w:szCs w:val="20"/>
              </w:rPr>
              <w:t xml:space="preserve"> on excess</w:t>
            </w:r>
            <w:r w:rsidRPr="00734DA3">
              <w:rPr>
                <w:rFonts w:ascii="Verdana" w:eastAsia="Times New Roman" w:hAnsi="Verdana" w:cs="Times New Roman"/>
                <w:sz w:val="20"/>
                <w:szCs w:val="20"/>
              </w:rPr>
              <w:br/>
              <w:t>tax paid</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Same as sec. 193</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Same as sec. 193</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Same as sec. 193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Same as sec. 193 </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194B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30, 31, 31A, 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Winnings from lottery &amp; crossword puzzles including card game </w:t>
            </w:r>
            <w:r w:rsidRPr="00734DA3">
              <w:rPr>
                <w:rFonts w:ascii="Verdana" w:eastAsia="Times New Roman" w:hAnsi="Verdana" w:cs="Times New Roman"/>
                <w:b/>
                <w:bCs/>
                <w:sz w:val="20"/>
                <w:szCs w:val="20"/>
              </w:rPr>
              <w:lastRenderedPageBreak/>
              <w:t>or other game of any sort to any person (including winning in kind)</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Rs. 5,000 </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193"/>
              <w:gridCol w:w="399"/>
            </w:tblGrid>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proofErr w:type="spellStart"/>
                  <w:r w:rsidRPr="00734DA3">
                    <w:rPr>
                      <w:rFonts w:ascii="Verdana" w:eastAsia="Times New Roman" w:hAnsi="Verdana" w:cs="Times New Roman"/>
                      <w:sz w:val="20"/>
                      <w:szCs w:val="20"/>
                    </w:rPr>
                    <w:t>Dom.Cos</w:t>
                  </w:r>
                  <w:proofErr w:type="spellEnd"/>
                  <w:r w:rsidRPr="00734DA3">
                    <w:rPr>
                      <w:rFonts w:ascii="Verdana" w:eastAsia="Times New Roman" w:hAnsi="Verdana" w:cs="Times New Roman"/>
                      <w:sz w:val="20"/>
                      <w:szCs w:val="20"/>
                    </w:rPr>
                    <w:t>., Firms</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jc w:val="center"/>
                    <w:rPr>
                      <w:rFonts w:ascii="Verdana" w:eastAsia="Times New Roman" w:hAnsi="Verdana" w:cs="Times New Roman"/>
                      <w:sz w:val="18"/>
                      <w:szCs w:val="18"/>
                    </w:rPr>
                  </w:pPr>
                  <w:r w:rsidRPr="00734DA3">
                    <w:rPr>
                      <w:rFonts w:ascii="Verdana" w:eastAsia="Times New Roman" w:hAnsi="Verdana" w:cs="Times New Roman"/>
                      <w:sz w:val="20"/>
                      <w:szCs w:val="20"/>
                    </w:rPr>
                    <w:t>30%</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Non-</w:t>
                  </w:r>
                  <w:proofErr w:type="spellStart"/>
                  <w:r w:rsidRPr="00734DA3">
                    <w:rPr>
                      <w:rFonts w:ascii="Verdana" w:eastAsia="Times New Roman" w:hAnsi="Verdana" w:cs="Times New Roman"/>
                      <w:sz w:val="20"/>
                      <w:szCs w:val="20"/>
                    </w:rPr>
                    <w:t>Dom.Cos</w:t>
                  </w:r>
                  <w:proofErr w:type="spellEnd"/>
                  <w:r w:rsidRPr="00734DA3">
                    <w:rPr>
                      <w:rFonts w:ascii="Verdana" w:eastAsia="Times New Roman" w:hAnsi="Verdana" w:cs="Times New Roman"/>
                      <w:sz w:val="20"/>
                      <w:szCs w:val="20"/>
                    </w:rPr>
                    <w:t>.</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jc w:val="center"/>
                    <w:rPr>
                      <w:rFonts w:ascii="Verdana" w:eastAsia="Times New Roman" w:hAnsi="Verdana" w:cs="Times New Roman"/>
                      <w:sz w:val="18"/>
                      <w:szCs w:val="18"/>
                    </w:rPr>
                  </w:pPr>
                  <w:r w:rsidRPr="00734DA3">
                    <w:rPr>
                      <w:rFonts w:ascii="Verdana" w:eastAsia="Times New Roman" w:hAnsi="Verdana" w:cs="Times New Roman"/>
                      <w:sz w:val="20"/>
                      <w:szCs w:val="20"/>
                    </w:rPr>
                    <w:t>40%</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Co-op. Soc.</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jc w:val="center"/>
                    <w:rPr>
                      <w:rFonts w:ascii="Verdana" w:eastAsia="Times New Roman" w:hAnsi="Verdana" w:cs="Times New Roman"/>
                      <w:sz w:val="18"/>
                      <w:szCs w:val="18"/>
                    </w:rPr>
                  </w:pPr>
                  <w:r w:rsidRPr="00734DA3">
                    <w:rPr>
                      <w:rFonts w:ascii="Verdana" w:eastAsia="Times New Roman" w:hAnsi="Verdana" w:cs="Times New Roman"/>
                      <w:sz w:val="20"/>
                      <w:szCs w:val="20"/>
                    </w:rPr>
                    <w:t>30%</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Individual/HUF/ AOP/BOI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30%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Not permissible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statement in Form No. 26Q/ </w:t>
            </w:r>
            <w:r w:rsidRPr="00734DA3">
              <w:rPr>
                <w:rFonts w:ascii="Verdana" w:eastAsia="Times New Roman" w:hAnsi="Verdana" w:cs="Times New Roman"/>
                <w:sz w:val="20"/>
                <w:szCs w:val="20"/>
              </w:rPr>
              <w:lastRenderedPageBreak/>
              <w:t xml:space="preserve">15th July, 15th Oct., 15th Jan., 15th June (for last quarter ended 31st March)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F. 16A</w:t>
            </w:r>
            <w:r w:rsidRPr="00734DA3">
              <w:rPr>
                <w:rFonts w:ascii="Verdana" w:eastAsia="Times New Roman" w:hAnsi="Verdana" w:cs="Times New Roman"/>
                <w:sz w:val="20"/>
                <w:szCs w:val="20"/>
              </w:rPr>
              <w:br/>
              <w:t xml:space="preserve">1) Within one month from end of the </w:t>
            </w:r>
            <w:r w:rsidRPr="00734DA3">
              <w:rPr>
                <w:rFonts w:ascii="Verdana" w:eastAsia="Times New Roman" w:hAnsi="Verdana" w:cs="Times New Roman"/>
                <w:sz w:val="20"/>
                <w:szCs w:val="20"/>
              </w:rPr>
              <w:lastRenderedPageBreak/>
              <w:t>month during</w:t>
            </w:r>
            <w:r w:rsidRPr="00734DA3">
              <w:rPr>
                <w:rFonts w:ascii="Verdana" w:eastAsia="Times New Roman" w:hAnsi="Verdana" w:cs="Times New Roman"/>
                <w:b/>
                <w:bCs/>
                <w:sz w:val="20"/>
                <w:szCs w:val="20"/>
              </w:rPr>
              <w:t xml:space="preserve"> </w:t>
            </w:r>
            <w:r w:rsidRPr="00734DA3">
              <w:rPr>
                <w:rFonts w:ascii="Verdana" w:eastAsia="Times New Roman" w:hAnsi="Verdana" w:cs="Times New Roman"/>
                <w:sz w:val="20"/>
                <w:szCs w:val="20"/>
              </w:rPr>
              <w:t>which credit has been given or sum has been paid</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 Where more than one</w:t>
            </w:r>
            <w:r w:rsidRPr="00734DA3">
              <w:rPr>
                <w:rFonts w:ascii="Verdana" w:eastAsia="Times New Roman" w:hAnsi="Verdana" w:cs="Times New Roman"/>
                <w:sz w:val="20"/>
                <w:szCs w:val="20"/>
              </w:rPr>
              <w:br/>
              <w:t>certificate is to be furnished, at the option of the</w:t>
            </w:r>
            <w:r w:rsidRPr="00734DA3">
              <w:rPr>
                <w:rFonts w:ascii="Verdana" w:eastAsia="Times New Roman" w:hAnsi="Verdana" w:cs="Times New Roman"/>
                <w:sz w:val="20"/>
                <w:szCs w:val="20"/>
              </w:rPr>
              <w:br/>
              <w:t>payee, a consolidated</w:t>
            </w:r>
            <w:r w:rsidRPr="00734DA3">
              <w:rPr>
                <w:rFonts w:ascii="Verdana" w:eastAsia="Times New Roman" w:hAnsi="Verdana" w:cs="Times New Roman"/>
                <w:sz w:val="20"/>
                <w:szCs w:val="20"/>
              </w:rPr>
              <w:br/>
              <w:t>certificate within 1 month</w:t>
            </w:r>
            <w:r w:rsidRPr="00734DA3">
              <w:rPr>
                <w:rFonts w:ascii="Verdana" w:eastAsia="Times New Roman" w:hAnsi="Verdana" w:cs="Times New Roman"/>
                <w:sz w:val="20"/>
                <w:szCs w:val="20"/>
              </w:rPr>
              <w:br/>
              <w:t>from the close of the financial year</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lastRenderedPageBreak/>
              <w:t>194BB</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30, 31, 31A, 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Winnings from horse races to any person</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Rs. 2,500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As per S. 194B above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Not permissible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statement in </w:t>
            </w:r>
            <w:r w:rsidRPr="00734DA3">
              <w:rPr>
                <w:rFonts w:ascii="Verdana" w:eastAsia="Times New Roman" w:hAnsi="Verdana" w:cs="Times New Roman"/>
                <w:sz w:val="20"/>
                <w:szCs w:val="20"/>
              </w:rPr>
              <w:br/>
              <w:t>Form No. 26Q/</w:t>
            </w:r>
            <w:r w:rsidRPr="00734DA3">
              <w:rPr>
                <w:rFonts w:ascii="Verdana" w:eastAsia="Times New Roman" w:hAnsi="Verdana" w:cs="Times New Roman"/>
                <w:sz w:val="20"/>
                <w:szCs w:val="20"/>
              </w:rPr>
              <w:br/>
              <w:t>15th July, 15th</w:t>
            </w:r>
            <w:r w:rsidRPr="00734DA3">
              <w:rPr>
                <w:rFonts w:ascii="Verdana" w:eastAsia="Times New Roman" w:hAnsi="Verdana" w:cs="Times New Roman"/>
                <w:sz w:val="20"/>
                <w:szCs w:val="20"/>
              </w:rPr>
              <w:br/>
              <w:t>Oct., 15th Jan.,</w:t>
            </w:r>
            <w:r w:rsidRPr="00734DA3">
              <w:rPr>
                <w:rFonts w:ascii="Verdana" w:eastAsia="Times New Roman" w:hAnsi="Verdana" w:cs="Times New Roman"/>
                <w:sz w:val="20"/>
                <w:szCs w:val="20"/>
              </w:rPr>
              <w:br/>
              <w:t>15th June</w:t>
            </w:r>
            <w:r w:rsidRPr="00734DA3">
              <w:rPr>
                <w:rFonts w:ascii="Verdana" w:eastAsia="Times New Roman" w:hAnsi="Verdana" w:cs="Times New Roman"/>
                <w:sz w:val="20"/>
                <w:szCs w:val="20"/>
              </w:rPr>
              <w:br/>
              <w:t>(for last quarter</w:t>
            </w:r>
            <w:r w:rsidRPr="00734DA3">
              <w:rPr>
                <w:rFonts w:ascii="Verdana" w:eastAsia="Times New Roman" w:hAnsi="Verdana" w:cs="Times New Roman"/>
                <w:sz w:val="20"/>
                <w:szCs w:val="20"/>
              </w:rPr>
              <w:br/>
              <w:t>ended 31st March)</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16A</w:t>
            </w:r>
            <w:r w:rsidRPr="00734DA3">
              <w:rPr>
                <w:rFonts w:ascii="Verdana" w:eastAsia="Times New Roman" w:hAnsi="Verdana" w:cs="Times New Roman"/>
                <w:sz w:val="20"/>
                <w:szCs w:val="20"/>
              </w:rPr>
              <w:br/>
              <w:t>As per S. 194B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lastRenderedPageBreak/>
              <w:t>194C(1) Refer Note 5</w:t>
            </w:r>
            <w:r w:rsidRPr="00734DA3">
              <w:rPr>
                <w:rFonts w:ascii="Verdana" w:eastAsia="Times New Roman" w:hAnsi="Verdana" w:cs="Times New Roman"/>
                <w:b/>
                <w:bCs/>
                <w:sz w:val="20"/>
                <w:szCs w:val="20"/>
              </w:rPr>
              <w:t xml:space="preserve">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28, 28AA 30, 31, 31A, 31AB</w:t>
            </w:r>
            <w:r w:rsidRPr="00734DA3">
              <w:rPr>
                <w:rFonts w:ascii="Verdana" w:eastAsia="Times New Roman" w:hAnsi="Verdana" w:cs="Times New Roman"/>
                <w:b/>
                <w:bCs/>
                <w:sz w:val="20"/>
                <w:szCs w:val="20"/>
              </w:rPr>
              <w:t xml:space="preserve">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Payment to Resident Contractors by</w:t>
            </w:r>
          </w:p>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1. Central or State Govt. or</w:t>
            </w:r>
            <w:r w:rsidRPr="00734DA3">
              <w:rPr>
                <w:rFonts w:ascii="Verdana" w:eastAsia="Times New Roman" w:hAnsi="Verdana" w:cs="Times New Roman"/>
                <w:b/>
                <w:bCs/>
                <w:sz w:val="20"/>
                <w:szCs w:val="20"/>
              </w:rPr>
              <w:br/>
              <w:t xml:space="preserve">2. Local Authority or </w:t>
            </w:r>
            <w:r w:rsidRPr="00734DA3">
              <w:rPr>
                <w:rFonts w:ascii="Verdana" w:eastAsia="Times New Roman" w:hAnsi="Verdana" w:cs="Times New Roman"/>
                <w:sz w:val="20"/>
                <w:szCs w:val="20"/>
              </w:rPr>
              <w:br/>
            </w:r>
            <w:r w:rsidRPr="00734DA3">
              <w:rPr>
                <w:rFonts w:ascii="Verdana" w:eastAsia="Times New Roman" w:hAnsi="Verdana" w:cs="Times New Roman"/>
                <w:b/>
                <w:bCs/>
                <w:sz w:val="20"/>
                <w:szCs w:val="20"/>
              </w:rPr>
              <w:t>3. Corporation or</w:t>
            </w:r>
            <w:r w:rsidRPr="00734DA3">
              <w:rPr>
                <w:rFonts w:ascii="Verdana" w:eastAsia="Times New Roman" w:hAnsi="Verdana" w:cs="Times New Roman"/>
                <w:sz w:val="20"/>
                <w:szCs w:val="20"/>
              </w:rPr>
              <w:t xml:space="preserve"> </w:t>
            </w:r>
            <w:r w:rsidRPr="00734DA3">
              <w:rPr>
                <w:rFonts w:ascii="Verdana" w:eastAsia="Times New Roman" w:hAnsi="Verdana" w:cs="Times New Roman"/>
                <w:sz w:val="20"/>
                <w:szCs w:val="20"/>
              </w:rPr>
              <w:br/>
            </w:r>
            <w:r w:rsidRPr="00734DA3">
              <w:rPr>
                <w:rFonts w:ascii="Verdana" w:eastAsia="Times New Roman" w:hAnsi="Verdana" w:cs="Times New Roman"/>
                <w:b/>
                <w:bCs/>
                <w:sz w:val="20"/>
                <w:szCs w:val="20"/>
              </w:rPr>
              <w:t>4. Company or</w:t>
            </w:r>
            <w:r w:rsidRPr="00734DA3">
              <w:rPr>
                <w:rFonts w:ascii="Verdana" w:eastAsia="Times New Roman" w:hAnsi="Verdana" w:cs="Times New Roman"/>
                <w:sz w:val="20"/>
                <w:szCs w:val="20"/>
              </w:rPr>
              <w:t xml:space="preserve"> </w:t>
            </w:r>
            <w:r w:rsidRPr="00734DA3">
              <w:rPr>
                <w:rFonts w:ascii="Verdana" w:eastAsia="Times New Roman" w:hAnsi="Verdana" w:cs="Times New Roman"/>
                <w:sz w:val="20"/>
                <w:szCs w:val="20"/>
              </w:rPr>
              <w:br/>
            </w:r>
            <w:r w:rsidRPr="00734DA3">
              <w:rPr>
                <w:rFonts w:ascii="Verdana" w:eastAsia="Times New Roman" w:hAnsi="Verdana" w:cs="Times New Roman"/>
                <w:b/>
                <w:bCs/>
                <w:sz w:val="20"/>
                <w:szCs w:val="20"/>
              </w:rPr>
              <w:t xml:space="preserve">5. Co-op. Society or </w:t>
            </w:r>
            <w:r w:rsidRPr="00734DA3">
              <w:rPr>
                <w:rFonts w:ascii="Verdana" w:eastAsia="Times New Roman" w:hAnsi="Verdana" w:cs="Times New Roman"/>
                <w:sz w:val="20"/>
                <w:szCs w:val="20"/>
              </w:rPr>
              <w:br/>
            </w:r>
            <w:r w:rsidRPr="00734DA3">
              <w:rPr>
                <w:rFonts w:ascii="Verdana" w:eastAsia="Times New Roman" w:hAnsi="Verdana" w:cs="Times New Roman"/>
                <w:b/>
                <w:bCs/>
                <w:sz w:val="20"/>
                <w:szCs w:val="20"/>
              </w:rPr>
              <w:t xml:space="preserve">6. Any authority for housing accommodation etc. or </w:t>
            </w:r>
            <w:r w:rsidRPr="00734DA3">
              <w:rPr>
                <w:rFonts w:ascii="Verdana" w:eastAsia="Times New Roman" w:hAnsi="Verdana" w:cs="Times New Roman"/>
                <w:b/>
                <w:bCs/>
                <w:sz w:val="20"/>
                <w:szCs w:val="20"/>
              </w:rPr>
              <w:br/>
              <w:t xml:space="preserve">7. Any society or </w:t>
            </w:r>
            <w:r w:rsidRPr="00734DA3">
              <w:rPr>
                <w:rFonts w:ascii="Verdana" w:eastAsia="Times New Roman" w:hAnsi="Verdana" w:cs="Times New Roman"/>
                <w:b/>
                <w:bCs/>
                <w:sz w:val="20"/>
                <w:szCs w:val="20"/>
              </w:rPr>
              <w:br/>
              <w:t xml:space="preserve">8. Trust or </w:t>
            </w:r>
            <w:r w:rsidRPr="00734DA3">
              <w:rPr>
                <w:rFonts w:ascii="Verdana" w:eastAsia="Times New Roman" w:hAnsi="Verdana" w:cs="Times New Roman"/>
                <w:b/>
                <w:bCs/>
                <w:sz w:val="20"/>
                <w:szCs w:val="20"/>
              </w:rPr>
              <w:br/>
              <w:t xml:space="preserve">9. University or </w:t>
            </w:r>
            <w:r w:rsidRPr="00734DA3">
              <w:rPr>
                <w:rFonts w:ascii="Verdana" w:eastAsia="Times New Roman" w:hAnsi="Verdana" w:cs="Times New Roman"/>
                <w:b/>
                <w:bCs/>
                <w:sz w:val="20"/>
                <w:szCs w:val="20"/>
              </w:rPr>
              <w:br/>
              <w:t>10. Firm</w:t>
            </w:r>
            <w:r w:rsidRPr="00734DA3">
              <w:rPr>
                <w:rFonts w:ascii="Verdana" w:eastAsia="Times New Roman" w:hAnsi="Verdana" w:cs="Times New Roman"/>
                <w:b/>
                <w:bCs/>
                <w:sz w:val="20"/>
                <w:szCs w:val="20"/>
              </w:rPr>
              <w:br/>
              <w:t xml:space="preserve">11. Any individual or </w:t>
            </w:r>
            <w:proofErr w:type="gramStart"/>
            <w:r w:rsidRPr="00734DA3">
              <w:rPr>
                <w:rFonts w:ascii="Verdana" w:eastAsia="Times New Roman" w:hAnsi="Verdana" w:cs="Times New Roman"/>
                <w:b/>
                <w:bCs/>
                <w:sz w:val="20"/>
                <w:szCs w:val="20"/>
              </w:rPr>
              <w:t>HUF</w:t>
            </w:r>
            <w:proofErr w:type="gramEnd"/>
            <w:r w:rsidRPr="00734DA3">
              <w:rPr>
                <w:rFonts w:ascii="Verdana" w:eastAsia="Times New Roman" w:hAnsi="Verdana" w:cs="Times New Roman"/>
                <w:b/>
                <w:bCs/>
                <w:sz w:val="20"/>
                <w:szCs w:val="20"/>
              </w:rPr>
              <w:br/>
              <w:t>(See Note 6)</w:t>
            </w:r>
            <w:r w:rsidRPr="00734DA3">
              <w:rPr>
                <w:rFonts w:ascii="Verdana" w:eastAsia="Times New Roman" w:hAnsi="Verdana" w:cs="Times New Roman"/>
                <w:b/>
                <w:bCs/>
                <w:sz w:val="20"/>
                <w:szCs w:val="20"/>
              </w:rPr>
              <w:br/>
              <w:t xml:space="preserve">12. AOP </w:t>
            </w:r>
            <w:r w:rsidRPr="00734DA3">
              <w:rPr>
                <w:rFonts w:ascii="Verdana" w:eastAsia="Times New Roman" w:hAnsi="Verdana" w:cs="Times New Roman"/>
                <w:b/>
                <w:bCs/>
                <w:sz w:val="20"/>
                <w:szCs w:val="20"/>
              </w:rPr>
              <w:br/>
              <w:t>(</w:t>
            </w:r>
            <w:proofErr w:type="spellStart"/>
            <w:r w:rsidRPr="00734DA3">
              <w:rPr>
                <w:rFonts w:ascii="Verdana" w:eastAsia="Times New Roman" w:hAnsi="Verdana" w:cs="Times New Roman"/>
                <w:b/>
                <w:bCs/>
                <w:sz w:val="20"/>
                <w:szCs w:val="20"/>
              </w:rPr>
              <w:t>w.e.f</w:t>
            </w:r>
            <w:proofErr w:type="spellEnd"/>
            <w:r w:rsidRPr="00734DA3">
              <w:rPr>
                <w:rFonts w:ascii="Verdana" w:eastAsia="Times New Roman" w:hAnsi="Verdana" w:cs="Times New Roman"/>
                <w:b/>
                <w:bCs/>
                <w:sz w:val="20"/>
                <w:szCs w:val="20"/>
              </w:rPr>
              <w:t>. 1.06.08)</w:t>
            </w:r>
            <w:r w:rsidRPr="00734DA3">
              <w:rPr>
                <w:rFonts w:ascii="Verdana" w:eastAsia="Times New Roman" w:hAnsi="Verdana" w:cs="Times New Roman"/>
                <w:b/>
                <w:bCs/>
                <w:sz w:val="20"/>
                <w:szCs w:val="20"/>
              </w:rPr>
              <w:br/>
              <w:t xml:space="preserve">13. BOI </w:t>
            </w:r>
            <w:r w:rsidRPr="00734DA3">
              <w:rPr>
                <w:rFonts w:ascii="Verdana" w:eastAsia="Times New Roman" w:hAnsi="Verdana" w:cs="Times New Roman"/>
                <w:b/>
                <w:bCs/>
                <w:sz w:val="20"/>
                <w:szCs w:val="20"/>
              </w:rPr>
              <w:br/>
              <w:t>(</w:t>
            </w:r>
            <w:proofErr w:type="spellStart"/>
            <w:r w:rsidRPr="00734DA3">
              <w:rPr>
                <w:rFonts w:ascii="Verdana" w:eastAsia="Times New Roman" w:hAnsi="Verdana" w:cs="Times New Roman"/>
                <w:b/>
                <w:bCs/>
                <w:sz w:val="20"/>
                <w:szCs w:val="20"/>
              </w:rPr>
              <w:t>w.e.f</w:t>
            </w:r>
            <w:proofErr w:type="spellEnd"/>
            <w:r w:rsidRPr="00734DA3">
              <w:rPr>
                <w:rFonts w:ascii="Verdana" w:eastAsia="Times New Roman" w:hAnsi="Verdana" w:cs="Times New Roman"/>
                <w:b/>
                <w:bCs/>
                <w:sz w:val="20"/>
                <w:szCs w:val="20"/>
              </w:rPr>
              <w:t>. 1.06.08)</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w:t>
            </w:r>
            <w:proofErr w:type="spellStart"/>
            <w:r w:rsidRPr="00734DA3">
              <w:rPr>
                <w:rFonts w:ascii="Verdana" w:eastAsia="Times New Roman" w:hAnsi="Verdana" w:cs="Times New Roman"/>
                <w:sz w:val="20"/>
                <w:szCs w:val="20"/>
              </w:rPr>
              <w:t>i</w:t>
            </w:r>
            <w:proofErr w:type="spellEnd"/>
            <w:r w:rsidRPr="00734DA3">
              <w:rPr>
                <w:rFonts w:ascii="Verdana" w:eastAsia="Times New Roman" w:hAnsi="Verdana" w:cs="Times New Roman"/>
                <w:sz w:val="20"/>
                <w:szCs w:val="20"/>
              </w:rPr>
              <w:t>) Rs. 20,000 per credit/payment and</w:t>
            </w:r>
          </w:p>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(ii) Rs. 50,000 per Financial Year </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282"/>
              <w:gridCol w:w="310"/>
            </w:tblGrid>
            <w:tr w:rsidR="00734DA3" w:rsidRPr="00734DA3">
              <w:tc>
                <w:tcPr>
                  <w:tcW w:w="5000" w:type="pct"/>
                  <w:gridSpan w:val="2"/>
                  <w:tcBorders>
                    <w:top w:val="nil"/>
                    <w:left w:val="nil"/>
                    <w:bottom w:val="nil"/>
                    <w:right w:val="nil"/>
                  </w:tcBorders>
                  <w:vAlign w:val="center"/>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 </w:t>
                  </w:r>
                  <w:r w:rsidRPr="00734DA3">
                    <w:rPr>
                      <w:rFonts w:ascii="Verdana" w:eastAsia="Times New Roman" w:hAnsi="Verdana" w:cs="Times New Roman"/>
                      <w:sz w:val="20"/>
                      <w:szCs w:val="20"/>
                      <w:u w:val="single"/>
                    </w:rPr>
                    <w:t xml:space="preserve">Advertising Contracts </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Cos., Firms</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 </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Co-op. Soc.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Individuals/ HUFs/AOP/  BOI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w:t>
                  </w:r>
                </w:p>
              </w:tc>
            </w:tr>
            <w:tr w:rsidR="00734DA3" w:rsidRPr="00734DA3">
              <w:tc>
                <w:tcPr>
                  <w:tcW w:w="5000" w:type="pct"/>
                  <w:gridSpan w:val="2"/>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 </w:t>
                  </w:r>
                  <w:r w:rsidRPr="00734DA3">
                    <w:rPr>
                      <w:rFonts w:ascii="Verdana" w:eastAsia="Times New Roman" w:hAnsi="Verdana" w:cs="Times New Roman"/>
                      <w:sz w:val="20"/>
                      <w:szCs w:val="20"/>
                      <w:u w:val="single"/>
                    </w:rPr>
                    <w:t>Other Contracts</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Cos., Firms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Co-op. Soc.</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Individuals/ HUFs/AOP/ BOI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Payee to apply in F.13 to the A.O. to obtain certificate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Quarterly statement in Form No. 26Q/15th July, 15th Oct., 15th Jan.,15th June (for last quarter ended 31st March)</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16A 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194C(2) Refer Note 5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28, 28AA 30, 31, 31A 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Payment to resident sub-contractors (by above contractors)</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As per S. 194C(1)</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282"/>
              <w:gridCol w:w="310"/>
            </w:tblGrid>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Cos., Firms</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 </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Co-op. Soc.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w:t>
                  </w:r>
                </w:p>
              </w:tc>
            </w:tr>
            <w:tr w:rsidR="00734DA3" w:rsidRPr="00734DA3">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Individuals/ HUFs/AOP/  BOI  </w:t>
                  </w:r>
                </w:p>
              </w:tc>
              <w:tc>
                <w:tcPr>
                  <w:tcW w:w="25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Payee to apply in F. 13 to the A.O. to obtain certificate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As per S.194C(1)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194D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28, 28AA,30, 31, 31A,31AB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Insurance commission to Resident</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Rs. 5,000 </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84"/>
              <w:gridCol w:w="508"/>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Companies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20%</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Firms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Payee to apply in F.13 to the A.O. to obtain certificate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Quarterly statement in Form No. 26Q/15th July, from the close of the  –  15th Oct., 15th Jan., 15th June (See note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F. 16A </w:t>
            </w:r>
            <w:r w:rsidRPr="00734DA3">
              <w:rPr>
                <w:rFonts w:ascii="Verdana" w:eastAsia="Times New Roman" w:hAnsi="Verdana" w:cs="Times New Roman"/>
                <w:sz w:val="20"/>
                <w:szCs w:val="20"/>
              </w:rPr>
              <w:br/>
              <w:t xml:space="preserve">As per (1) or (3) of S.193 above or within 1 month financial year </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194E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26, 30, 31,31A, 31AB,37A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Payments to Non - resident sportsmen/ sports association</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Not applicable</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77"/>
              <w:gridCol w:w="515"/>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Firm</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Not permissible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w:t>
            </w:r>
            <w:r w:rsidRPr="00734DA3">
              <w:rPr>
                <w:rFonts w:ascii="Verdana" w:eastAsia="Times New Roman" w:hAnsi="Verdana" w:cs="Times New Roman"/>
                <w:sz w:val="20"/>
                <w:szCs w:val="20"/>
              </w:rPr>
              <w:br/>
              <w:t>statement in Form No. 27Q/ 14th July,14th Oct., 14th Jan.,14th April</w:t>
            </w:r>
            <w:r w:rsidRPr="00734DA3">
              <w:rPr>
                <w:rFonts w:ascii="Verdana" w:eastAsia="Times New Roman" w:hAnsi="Verdana" w:cs="Times New Roman"/>
                <w:sz w:val="20"/>
                <w:szCs w:val="20"/>
              </w:rPr>
              <w:br/>
              <w:t>(See Notes 3 &amp;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16A</w:t>
            </w:r>
            <w:r w:rsidRPr="00734DA3">
              <w:rPr>
                <w:rFonts w:ascii="Verdana" w:eastAsia="Times New Roman" w:hAnsi="Verdana" w:cs="Times New Roman"/>
                <w:sz w:val="20"/>
                <w:szCs w:val="20"/>
              </w:rPr>
              <w:br/>
              <w:t>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194EE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29C, 30, 31, 31A, 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Payments of deposits under NSS to any person</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Payments to heirs exempt. In any other case less than</w:t>
            </w:r>
            <w:r w:rsidRPr="00734DA3">
              <w:rPr>
                <w:rFonts w:ascii="Verdana" w:eastAsia="Times New Roman" w:hAnsi="Verdana" w:cs="Times New Roman"/>
                <w:b/>
                <w:bCs/>
                <w:sz w:val="20"/>
                <w:szCs w:val="20"/>
              </w:rPr>
              <w:t xml:space="preserve"> </w:t>
            </w:r>
            <w:r w:rsidRPr="00734DA3">
              <w:rPr>
                <w:rFonts w:ascii="Verdana" w:eastAsia="Times New Roman" w:hAnsi="Verdana" w:cs="Times New Roman"/>
                <w:sz w:val="20"/>
                <w:szCs w:val="20"/>
              </w:rPr>
              <w:t>Rs. 2,500</w:t>
            </w:r>
            <w:r w:rsidRPr="00734DA3">
              <w:rPr>
                <w:rFonts w:ascii="Verdana" w:eastAsia="Times New Roman" w:hAnsi="Verdana" w:cs="Times New Roman"/>
                <w:b/>
                <w:bCs/>
                <w:sz w:val="20"/>
                <w:szCs w:val="20"/>
              </w:rPr>
              <w:t xml:space="preserve"> </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85"/>
              <w:gridCol w:w="507"/>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Firm</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2</w:t>
                  </w:r>
                  <w:r w:rsidRPr="00734DA3">
                    <w:rPr>
                      <w:rFonts w:ascii="Verdana" w:eastAsia="Times New Roman" w:hAnsi="Verdana" w:cs="Times New Roman"/>
                      <w:sz w:val="20"/>
                      <w:szCs w:val="20"/>
                    </w:rPr>
                    <w:t xml:space="preserve">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2</w:t>
                  </w:r>
                  <w:r w:rsidRPr="00734DA3">
                    <w:rPr>
                      <w:rFonts w:ascii="Verdana" w:eastAsia="Times New Roman" w:hAnsi="Verdana" w:cs="Times New Roman"/>
                      <w:sz w:val="20"/>
                      <w:szCs w:val="20"/>
                    </w:rPr>
                    <w:t xml:space="preserve">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2</w:t>
                  </w:r>
                  <w:r w:rsidRPr="00734DA3">
                    <w:rPr>
                      <w:rFonts w:ascii="Verdana" w:eastAsia="Times New Roman" w:hAnsi="Verdana" w:cs="Times New Roman"/>
                      <w:sz w:val="20"/>
                      <w:szCs w:val="20"/>
                    </w:rPr>
                    <w:t>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If F.15G/F.15H is furnished by a resident individual</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Quarterly statement in Form No. 26Q/</w:t>
            </w:r>
            <w:r w:rsidRPr="00734DA3">
              <w:rPr>
                <w:rFonts w:ascii="Verdana" w:eastAsia="Times New Roman" w:hAnsi="Verdana" w:cs="Times New Roman"/>
                <w:b/>
                <w:bCs/>
                <w:sz w:val="20"/>
                <w:szCs w:val="20"/>
              </w:rPr>
              <w:t xml:space="preserve"> </w:t>
            </w:r>
            <w:r w:rsidRPr="00734DA3">
              <w:rPr>
                <w:rFonts w:ascii="Verdana" w:eastAsia="Times New Roman" w:hAnsi="Verdana" w:cs="Times New Roman"/>
                <w:sz w:val="20"/>
                <w:szCs w:val="20"/>
              </w:rPr>
              <w:t>15th July,15th Oct., 15th</w:t>
            </w:r>
            <w:r w:rsidRPr="00734DA3">
              <w:rPr>
                <w:rFonts w:ascii="Verdana" w:eastAsia="Times New Roman" w:hAnsi="Verdana" w:cs="Times New Roman"/>
                <w:sz w:val="20"/>
                <w:szCs w:val="20"/>
              </w:rPr>
              <w:br/>
              <w:t xml:space="preserve">Jan., </w:t>
            </w:r>
            <w:r w:rsidRPr="00734DA3">
              <w:rPr>
                <w:rFonts w:ascii="Verdana" w:eastAsia="Times New Roman" w:hAnsi="Verdana" w:cs="Times New Roman"/>
                <w:sz w:val="20"/>
                <w:szCs w:val="20"/>
              </w:rPr>
              <w:lastRenderedPageBreak/>
              <w:t>15th June</w:t>
            </w:r>
            <w:r w:rsidRPr="00734DA3">
              <w:rPr>
                <w:rFonts w:ascii="Verdana" w:eastAsia="Times New Roman" w:hAnsi="Verdana" w:cs="Times New Roman"/>
                <w:sz w:val="20"/>
                <w:szCs w:val="20"/>
              </w:rPr>
              <w:br/>
              <w:t>(See note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F. 16A</w:t>
            </w:r>
            <w:r w:rsidRPr="00734DA3">
              <w:rPr>
                <w:rFonts w:ascii="Verdana" w:eastAsia="Times New Roman" w:hAnsi="Verdana" w:cs="Times New Roman"/>
                <w:sz w:val="20"/>
                <w:szCs w:val="20"/>
              </w:rPr>
              <w:br/>
              <w:t>As per S. 194B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194G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28, 28AA, 30, 31, 31A, 31AB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Commission/ Remuneration on sale of lottery tickets to any person</w:t>
            </w:r>
            <w:r w:rsidRPr="00734DA3">
              <w:rPr>
                <w:rFonts w:ascii="Verdana" w:eastAsia="Times New Roman" w:hAnsi="Verdana" w:cs="Times New Roman"/>
                <w:sz w:val="20"/>
                <w:szCs w:val="20"/>
              </w:rPr>
              <w:t xml:space="preserve"> </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Rs. 1,000 </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77"/>
              <w:gridCol w:w="515"/>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Cos. Firms,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Payee to apply in F.13 to the A.O. to obtain certificate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statement in </w:t>
            </w:r>
            <w:r w:rsidRPr="00734DA3">
              <w:rPr>
                <w:rFonts w:ascii="Verdana" w:eastAsia="Times New Roman" w:hAnsi="Verdana" w:cs="Times New Roman"/>
                <w:sz w:val="20"/>
                <w:szCs w:val="20"/>
              </w:rPr>
              <w:br/>
              <w:t>Form No. 26Q/</w:t>
            </w:r>
            <w:r w:rsidRPr="00734DA3">
              <w:rPr>
                <w:rFonts w:ascii="Verdana" w:eastAsia="Times New Roman" w:hAnsi="Verdana" w:cs="Times New Roman"/>
                <w:sz w:val="20"/>
                <w:szCs w:val="20"/>
              </w:rPr>
              <w:br/>
              <w:t>15th July,</w:t>
            </w:r>
            <w:r w:rsidRPr="00734DA3">
              <w:rPr>
                <w:rFonts w:ascii="Verdana" w:eastAsia="Times New Roman" w:hAnsi="Verdana" w:cs="Times New Roman"/>
                <w:sz w:val="20"/>
                <w:szCs w:val="20"/>
              </w:rPr>
              <w:br/>
              <w:t>15th Oct., 15th</w:t>
            </w:r>
            <w:r w:rsidRPr="00734DA3">
              <w:rPr>
                <w:rFonts w:ascii="Verdana" w:eastAsia="Times New Roman" w:hAnsi="Verdana" w:cs="Times New Roman"/>
                <w:sz w:val="20"/>
                <w:szCs w:val="20"/>
              </w:rPr>
              <w:br/>
              <w:t>Jan., 15th June</w:t>
            </w:r>
            <w:r w:rsidRPr="00734DA3">
              <w:rPr>
                <w:rFonts w:ascii="Verdana" w:eastAsia="Times New Roman" w:hAnsi="Verdana" w:cs="Times New Roman"/>
                <w:sz w:val="20"/>
                <w:szCs w:val="20"/>
              </w:rPr>
              <w:br/>
              <w:t>(See note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16A</w:t>
            </w:r>
            <w:r w:rsidRPr="00734DA3">
              <w:rPr>
                <w:rFonts w:ascii="Verdana" w:eastAsia="Times New Roman" w:hAnsi="Verdana" w:cs="Times New Roman"/>
                <w:sz w:val="20"/>
                <w:szCs w:val="20"/>
              </w:rPr>
              <w:br/>
              <w:t>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194H  Refer  Note 5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28, 28AA, 30, 31, 31A,31AB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Commission or Brokerage to a resident</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a) Individual &amp; HUF – not required to deduct tax</w:t>
            </w:r>
            <w:r w:rsidRPr="00734DA3">
              <w:rPr>
                <w:rFonts w:ascii="Verdana" w:eastAsia="Times New Roman" w:hAnsi="Verdana" w:cs="Times New Roman"/>
                <w:sz w:val="20"/>
                <w:szCs w:val="20"/>
              </w:rPr>
              <w:br/>
              <w:t>(Subject to Note 6)</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b) Rs. 2,500 p.a.</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c) No deduction for </w:t>
            </w:r>
            <w:r w:rsidRPr="00734DA3">
              <w:rPr>
                <w:rFonts w:ascii="Verdana" w:eastAsia="Times New Roman" w:hAnsi="Verdana" w:cs="Times New Roman"/>
                <w:sz w:val="20"/>
                <w:szCs w:val="20"/>
              </w:rPr>
              <w:br/>
              <w:t xml:space="preserve">commission or brokerage payable to BSNL &amp; MTNL </w:t>
            </w:r>
            <w:r w:rsidRPr="00734DA3">
              <w:rPr>
                <w:rFonts w:ascii="Verdana" w:eastAsia="Times New Roman" w:hAnsi="Verdana" w:cs="Times New Roman"/>
                <w:sz w:val="20"/>
                <w:szCs w:val="20"/>
              </w:rPr>
              <w:br/>
              <w:t xml:space="preserve">to their PCO franchises </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77"/>
              <w:gridCol w:w="515"/>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Cos. Firms,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Payee to apply in F.13 to the A.O. to obtain certificate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statement in </w:t>
            </w:r>
            <w:r w:rsidRPr="00734DA3">
              <w:rPr>
                <w:rFonts w:ascii="Verdana" w:eastAsia="Times New Roman" w:hAnsi="Verdana" w:cs="Times New Roman"/>
                <w:sz w:val="20"/>
                <w:szCs w:val="20"/>
              </w:rPr>
              <w:br/>
              <w:t>Form No. 26Q/</w:t>
            </w:r>
            <w:r w:rsidRPr="00734DA3">
              <w:rPr>
                <w:rFonts w:ascii="Verdana" w:eastAsia="Times New Roman" w:hAnsi="Verdana" w:cs="Times New Roman"/>
                <w:sz w:val="20"/>
                <w:szCs w:val="20"/>
              </w:rPr>
              <w:br/>
              <w:t>15th July,</w:t>
            </w:r>
            <w:r w:rsidRPr="00734DA3">
              <w:rPr>
                <w:rFonts w:ascii="Verdana" w:eastAsia="Times New Roman" w:hAnsi="Verdana" w:cs="Times New Roman"/>
                <w:sz w:val="20"/>
                <w:szCs w:val="20"/>
              </w:rPr>
              <w:br/>
              <w:t>15th Oct., 15th</w:t>
            </w:r>
            <w:r w:rsidRPr="00734DA3">
              <w:rPr>
                <w:rFonts w:ascii="Verdana" w:eastAsia="Times New Roman" w:hAnsi="Verdana" w:cs="Times New Roman"/>
                <w:sz w:val="20"/>
                <w:szCs w:val="20"/>
              </w:rPr>
              <w:br/>
              <w:t>Jan., 15th June</w:t>
            </w:r>
            <w:r w:rsidRPr="00734DA3">
              <w:rPr>
                <w:rFonts w:ascii="Verdana" w:eastAsia="Times New Roman" w:hAnsi="Verdana" w:cs="Times New Roman"/>
                <w:sz w:val="20"/>
                <w:szCs w:val="20"/>
              </w:rPr>
              <w:br/>
              <w:t>(See note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16A</w:t>
            </w:r>
            <w:r w:rsidRPr="00734DA3">
              <w:rPr>
                <w:rFonts w:ascii="Verdana" w:eastAsia="Times New Roman" w:hAnsi="Verdana" w:cs="Times New Roman"/>
                <w:sz w:val="20"/>
                <w:szCs w:val="20"/>
              </w:rPr>
              <w:br/>
              <w:t>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194-I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28, 28AA 30, 31, 31A,31AB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Rents paid to any resident for Plant Machinery, Equipment, </w:t>
            </w:r>
          </w:p>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Rents paid to any resident for Land &amp; </w:t>
            </w:r>
            <w:r w:rsidRPr="00734DA3">
              <w:rPr>
                <w:rFonts w:ascii="Verdana" w:eastAsia="Times New Roman" w:hAnsi="Verdana" w:cs="Times New Roman"/>
                <w:b/>
                <w:bCs/>
                <w:sz w:val="20"/>
                <w:szCs w:val="20"/>
              </w:rPr>
              <w:lastRenderedPageBreak/>
              <w:t>Building, Furniture</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a) Individual &amp; HUF – not required to deduct tax</w:t>
            </w:r>
            <w:r w:rsidRPr="00734DA3">
              <w:rPr>
                <w:rFonts w:ascii="Verdana" w:eastAsia="Times New Roman" w:hAnsi="Verdana" w:cs="Times New Roman"/>
                <w:sz w:val="20"/>
                <w:szCs w:val="20"/>
              </w:rPr>
              <w:br/>
              <w:t>(Subject to Note 6)</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b) Rs. 1</w:t>
            </w:r>
            <w:proofErr w:type="gramStart"/>
            <w:r w:rsidRPr="00734DA3">
              <w:rPr>
                <w:rFonts w:ascii="Verdana" w:eastAsia="Times New Roman" w:hAnsi="Verdana" w:cs="Times New Roman"/>
                <w:sz w:val="20"/>
                <w:szCs w:val="20"/>
              </w:rPr>
              <w:t>,20,000</w:t>
            </w:r>
            <w:proofErr w:type="gramEnd"/>
            <w:r w:rsidRPr="00734DA3">
              <w:rPr>
                <w:rFonts w:ascii="Verdana" w:eastAsia="Times New Roman" w:hAnsi="Verdana" w:cs="Times New Roman"/>
                <w:sz w:val="20"/>
                <w:szCs w:val="20"/>
              </w:rPr>
              <w:t xml:space="preserve"> p.a. </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c) No tax </w:t>
            </w:r>
            <w:r w:rsidRPr="00734DA3">
              <w:rPr>
                <w:rFonts w:ascii="Verdana" w:eastAsia="Times New Roman" w:hAnsi="Verdana" w:cs="Times New Roman"/>
                <w:sz w:val="20"/>
                <w:szCs w:val="20"/>
              </w:rPr>
              <w:lastRenderedPageBreak/>
              <w:t>deduction if payee</w:t>
            </w:r>
            <w:r w:rsidRPr="00734DA3">
              <w:rPr>
                <w:rFonts w:ascii="Verdana" w:eastAsia="Times New Roman" w:hAnsi="Verdana" w:cs="Times New Roman"/>
                <w:b/>
                <w:bCs/>
                <w:sz w:val="20"/>
                <w:szCs w:val="20"/>
              </w:rPr>
              <w:t xml:space="preserve"> </w:t>
            </w:r>
            <w:r w:rsidRPr="00734DA3">
              <w:rPr>
                <w:rFonts w:ascii="Verdana" w:eastAsia="Times New Roman" w:hAnsi="Verdana" w:cs="Times New Roman"/>
                <w:sz w:val="20"/>
                <w:szCs w:val="20"/>
              </w:rPr>
              <w:t>is Government/Local</w:t>
            </w:r>
            <w:r w:rsidRPr="00734DA3">
              <w:rPr>
                <w:rFonts w:ascii="Verdana" w:eastAsia="Times New Roman" w:hAnsi="Verdana" w:cs="Times New Roman"/>
                <w:b/>
                <w:bCs/>
                <w:sz w:val="20"/>
                <w:szCs w:val="20"/>
              </w:rPr>
              <w:t xml:space="preserve"> </w:t>
            </w:r>
            <w:r w:rsidRPr="00734DA3">
              <w:rPr>
                <w:rFonts w:ascii="Verdana" w:eastAsia="Times New Roman" w:hAnsi="Verdana" w:cs="Times New Roman"/>
                <w:sz w:val="20"/>
                <w:szCs w:val="20"/>
              </w:rPr>
              <w:br/>
              <w:t>Authority</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77"/>
              <w:gridCol w:w="515"/>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Cos. Firms,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r w:rsidR="00734DA3" w:rsidRPr="00734DA3">
              <w:tc>
                <w:tcPr>
                  <w:tcW w:w="3000" w:type="pct"/>
                  <w:tcBorders>
                    <w:top w:val="nil"/>
                    <w:left w:val="nil"/>
                    <w:bottom w:val="nil"/>
                    <w:right w:val="nil"/>
                  </w:tcBorders>
                  <w:hideMark/>
                </w:tcPr>
                <w:p w:rsidR="00734DA3" w:rsidRPr="00734DA3" w:rsidRDefault="00734DA3" w:rsidP="00734DA3">
                  <w:pPr>
                    <w:spacing w:after="0" w:line="240" w:lineRule="auto"/>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2000" w:type="pct"/>
                  <w:tcBorders>
                    <w:top w:val="nil"/>
                    <w:left w:val="nil"/>
                    <w:bottom w:val="nil"/>
                    <w:right w:val="nil"/>
                  </w:tcBorders>
                  <w:hideMark/>
                </w:tcPr>
                <w:p w:rsidR="00734DA3" w:rsidRPr="00734DA3" w:rsidRDefault="00734DA3" w:rsidP="00734DA3">
                  <w:pPr>
                    <w:spacing w:after="0" w:line="240" w:lineRule="auto"/>
                    <w:rPr>
                      <w:rFonts w:ascii="Verdana" w:eastAsia="Times New Roman" w:hAnsi="Verdana" w:cs="Times New Roman"/>
                      <w:sz w:val="18"/>
                      <w:szCs w:val="18"/>
                    </w:rPr>
                  </w:pPr>
                  <w:r w:rsidRPr="00734DA3">
                    <w:rPr>
                      <w:rFonts w:ascii="Verdana" w:eastAsia="Times New Roman" w:hAnsi="Verdana" w:cs="Times New Roman"/>
                      <w:sz w:val="18"/>
                      <w:szCs w:val="18"/>
                    </w:rPr>
                    <w:t>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Cos. </w:t>
                  </w:r>
                  <w:r w:rsidRPr="00734DA3">
                    <w:rPr>
                      <w:rFonts w:ascii="Verdana" w:eastAsia="Times New Roman" w:hAnsi="Verdana" w:cs="Times New Roman"/>
                      <w:sz w:val="20"/>
                      <w:szCs w:val="20"/>
                    </w:rPr>
                    <w:lastRenderedPageBreak/>
                    <w:t>Firms,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lastRenderedPageBreak/>
                    <w:t>2</w:t>
                  </w:r>
                  <w:r w:rsidRPr="00734DA3">
                    <w:rPr>
                      <w:rFonts w:ascii="Verdana" w:eastAsia="Times New Roman" w:hAnsi="Verdana" w:cs="Times New Roman"/>
                      <w:sz w:val="20"/>
                      <w:szCs w:val="20"/>
                    </w:rPr>
                    <w:t>0</w:t>
                  </w:r>
                  <w:r w:rsidRPr="00734DA3">
                    <w:rPr>
                      <w:rFonts w:ascii="Verdana" w:eastAsia="Times New Roman" w:hAnsi="Verdana" w:cs="Times New Roman"/>
                      <w:sz w:val="20"/>
                      <w:szCs w:val="20"/>
                    </w:rPr>
                    <w:lastRenderedPageBreak/>
                    <w:t xml:space="preserve">%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18"/>
                      <w:szCs w:val="18"/>
                    </w:rPr>
                    <w:t>2</w:t>
                  </w:r>
                  <w:r w:rsidRPr="00734DA3">
                    <w:rPr>
                      <w:rFonts w:ascii="Verdana" w:eastAsia="Times New Roman" w:hAnsi="Verdana" w:cs="Times New Roman"/>
                      <w:sz w:val="20"/>
                      <w:szCs w:val="20"/>
                    </w:rPr>
                    <w:t xml:space="preserve">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15%</w:t>
                  </w:r>
                </w:p>
              </w:tc>
            </w:tr>
            <w:tr w:rsidR="00734DA3" w:rsidRPr="00734DA3">
              <w:tc>
                <w:tcPr>
                  <w:tcW w:w="3000" w:type="pct"/>
                  <w:tcBorders>
                    <w:top w:val="nil"/>
                    <w:left w:val="nil"/>
                    <w:bottom w:val="nil"/>
                    <w:right w:val="nil"/>
                  </w:tcBorders>
                  <w:hideMark/>
                </w:tcPr>
                <w:p w:rsidR="00734DA3" w:rsidRPr="00734DA3" w:rsidRDefault="00734DA3" w:rsidP="00734DA3">
                  <w:pPr>
                    <w:spacing w:after="0" w:line="240" w:lineRule="auto"/>
                    <w:rPr>
                      <w:rFonts w:ascii="Verdana" w:eastAsia="Times New Roman" w:hAnsi="Verdana" w:cs="Times New Roman"/>
                      <w:sz w:val="18"/>
                      <w:szCs w:val="18"/>
                    </w:rPr>
                  </w:pPr>
                  <w:r w:rsidRPr="00734DA3">
                    <w:rPr>
                      <w:rFonts w:ascii="Verdana" w:eastAsia="Times New Roman" w:hAnsi="Verdana" w:cs="Times New Roman"/>
                      <w:sz w:val="18"/>
                      <w:szCs w:val="18"/>
                    </w:rPr>
                    <w:t> </w:t>
                  </w:r>
                </w:p>
              </w:tc>
              <w:tc>
                <w:tcPr>
                  <w:tcW w:w="2000" w:type="pct"/>
                  <w:tcBorders>
                    <w:top w:val="nil"/>
                    <w:left w:val="nil"/>
                    <w:bottom w:val="nil"/>
                    <w:right w:val="nil"/>
                  </w:tcBorders>
                  <w:hideMark/>
                </w:tcPr>
                <w:p w:rsidR="00734DA3" w:rsidRPr="00734DA3" w:rsidRDefault="00734DA3" w:rsidP="00734DA3">
                  <w:pPr>
                    <w:spacing w:after="0" w:line="240" w:lineRule="auto"/>
                    <w:rPr>
                      <w:rFonts w:ascii="Verdana" w:eastAsia="Times New Roman" w:hAnsi="Verdana" w:cs="Times New Roman"/>
                      <w:sz w:val="18"/>
                      <w:szCs w:val="18"/>
                    </w:rPr>
                  </w:pPr>
                  <w:r w:rsidRPr="00734DA3">
                    <w:rPr>
                      <w:rFonts w:ascii="Verdana" w:eastAsia="Times New Roman" w:hAnsi="Verdana" w:cs="Times New Roman"/>
                      <w:sz w:val="18"/>
                      <w:szCs w:val="18"/>
                    </w:rPr>
                    <w:t> </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Payee to apply in F.13 to the A.O. to obtain certificate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statement in </w:t>
            </w:r>
            <w:r w:rsidRPr="00734DA3">
              <w:rPr>
                <w:rFonts w:ascii="Verdana" w:eastAsia="Times New Roman" w:hAnsi="Verdana" w:cs="Times New Roman"/>
                <w:sz w:val="20"/>
                <w:szCs w:val="20"/>
              </w:rPr>
              <w:br/>
              <w:t>Form No. 26Q/</w:t>
            </w:r>
            <w:r w:rsidRPr="00734DA3">
              <w:rPr>
                <w:rFonts w:ascii="Verdana" w:eastAsia="Times New Roman" w:hAnsi="Verdana" w:cs="Times New Roman"/>
                <w:sz w:val="20"/>
                <w:szCs w:val="20"/>
              </w:rPr>
              <w:br/>
              <w:t>15th July,</w:t>
            </w:r>
            <w:r w:rsidRPr="00734DA3">
              <w:rPr>
                <w:rFonts w:ascii="Verdana" w:eastAsia="Times New Roman" w:hAnsi="Verdana" w:cs="Times New Roman"/>
                <w:sz w:val="20"/>
                <w:szCs w:val="20"/>
              </w:rPr>
              <w:br/>
              <w:t xml:space="preserve">15th Oct., </w:t>
            </w:r>
            <w:r w:rsidRPr="00734DA3">
              <w:rPr>
                <w:rFonts w:ascii="Verdana" w:eastAsia="Times New Roman" w:hAnsi="Verdana" w:cs="Times New Roman"/>
                <w:sz w:val="20"/>
                <w:szCs w:val="20"/>
              </w:rPr>
              <w:lastRenderedPageBreak/>
              <w:t>15th</w:t>
            </w:r>
            <w:r w:rsidRPr="00734DA3">
              <w:rPr>
                <w:rFonts w:ascii="Verdana" w:eastAsia="Times New Roman" w:hAnsi="Verdana" w:cs="Times New Roman"/>
                <w:sz w:val="20"/>
                <w:szCs w:val="20"/>
              </w:rPr>
              <w:br/>
              <w:t>Jan., 15th June</w:t>
            </w:r>
            <w:r w:rsidRPr="00734DA3">
              <w:rPr>
                <w:rFonts w:ascii="Verdana" w:eastAsia="Times New Roman" w:hAnsi="Verdana" w:cs="Times New Roman"/>
                <w:sz w:val="20"/>
                <w:szCs w:val="20"/>
              </w:rPr>
              <w:br/>
              <w:t>(See note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F. 16A</w:t>
            </w:r>
            <w:r w:rsidRPr="00734DA3">
              <w:rPr>
                <w:rFonts w:ascii="Verdana" w:eastAsia="Times New Roman" w:hAnsi="Verdana" w:cs="Times New Roman"/>
                <w:sz w:val="20"/>
                <w:szCs w:val="20"/>
              </w:rPr>
              <w:br/>
              <w:t>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194J Refer Note 5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28, 28AA,30, 31, 31A,31AB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Fees for professional</w:t>
            </w:r>
            <w:r w:rsidRPr="00734DA3">
              <w:rPr>
                <w:rFonts w:ascii="Verdana" w:eastAsia="Times New Roman" w:hAnsi="Verdana" w:cs="Times New Roman"/>
                <w:sz w:val="20"/>
                <w:szCs w:val="20"/>
              </w:rPr>
              <w:t xml:space="preserve"> </w:t>
            </w:r>
            <w:r w:rsidRPr="00734DA3">
              <w:rPr>
                <w:rFonts w:ascii="Verdana" w:eastAsia="Times New Roman" w:hAnsi="Verdana" w:cs="Times New Roman"/>
                <w:b/>
                <w:bCs/>
                <w:sz w:val="20"/>
                <w:szCs w:val="20"/>
              </w:rPr>
              <w:t>or technical services,</w:t>
            </w:r>
            <w:r w:rsidRPr="00734DA3">
              <w:rPr>
                <w:rFonts w:ascii="Verdana" w:eastAsia="Times New Roman" w:hAnsi="Verdana" w:cs="Times New Roman"/>
                <w:sz w:val="20"/>
                <w:szCs w:val="20"/>
              </w:rPr>
              <w:t xml:space="preserve"> </w:t>
            </w:r>
            <w:r w:rsidRPr="00734DA3">
              <w:rPr>
                <w:rFonts w:ascii="Verdana" w:eastAsia="Times New Roman" w:hAnsi="Verdana" w:cs="Times New Roman"/>
                <w:b/>
                <w:bCs/>
                <w:sz w:val="20"/>
                <w:szCs w:val="20"/>
              </w:rPr>
              <w:t>Royalty and sum</w:t>
            </w:r>
            <w:r w:rsidRPr="00734DA3">
              <w:rPr>
                <w:rFonts w:ascii="Verdana" w:eastAsia="Times New Roman" w:hAnsi="Verdana" w:cs="Times New Roman"/>
                <w:sz w:val="20"/>
                <w:szCs w:val="20"/>
              </w:rPr>
              <w:t xml:space="preserve"> </w:t>
            </w:r>
            <w:r w:rsidRPr="00734DA3">
              <w:rPr>
                <w:rFonts w:ascii="Verdana" w:eastAsia="Times New Roman" w:hAnsi="Verdana" w:cs="Times New Roman"/>
                <w:b/>
                <w:bCs/>
                <w:sz w:val="20"/>
                <w:szCs w:val="20"/>
              </w:rPr>
              <w:t>referred to in section 28(</w:t>
            </w:r>
            <w:proofErr w:type="spellStart"/>
            <w:r w:rsidRPr="00734DA3">
              <w:rPr>
                <w:rFonts w:ascii="Verdana" w:eastAsia="Times New Roman" w:hAnsi="Verdana" w:cs="Times New Roman"/>
                <w:b/>
                <w:bCs/>
                <w:sz w:val="20"/>
                <w:szCs w:val="20"/>
              </w:rPr>
              <w:t>va</w:t>
            </w:r>
            <w:proofErr w:type="spellEnd"/>
            <w:r w:rsidRPr="00734DA3">
              <w:rPr>
                <w:rFonts w:ascii="Verdana" w:eastAsia="Times New Roman" w:hAnsi="Verdana" w:cs="Times New Roman"/>
                <w:b/>
                <w:bCs/>
                <w:sz w:val="20"/>
                <w:szCs w:val="20"/>
              </w:rPr>
              <w:t>) (i.e., non-compete &amp; confidentiality payments) paid to a resident</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a) Individual &amp; HUFs are not required to deduct tax</w:t>
            </w:r>
            <w:r w:rsidRPr="00734DA3">
              <w:rPr>
                <w:rFonts w:ascii="Verdana" w:eastAsia="Times New Roman" w:hAnsi="Verdana" w:cs="Times New Roman"/>
                <w:sz w:val="20"/>
                <w:szCs w:val="20"/>
              </w:rPr>
              <w:br/>
              <w:t>(Subject to Note 6)</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b) Rs. 20,000 p.a. </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77"/>
              <w:gridCol w:w="515"/>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Cos. Firms,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Payee to apply in F.13 to the A.O. to obtain certificate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statement in </w:t>
            </w:r>
            <w:r w:rsidRPr="00734DA3">
              <w:rPr>
                <w:rFonts w:ascii="Verdana" w:eastAsia="Times New Roman" w:hAnsi="Verdana" w:cs="Times New Roman"/>
                <w:sz w:val="20"/>
                <w:szCs w:val="20"/>
              </w:rPr>
              <w:br/>
              <w:t>Form No. 26Q/</w:t>
            </w:r>
            <w:r w:rsidRPr="00734DA3">
              <w:rPr>
                <w:rFonts w:ascii="Verdana" w:eastAsia="Times New Roman" w:hAnsi="Verdana" w:cs="Times New Roman"/>
                <w:sz w:val="20"/>
                <w:szCs w:val="20"/>
              </w:rPr>
              <w:br/>
              <w:t>15th July,</w:t>
            </w:r>
            <w:r w:rsidRPr="00734DA3">
              <w:rPr>
                <w:rFonts w:ascii="Verdana" w:eastAsia="Times New Roman" w:hAnsi="Verdana" w:cs="Times New Roman"/>
                <w:sz w:val="20"/>
                <w:szCs w:val="20"/>
              </w:rPr>
              <w:br/>
              <w:t>15th Oct., 15th</w:t>
            </w:r>
            <w:r w:rsidRPr="00734DA3">
              <w:rPr>
                <w:rFonts w:ascii="Verdana" w:eastAsia="Times New Roman" w:hAnsi="Verdana" w:cs="Times New Roman"/>
                <w:sz w:val="20"/>
                <w:szCs w:val="20"/>
              </w:rPr>
              <w:br/>
              <w:t>Jan., 15th June</w:t>
            </w:r>
            <w:r w:rsidRPr="00734DA3">
              <w:rPr>
                <w:rFonts w:ascii="Verdana" w:eastAsia="Times New Roman" w:hAnsi="Verdana" w:cs="Times New Roman"/>
                <w:sz w:val="20"/>
                <w:szCs w:val="20"/>
              </w:rPr>
              <w:br/>
              <w:t>(See note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16A</w:t>
            </w:r>
            <w:r w:rsidRPr="00734DA3">
              <w:rPr>
                <w:rFonts w:ascii="Verdana" w:eastAsia="Times New Roman" w:hAnsi="Verdana" w:cs="Times New Roman"/>
                <w:sz w:val="20"/>
                <w:szCs w:val="20"/>
              </w:rPr>
              <w:br/>
              <w:t>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194LA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28, 28AA, 30, 31, 31A, 31AB</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Compensation to resident on acquisition of certain immovable property other than specified agricultural land </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Rs. 1,00,000 p.a.</w:t>
            </w:r>
          </w:p>
        </w:tc>
        <w:tc>
          <w:tcPr>
            <w:tcW w:w="650" w:type="pct"/>
            <w:tcBorders>
              <w:top w:val="nil"/>
              <w:left w:val="outset" w:sz="6" w:space="0" w:color="111111"/>
              <w:bottom w:val="outset" w:sz="6" w:space="0" w:color="111111"/>
              <w:right w:val="outset" w:sz="6" w:space="0" w:color="111111"/>
            </w:tcBorders>
            <w:hideMark/>
          </w:tcPr>
          <w:tbl>
            <w:tblPr>
              <w:tblW w:w="5000" w:type="pct"/>
              <w:tblCellMar>
                <w:left w:w="0" w:type="dxa"/>
                <w:right w:w="0" w:type="dxa"/>
              </w:tblCellMar>
              <w:tblLook w:val="04A0"/>
            </w:tblPr>
            <w:tblGrid>
              <w:gridCol w:w="1077"/>
              <w:gridCol w:w="515"/>
            </w:tblGrid>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Cos. Firms,</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Co-</w:t>
                  </w:r>
                  <w:proofErr w:type="spellStart"/>
                  <w:r w:rsidRPr="00734DA3">
                    <w:rPr>
                      <w:rFonts w:ascii="Verdana" w:eastAsia="Times New Roman" w:hAnsi="Verdana" w:cs="Times New Roman"/>
                      <w:sz w:val="20"/>
                      <w:szCs w:val="20"/>
                    </w:rPr>
                    <w:t>op.Soc</w:t>
                  </w:r>
                  <w:proofErr w:type="spellEnd"/>
                  <w:r w:rsidRPr="00734DA3">
                    <w:rPr>
                      <w:rFonts w:ascii="Verdana" w:eastAsia="Times New Roman" w:hAnsi="Verdana" w:cs="Times New Roman"/>
                      <w:sz w:val="20"/>
                      <w:szCs w:val="20"/>
                    </w:rPr>
                    <w:t xml:space="preserve">. </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10% </w:t>
                  </w:r>
                </w:p>
              </w:tc>
            </w:tr>
            <w:tr w:rsidR="00734DA3" w:rsidRPr="00734DA3">
              <w:tc>
                <w:tcPr>
                  <w:tcW w:w="3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Individual/ HUF/AOP/ BOI</w:t>
                  </w:r>
                </w:p>
              </w:tc>
              <w:tc>
                <w:tcPr>
                  <w:tcW w:w="20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10%</w:t>
                  </w:r>
                </w:p>
              </w:tc>
            </w:tr>
          </w:tbl>
          <w:p w:rsidR="00734DA3" w:rsidRPr="00734DA3" w:rsidRDefault="00734DA3" w:rsidP="00734DA3">
            <w:pPr>
              <w:spacing w:after="0" w:line="240" w:lineRule="auto"/>
              <w:rPr>
                <w:rFonts w:ascii="Verdana" w:eastAsia="Times New Roman" w:hAnsi="Verdana" w:cs="Times New Roman"/>
                <w:sz w:val="18"/>
                <w:szCs w:val="18"/>
              </w:rPr>
            </w:pP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Payee to apply in F.13 to the A.O. to obtain certificate</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Quarterly statement in </w:t>
            </w:r>
            <w:r w:rsidRPr="00734DA3">
              <w:rPr>
                <w:rFonts w:ascii="Verdana" w:eastAsia="Times New Roman" w:hAnsi="Verdana" w:cs="Times New Roman"/>
                <w:sz w:val="20"/>
                <w:szCs w:val="20"/>
              </w:rPr>
              <w:br/>
              <w:t>Form No. 26Q/</w:t>
            </w:r>
            <w:r w:rsidRPr="00734DA3">
              <w:rPr>
                <w:rFonts w:ascii="Verdana" w:eastAsia="Times New Roman" w:hAnsi="Verdana" w:cs="Times New Roman"/>
                <w:sz w:val="20"/>
                <w:szCs w:val="20"/>
              </w:rPr>
              <w:br/>
              <w:t>15th July,</w:t>
            </w:r>
            <w:r w:rsidRPr="00734DA3">
              <w:rPr>
                <w:rFonts w:ascii="Verdana" w:eastAsia="Times New Roman" w:hAnsi="Verdana" w:cs="Times New Roman"/>
                <w:sz w:val="20"/>
                <w:szCs w:val="20"/>
              </w:rPr>
              <w:br/>
              <w:t>15th Oct., 15th</w:t>
            </w:r>
            <w:r w:rsidRPr="00734DA3">
              <w:rPr>
                <w:rFonts w:ascii="Verdana" w:eastAsia="Times New Roman" w:hAnsi="Verdana" w:cs="Times New Roman"/>
                <w:sz w:val="20"/>
                <w:szCs w:val="20"/>
              </w:rPr>
              <w:br/>
              <w:t>Jan., 15th June</w:t>
            </w:r>
            <w:r w:rsidRPr="00734DA3">
              <w:rPr>
                <w:rFonts w:ascii="Verdana" w:eastAsia="Times New Roman" w:hAnsi="Verdana" w:cs="Times New Roman"/>
                <w:sz w:val="20"/>
                <w:szCs w:val="20"/>
              </w:rPr>
              <w:br/>
              <w:t>(See note 7)</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F. 16A</w:t>
            </w:r>
            <w:r w:rsidRPr="00734DA3">
              <w:rPr>
                <w:rFonts w:ascii="Verdana" w:eastAsia="Times New Roman" w:hAnsi="Verdana" w:cs="Times New Roman"/>
                <w:sz w:val="20"/>
                <w:szCs w:val="20"/>
              </w:rPr>
              <w:br/>
              <w:t>As per S. 193 above</w:t>
            </w:r>
          </w:p>
        </w:tc>
      </w:tr>
      <w:tr w:rsidR="00734DA3" w:rsidRPr="00734DA3">
        <w:trPr>
          <w:jc w:val="center"/>
        </w:trPr>
        <w:tc>
          <w:tcPr>
            <w:tcW w:w="4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 xml:space="preserve">195 Refer Note 5 </w:t>
            </w:r>
          </w:p>
        </w:tc>
        <w:tc>
          <w:tcPr>
            <w:tcW w:w="60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26, 28, 28AA,29B, 30, 31A, 31AB, 37A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sz w:val="20"/>
                <w:szCs w:val="20"/>
              </w:rPr>
              <w:t xml:space="preserve">Interest or other sums (other than salary) paid to Non residents </w:t>
            </w:r>
            <w:r w:rsidRPr="00734DA3">
              <w:rPr>
                <w:rFonts w:ascii="Verdana" w:eastAsia="Times New Roman" w:hAnsi="Verdana" w:cs="Times New Roman"/>
                <w:b/>
                <w:bCs/>
                <w:sz w:val="20"/>
                <w:szCs w:val="20"/>
              </w:rPr>
              <w:lastRenderedPageBreak/>
              <w:t>or to foreign companies (not being</w:t>
            </w:r>
            <w:r w:rsidRPr="00734DA3">
              <w:rPr>
                <w:rFonts w:ascii="Verdana" w:eastAsia="Times New Roman" w:hAnsi="Verdana" w:cs="Times New Roman"/>
                <w:sz w:val="20"/>
                <w:szCs w:val="20"/>
              </w:rPr>
              <w:t xml:space="preserve"> </w:t>
            </w:r>
            <w:r w:rsidRPr="00734DA3">
              <w:rPr>
                <w:rFonts w:ascii="Verdana" w:eastAsia="Times New Roman" w:hAnsi="Verdana" w:cs="Times New Roman"/>
                <w:b/>
                <w:bCs/>
                <w:sz w:val="20"/>
                <w:szCs w:val="20"/>
              </w:rPr>
              <w:t>dividends u/s. 55-O after 1-6-2003)</w:t>
            </w:r>
            <w:r w:rsidRPr="00734DA3">
              <w:rPr>
                <w:rFonts w:ascii="Verdana" w:eastAsia="Times New Roman" w:hAnsi="Verdana" w:cs="Times New Roman"/>
                <w:sz w:val="20"/>
                <w:szCs w:val="20"/>
              </w:rPr>
              <w:t xml:space="preserve"> </w:t>
            </w:r>
          </w:p>
        </w:tc>
        <w:tc>
          <w:tcPr>
            <w:tcW w:w="7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As per double taxation avoidance treaty or as per Sch. 1, Part II to the Finance Act, 2008 whichever is </w:t>
            </w:r>
            <w:r w:rsidRPr="00734DA3">
              <w:rPr>
                <w:rFonts w:ascii="Verdana" w:eastAsia="Times New Roman" w:hAnsi="Verdana" w:cs="Times New Roman"/>
                <w:sz w:val="20"/>
                <w:szCs w:val="20"/>
              </w:rPr>
              <w:lastRenderedPageBreak/>
              <w:t xml:space="preserve">beneficial to the </w:t>
            </w:r>
            <w:proofErr w:type="spellStart"/>
            <w:r w:rsidRPr="00734DA3">
              <w:rPr>
                <w:rFonts w:ascii="Verdana" w:eastAsia="Times New Roman" w:hAnsi="Verdana" w:cs="Times New Roman"/>
                <w:sz w:val="20"/>
                <w:szCs w:val="20"/>
              </w:rPr>
              <w:t>assessee</w:t>
            </w:r>
            <w:proofErr w:type="spellEnd"/>
            <w:r w:rsidRPr="00734DA3">
              <w:rPr>
                <w:rFonts w:ascii="Verdana" w:eastAsia="Times New Roman" w:hAnsi="Verdana" w:cs="Times New Roman"/>
                <w:sz w:val="20"/>
                <w:szCs w:val="20"/>
              </w:rPr>
              <w:t xml:space="preserve"> </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1. Payee to apply in F.13 to the A.O. to obtain certificate</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2. Payee </w:t>
            </w:r>
            <w:r w:rsidRPr="00734DA3">
              <w:rPr>
                <w:rFonts w:ascii="Verdana" w:eastAsia="Times New Roman" w:hAnsi="Verdana" w:cs="Times New Roman"/>
                <w:sz w:val="20"/>
                <w:szCs w:val="20"/>
              </w:rPr>
              <w:lastRenderedPageBreak/>
              <w:t>to apply in F. 15C/15D to the A.O. to obtain certificate</w:t>
            </w:r>
          </w:p>
          <w:p w:rsidR="00734DA3" w:rsidRPr="00734DA3" w:rsidRDefault="00734DA3" w:rsidP="00734DA3">
            <w:pPr>
              <w:spacing w:before="30" w:after="75"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3. Payer may apply to A.O. to determine</w:t>
            </w:r>
            <w:r w:rsidRPr="00734DA3">
              <w:rPr>
                <w:rFonts w:ascii="Verdana" w:eastAsia="Times New Roman" w:hAnsi="Verdana" w:cs="Times New Roman"/>
                <w:sz w:val="20"/>
                <w:szCs w:val="20"/>
              </w:rPr>
              <w:br/>
              <w:t xml:space="preserve">income component in </w:t>
            </w:r>
            <w:r w:rsidRPr="00734DA3">
              <w:rPr>
                <w:rFonts w:ascii="Verdana" w:eastAsia="Times New Roman" w:hAnsi="Verdana" w:cs="Times New Roman"/>
                <w:sz w:val="20"/>
                <w:szCs w:val="20"/>
              </w:rPr>
              <w:br/>
              <w:t xml:space="preserve">payment for lower </w:t>
            </w:r>
            <w:r w:rsidRPr="00734DA3">
              <w:rPr>
                <w:rFonts w:ascii="Verdana" w:eastAsia="Times New Roman" w:hAnsi="Verdana" w:cs="Times New Roman"/>
                <w:sz w:val="20"/>
                <w:szCs w:val="20"/>
              </w:rPr>
              <w:br/>
              <w:t>deduction</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Quarterly statement in </w:t>
            </w:r>
            <w:r w:rsidRPr="00734DA3">
              <w:rPr>
                <w:rFonts w:ascii="Verdana" w:eastAsia="Times New Roman" w:hAnsi="Verdana" w:cs="Times New Roman"/>
                <w:sz w:val="20"/>
                <w:szCs w:val="20"/>
              </w:rPr>
              <w:br/>
              <w:t>Form No. 27Q/</w:t>
            </w:r>
            <w:r w:rsidRPr="00734DA3">
              <w:rPr>
                <w:rFonts w:ascii="Verdana" w:eastAsia="Times New Roman" w:hAnsi="Verdana" w:cs="Times New Roman"/>
                <w:sz w:val="20"/>
                <w:szCs w:val="20"/>
              </w:rPr>
              <w:br/>
              <w:t>14th July,</w:t>
            </w:r>
            <w:r w:rsidRPr="00734DA3">
              <w:rPr>
                <w:rFonts w:ascii="Verdana" w:eastAsia="Times New Roman" w:hAnsi="Verdana" w:cs="Times New Roman"/>
                <w:sz w:val="20"/>
                <w:szCs w:val="20"/>
              </w:rPr>
              <w:br/>
            </w:r>
            <w:r w:rsidRPr="00734DA3">
              <w:rPr>
                <w:rFonts w:ascii="Verdana" w:eastAsia="Times New Roman" w:hAnsi="Verdana" w:cs="Times New Roman"/>
                <w:sz w:val="20"/>
                <w:szCs w:val="20"/>
              </w:rPr>
              <w:lastRenderedPageBreak/>
              <w:t>14th Oct., 14th</w:t>
            </w:r>
            <w:r w:rsidRPr="00734DA3">
              <w:rPr>
                <w:rFonts w:ascii="Verdana" w:eastAsia="Times New Roman" w:hAnsi="Verdana" w:cs="Times New Roman"/>
                <w:sz w:val="20"/>
                <w:szCs w:val="20"/>
              </w:rPr>
              <w:br/>
              <w:t>Jan., 14th April</w:t>
            </w:r>
            <w:r w:rsidRPr="00734DA3">
              <w:rPr>
                <w:rFonts w:ascii="Verdana" w:eastAsia="Times New Roman" w:hAnsi="Verdana" w:cs="Times New Roman"/>
                <w:sz w:val="20"/>
                <w:szCs w:val="20"/>
              </w:rPr>
              <w:br/>
              <w:t>(See note 3)</w:t>
            </w:r>
          </w:p>
        </w:tc>
        <w:tc>
          <w:tcPr>
            <w:tcW w:w="650" w:type="pct"/>
            <w:tcBorders>
              <w:top w:val="nil"/>
              <w:left w:val="outset" w:sz="6" w:space="0" w:color="111111"/>
              <w:bottom w:val="outset" w:sz="6" w:space="0" w:color="111111"/>
              <w:right w:val="outset" w:sz="6" w:space="0" w:color="111111"/>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F. 16A</w:t>
            </w:r>
            <w:r w:rsidRPr="00734DA3">
              <w:rPr>
                <w:rFonts w:ascii="Verdana" w:eastAsia="Times New Roman" w:hAnsi="Verdana" w:cs="Times New Roman"/>
                <w:sz w:val="20"/>
                <w:szCs w:val="20"/>
              </w:rPr>
              <w:br/>
              <w:t>As per S. 193 above</w:t>
            </w:r>
          </w:p>
        </w:tc>
      </w:tr>
    </w:tbl>
    <w:p w:rsidR="00734DA3" w:rsidRPr="00734DA3" w:rsidRDefault="00734DA3" w:rsidP="00734DA3">
      <w:pPr>
        <w:spacing w:after="0" w:line="240" w:lineRule="auto"/>
        <w:rPr>
          <w:rFonts w:ascii="Verdana" w:eastAsia="Times New Roman" w:hAnsi="Verdana" w:cs="Times New Roman"/>
          <w:sz w:val="18"/>
          <w:szCs w:val="18"/>
        </w:rPr>
      </w:pPr>
      <w:r w:rsidRPr="00734DA3">
        <w:rPr>
          <w:rFonts w:ascii="Verdana" w:eastAsia="Times New Roman" w:hAnsi="Verdana" w:cs="Times New Roman"/>
          <w:b/>
          <w:bCs/>
          <w:sz w:val="20"/>
          <w:szCs w:val="20"/>
        </w:rPr>
        <w:lastRenderedPageBreak/>
        <w:t xml:space="preserve">Notes: </w:t>
      </w:r>
    </w:p>
    <w:p w:rsidR="00734DA3" w:rsidRPr="00734DA3" w:rsidRDefault="00734DA3" w:rsidP="00734DA3">
      <w:pPr>
        <w:numPr>
          <w:ilvl w:val="1"/>
          <w:numId w:val="1"/>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 xml:space="preserve">Surcharge @ 10% is applicable in the case of domestic companies, firms if income exceeds Rs. 1 </w:t>
      </w:r>
      <w:proofErr w:type="spellStart"/>
      <w:r w:rsidRPr="00734DA3">
        <w:rPr>
          <w:rFonts w:ascii="Verdana" w:eastAsia="Times New Roman" w:hAnsi="Verdana" w:cs="Times New Roman"/>
          <w:sz w:val="20"/>
          <w:szCs w:val="20"/>
        </w:rPr>
        <w:t>crore</w:t>
      </w:r>
      <w:proofErr w:type="spellEnd"/>
      <w:r w:rsidRPr="00734DA3">
        <w:rPr>
          <w:rFonts w:ascii="Verdana" w:eastAsia="Times New Roman" w:hAnsi="Verdana" w:cs="Times New Roman"/>
          <w:sz w:val="20"/>
          <w:szCs w:val="20"/>
        </w:rPr>
        <w:t xml:space="preserve">, Non domestic companies @ 2.5% if income exceeds Rs. 1 </w:t>
      </w:r>
      <w:proofErr w:type="spellStart"/>
      <w:r w:rsidRPr="00734DA3">
        <w:rPr>
          <w:rFonts w:ascii="Verdana" w:eastAsia="Times New Roman" w:hAnsi="Verdana" w:cs="Times New Roman"/>
          <w:sz w:val="20"/>
          <w:szCs w:val="20"/>
        </w:rPr>
        <w:t>crore</w:t>
      </w:r>
      <w:proofErr w:type="spellEnd"/>
      <w:r w:rsidRPr="00734DA3">
        <w:rPr>
          <w:rFonts w:ascii="Verdana" w:eastAsia="Times New Roman" w:hAnsi="Verdana" w:cs="Times New Roman"/>
          <w:sz w:val="20"/>
          <w:szCs w:val="20"/>
        </w:rPr>
        <w:t xml:space="preserve">. In case of individuals, HUFs, BOIs, AOPs, surcharge @ 10% is applicable if income exceeds Rs. 10 </w:t>
      </w:r>
      <w:proofErr w:type="spellStart"/>
      <w:r w:rsidRPr="00734DA3">
        <w:rPr>
          <w:rFonts w:ascii="Verdana" w:eastAsia="Times New Roman" w:hAnsi="Verdana" w:cs="Times New Roman"/>
          <w:sz w:val="20"/>
          <w:szCs w:val="20"/>
        </w:rPr>
        <w:t>lakhs</w:t>
      </w:r>
      <w:proofErr w:type="spellEnd"/>
      <w:r w:rsidRPr="00734DA3">
        <w:rPr>
          <w:rFonts w:ascii="Verdana" w:eastAsia="Times New Roman" w:hAnsi="Verdana" w:cs="Times New Roman"/>
          <w:sz w:val="20"/>
          <w:szCs w:val="20"/>
        </w:rPr>
        <w:t xml:space="preserve">. Non-residents are also liable for surcharge. Education </w:t>
      </w:r>
      <w:proofErr w:type="spellStart"/>
      <w:r w:rsidRPr="00734DA3">
        <w:rPr>
          <w:rFonts w:ascii="Verdana" w:eastAsia="Times New Roman" w:hAnsi="Verdana" w:cs="Times New Roman"/>
          <w:sz w:val="20"/>
          <w:szCs w:val="20"/>
        </w:rPr>
        <w:t>Cess</w:t>
      </w:r>
      <w:proofErr w:type="spellEnd"/>
      <w:r w:rsidRPr="00734DA3">
        <w:rPr>
          <w:rFonts w:ascii="Verdana" w:eastAsia="Times New Roman" w:hAnsi="Verdana" w:cs="Times New Roman"/>
          <w:sz w:val="20"/>
          <w:szCs w:val="20"/>
        </w:rPr>
        <w:t xml:space="preserve"> @ 2% and Secondary &amp; Higher Education </w:t>
      </w:r>
      <w:proofErr w:type="spellStart"/>
      <w:r w:rsidRPr="00734DA3">
        <w:rPr>
          <w:rFonts w:ascii="Verdana" w:eastAsia="Times New Roman" w:hAnsi="Verdana" w:cs="Times New Roman"/>
          <w:sz w:val="20"/>
          <w:szCs w:val="20"/>
        </w:rPr>
        <w:t>Cess</w:t>
      </w:r>
      <w:proofErr w:type="spellEnd"/>
      <w:r w:rsidRPr="00734DA3">
        <w:rPr>
          <w:rFonts w:ascii="Verdana" w:eastAsia="Times New Roman" w:hAnsi="Verdana" w:cs="Times New Roman"/>
          <w:sz w:val="20"/>
          <w:szCs w:val="20"/>
        </w:rPr>
        <w:t xml:space="preserve"> @ 1% is applicable in all cases on the amount of tax plus applicable surcharge. </w:t>
      </w:r>
    </w:p>
    <w:p w:rsidR="00734DA3" w:rsidRPr="00734DA3" w:rsidRDefault="00734DA3" w:rsidP="00734DA3">
      <w:pPr>
        <w:numPr>
          <w:ilvl w:val="1"/>
          <w:numId w:val="1"/>
        </w:numPr>
        <w:spacing w:line="240" w:lineRule="auto"/>
        <w:ind w:left="720"/>
        <w:rPr>
          <w:rFonts w:ascii="Verdana" w:eastAsia="Times New Roman" w:hAnsi="Verdana" w:cs="Times New Roman"/>
          <w:sz w:val="20"/>
          <w:szCs w:val="20"/>
        </w:rPr>
      </w:pPr>
      <w:r w:rsidRPr="00734DA3">
        <w:rPr>
          <w:rFonts w:ascii="Verdana" w:eastAsia="Times New Roman" w:hAnsi="Verdana" w:cs="Times New Roman"/>
          <w:b/>
          <w:bCs/>
          <w:sz w:val="20"/>
          <w:szCs w:val="20"/>
        </w:rPr>
        <w:t xml:space="preserve">Due dates of deduction and payment of TDS to the credit of the Central </w:t>
      </w:r>
      <w:proofErr w:type="spellStart"/>
      <w:r w:rsidRPr="00734DA3">
        <w:rPr>
          <w:rFonts w:ascii="Verdana" w:eastAsia="Times New Roman" w:hAnsi="Verdana" w:cs="Times New Roman"/>
          <w:b/>
          <w:bCs/>
          <w:sz w:val="20"/>
          <w:szCs w:val="20"/>
        </w:rPr>
        <w:t>Govt</w:t>
      </w:r>
      <w:proofErr w:type="spellEnd"/>
      <w:r w:rsidRPr="00734DA3">
        <w:rPr>
          <w:rFonts w:ascii="Verdana" w:eastAsia="Times New Roman" w:hAnsi="Verdana" w:cs="Times New Roman"/>
          <w:b/>
          <w:bCs/>
          <w:sz w:val="20"/>
          <w:szCs w:val="20"/>
        </w:rPr>
        <w:t xml:space="preserve"> </w:t>
      </w:r>
    </w:p>
    <w:tbl>
      <w:tblPr>
        <w:tblW w:w="4500" w:type="pct"/>
        <w:tblCellMar>
          <w:top w:w="30" w:type="dxa"/>
          <w:left w:w="30" w:type="dxa"/>
          <w:bottom w:w="30" w:type="dxa"/>
          <w:right w:w="30" w:type="dxa"/>
        </w:tblCellMar>
        <w:tblLook w:val="04A0"/>
      </w:tblPr>
      <w:tblGrid>
        <w:gridCol w:w="1557"/>
        <w:gridCol w:w="1553"/>
        <w:gridCol w:w="5368"/>
      </w:tblGrid>
      <w:tr w:rsidR="00734DA3" w:rsidRPr="00734DA3" w:rsidTr="00734DA3">
        <w:tc>
          <w:tcPr>
            <w:tcW w:w="8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i/>
                <w:iCs/>
                <w:sz w:val="20"/>
                <w:szCs w:val="20"/>
              </w:rPr>
              <w:t>Nature of Activity</w:t>
            </w:r>
          </w:p>
        </w:tc>
        <w:tc>
          <w:tcPr>
            <w:tcW w:w="9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i/>
                <w:iCs/>
                <w:sz w:val="20"/>
                <w:szCs w:val="20"/>
              </w:rPr>
              <w:t>Salary</w:t>
            </w:r>
          </w:p>
        </w:tc>
        <w:tc>
          <w:tcPr>
            <w:tcW w:w="32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b/>
                <w:bCs/>
                <w:i/>
                <w:iCs/>
                <w:sz w:val="20"/>
                <w:szCs w:val="20"/>
              </w:rPr>
              <w:t xml:space="preserve">Other than Salary </w:t>
            </w:r>
          </w:p>
        </w:tc>
      </w:tr>
      <w:tr w:rsidR="00734DA3" w:rsidRPr="00734DA3" w:rsidTr="00734DA3">
        <w:tc>
          <w:tcPr>
            <w:tcW w:w="8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Time of Deduction</w:t>
            </w:r>
          </w:p>
        </w:tc>
        <w:tc>
          <w:tcPr>
            <w:tcW w:w="9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When salary is paid </w:t>
            </w:r>
          </w:p>
        </w:tc>
        <w:tc>
          <w:tcPr>
            <w:tcW w:w="32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When income paid or credited to the account including interest "payable" or </w:t>
            </w:r>
            <w:r w:rsidRPr="00734DA3">
              <w:rPr>
                <w:rFonts w:ascii="Verdana" w:eastAsia="Times New Roman" w:hAnsi="Verdana" w:cs="Times New Roman"/>
                <w:sz w:val="20"/>
                <w:szCs w:val="20"/>
              </w:rPr>
              <w:br/>
              <w:t xml:space="preserve">"suspense" a/c whichever is earlier. </w:t>
            </w:r>
          </w:p>
        </w:tc>
      </w:tr>
      <w:tr w:rsidR="00734DA3" w:rsidRPr="00734DA3" w:rsidTr="00734DA3">
        <w:tc>
          <w:tcPr>
            <w:tcW w:w="8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Time of deposit of tax (where deduction is made on </w:t>
            </w:r>
            <w:r w:rsidRPr="00734DA3">
              <w:rPr>
                <w:rFonts w:ascii="Verdana" w:eastAsia="Times New Roman" w:hAnsi="Verdana" w:cs="Times New Roman"/>
                <w:sz w:val="20"/>
                <w:szCs w:val="20"/>
              </w:rPr>
              <w:br/>
              <w:t xml:space="preserve">behalf of the Government)  </w:t>
            </w:r>
          </w:p>
        </w:tc>
        <w:tc>
          <w:tcPr>
            <w:tcW w:w="9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On same day</w:t>
            </w:r>
          </w:p>
        </w:tc>
        <w:tc>
          <w:tcPr>
            <w:tcW w:w="32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On same day</w:t>
            </w:r>
          </w:p>
        </w:tc>
      </w:tr>
      <w:tr w:rsidR="00734DA3" w:rsidRPr="00734DA3" w:rsidTr="00734DA3">
        <w:tc>
          <w:tcPr>
            <w:tcW w:w="8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Time of deposit of tax (where deduction is other than on behalf of Government)</w:t>
            </w:r>
          </w:p>
        </w:tc>
        <w:tc>
          <w:tcPr>
            <w:tcW w:w="95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t xml:space="preserve">Within one week from the last day of the month in which the deduction is made. </w:t>
            </w:r>
            <w:r w:rsidRPr="00734DA3">
              <w:rPr>
                <w:rFonts w:ascii="Verdana" w:eastAsia="Times New Roman" w:hAnsi="Verdana" w:cs="Times New Roman"/>
                <w:sz w:val="20"/>
                <w:szCs w:val="20"/>
              </w:rPr>
              <w:lastRenderedPageBreak/>
              <w:t xml:space="preserve">Quarterly deduction from salary on June 15, September 15, December 15 and March 15 with prior approval of AO. </w:t>
            </w:r>
          </w:p>
        </w:tc>
        <w:tc>
          <w:tcPr>
            <w:tcW w:w="3200" w:type="pct"/>
            <w:tcBorders>
              <w:top w:val="nil"/>
              <w:left w:val="nil"/>
              <w:bottom w:val="nil"/>
              <w:right w:val="nil"/>
            </w:tcBorders>
            <w:hideMark/>
          </w:tcPr>
          <w:p w:rsidR="00734DA3" w:rsidRPr="00734DA3" w:rsidRDefault="00734DA3" w:rsidP="00734DA3">
            <w:pPr>
              <w:spacing w:before="30" w:after="30" w:line="240" w:lineRule="auto"/>
              <w:ind w:left="45" w:right="45"/>
              <w:rPr>
                <w:rFonts w:ascii="Verdana" w:eastAsia="Times New Roman" w:hAnsi="Verdana" w:cs="Times New Roman"/>
                <w:sz w:val="18"/>
                <w:szCs w:val="18"/>
              </w:rPr>
            </w:pPr>
            <w:r w:rsidRPr="00734DA3">
              <w:rPr>
                <w:rFonts w:ascii="Verdana" w:eastAsia="Times New Roman" w:hAnsi="Verdana" w:cs="Times New Roman"/>
                <w:sz w:val="20"/>
                <w:szCs w:val="20"/>
              </w:rPr>
              <w:lastRenderedPageBreak/>
              <w:t xml:space="preserve">If credited on the date on which accounts are made, within two months from the end of the month in which income is credited. Any other case, within one week from the end of the month in which deduction is made. Quarterly deduction from other interest, insurance commission or other commission or brokerage on July 15, October 15, </w:t>
            </w:r>
            <w:r w:rsidRPr="00734DA3">
              <w:rPr>
                <w:rFonts w:ascii="Verdana" w:eastAsia="Times New Roman" w:hAnsi="Verdana" w:cs="Times New Roman"/>
                <w:sz w:val="20"/>
                <w:szCs w:val="20"/>
              </w:rPr>
              <w:lastRenderedPageBreak/>
              <w:t xml:space="preserve">January 15 and April 15 with prior approval from AO. </w:t>
            </w:r>
          </w:p>
        </w:tc>
      </w:tr>
    </w:tbl>
    <w:p w:rsidR="00734DA3" w:rsidRPr="00734DA3" w:rsidRDefault="00734DA3" w:rsidP="00734DA3">
      <w:pPr>
        <w:numPr>
          <w:ilvl w:val="1"/>
          <w:numId w:val="2"/>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lastRenderedPageBreak/>
        <w:t>Where an income is credited by a person to an account of the non-resident payee as on the last day of the accounting year, Form 27Q for that quarter to be submitted within 14 days after the expiry of 2 months from the year end.</w:t>
      </w:r>
    </w:p>
    <w:p w:rsidR="00734DA3" w:rsidRPr="00734DA3" w:rsidRDefault="00734DA3" w:rsidP="00734DA3">
      <w:pPr>
        <w:numPr>
          <w:ilvl w:val="1"/>
          <w:numId w:val="2"/>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 xml:space="preserve">Copies of Form Nos. 15G and 15H received by the payer have to be filed with the Chief Commissioner/Commissioner within 7 days of the succeeding month. A declaration for non-deduction of tax u/s. 197A can be furnished by the </w:t>
      </w:r>
      <w:proofErr w:type="spellStart"/>
      <w:r w:rsidRPr="00734DA3">
        <w:rPr>
          <w:rFonts w:ascii="Verdana" w:eastAsia="Times New Roman" w:hAnsi="Verdana" w:cs="Times New Roman"/>
          <w:sz w:val="20"/>
          <w:szCs w:val="20"/>
        </w:rPr>
        <w:t>assessee</w:t>
      </w:r>
      <w:proofErr w:type="spellEnd"/>
      <w:r w:rsidRPr="00734DA3">
        <w:rPr>
          <w:rFonts w:ascii="Verdana" w:eastAsia="Times New Roman" w:hAnsi="Verdana" w:cs="Times New Roman"/>
          <w:sz w:val="20"/>
          <w:szCs w:val="20"/>
        </w:rPr>
        <w:t xml:space="preserve"> only if his aggregate income is less than threshold limit. Senior Citizens can file declaration if tax on their estimated total income is likely to be NIL.</w:t>
      </w:r>
    </w:p>
    <w:p w:rsidR="00734DA3" w:rsidRPr="00734DA3" w:rsidRDefault="00734DA3" w:rsidP="00734DA3">
      <w:pPr>
        <w:numPr>
          <w:ilvl w:val="1"/>
          <w:numId w:val="2"/>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Consequences of delay in payment of TDS</w:t>
      </w:r>
    </w:p>
    <w:p w:rsidR="00734DA3" w:rsidRPr="00734DA3" w:rsidRDefault="00734DA3" w:rsidP="00734DA3">
      <w:pPr>
        <w:numPr>
          <w:ilvl w:val="1"/>
          <w:numId w:val="3"/>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 xml:space="preserve">If the person responsible for deducting and paying tax fails to do so, he shall be considered as an </w:t>
      </w:r>
      <w:proofErr w:type="spellStart"/>
      <w:r w:rsidRPr="00734DA3">
        <w:rPr>
          <w:rFonts w:ascii="Verdana" w:eastAsia="Times New Roman" w:hAnsi="Verdana" w:cs="Times New Roman"/>
          <w:sz w:val="20"/>
          <w:szCs w:val="20"/>
        </w:rPr>
        <w:t>assessee</w:t>
      </w:r>
      <w:proofErr w:type="spellEnd"/>
      <w:r w:rsidRPr="00734DA3">
        <w:rPr>
          <w:rFonts w:ascii="Verdana" w:eastAsia="Times New Roman" w:hAnsi="Verdana" w:cs="Times New Roman"/>
          <w:sz w:val="20"/>
          <w:szCs w:val="20"/>
        </w:rPr>
        <w:t xml:space="preserve"> in default, liable to pay interest @ 12% p.a. on the amount of such tax from the date on which such tax was deductible to the date of actual payment, and penalty, not exceeding the amount of tax and rigorous imprisonment ranging from 3 months to 7 years and fine. The interest payment needs to be paid before filing of Quarterly Return.</w:t>
      </w:r>
    </w:p>
    <w:p w:rsidR="00734DA3" w:rsidRPr="00734DA3" w:rsidRDefault="00734DA3" w:rsidP="00734DA3">
      <w:pPr>
        <w:numPr>
          <w:ilvl w:val="1"/>
          <w:numId w:val="3"/>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u w:val="single"/>
        </w:rPr>
        <w:t>Disallowance due to non-deduction</w:t>
      </w:r>
      <w:r w:rsidRPr="00734DA3">
        <w:rPr>
          <w:rFonts w:ascii="Verdana" w:eastAsia="Times New Roman" w:hAnsi="Verdana" w:cs="Times New Roman"/>
          <w:sz w:val="20"/>
          <w:szCs w:val="20"/>
        </w:rPr>
        <w:t>:</w:t>
      </w:r>
    </w:p>
    <w:p w:rsidR="00734DA3" w:rsidRPr="00734DA3" w:rsidRDefault="00734DA3" w:rsidP="00734DA3">
      <w:pPr>
        <w:spacing w:after="100" w:line="240" w:lineRule="auto"/>
        <w:rPr>
          <w:rFonts w:ascii="Verdana" w:eastAsia="Times New Roman" w:hAnsi="Verdana" w:cs="Times New Roman"/>
          <w:sz w:val="18"/>
          <w:szCs w:val="18"/>
        </w:rPr>
      </w:pPr>
      <w:r w:rsidRPr="00734DA3">
        <w:rPr>
          <w:rFonts w:ascii="Verdana" w:eastAsia="Times New Roman" w:hAnsi="Verdana" w:cs="Times New Roman"/>
          <w:sz w:val="20"/>
          <w:szCs w:val="20"/>
        </w:rPr>
        <w:t>If tax deductible u/ss. 193, 194A, 194C, 194H, 194J and 195 is not deducted/paid before applicable due dates, the relevant expenditure otherwise allowable in computing total income of the payer would be liable for disallowance u/s 40(a)(</w:t>
      </w:r>
      <w:proofErr w:type="spellStart"/>
      <w:r w:rsidRPr="00734DA3">
        <w:rPr>
          <w:rFonts w:ascii="Verdana" w:eastAsia="Times New Roman" w:hAnsi="Verdana" w:cs="Times New Roman"/>
          <w:sz w:val="20"/>
          <w:szCs w:val="20"/>
        </w:rPr>
        <w:t>i</w:t>
      </w:r>
      <w:proofErr w:type="spellEnd"/>
      <w:r w:rsidRPr="00734DA3">
        <w:rPr>
          <w:rFonts w:ascii="Verdana" w:eastAsia="Times New Roman" w:hAnsi="Verdana" w:cs="Times New Roman"/>
          <w:sz w:val="20"/>
          <w:szCs w:val="20"/>
        </w:rPr>
        <w:t>)/(</w:t>
      </w:r>
      <w:proofErr w:type="spellStart"/>
      <w:r w:rsidRPr="00734DA3">
        <w:rPr>
          <w:rFonts w:ascii="Verdana" w:eastAsia="Times New Roman" w:hAnsi="Verdana" w:cs="Times New Roman"/>
          <w:sz w:val="20"/>
          <w:szCs w:val="20"/>
        </w:rPr>
        <w:t>ia</w:t>
      </w:r>
      <w:proofErr w:type="spellEnd"/>
      <w:r w:rsidRPr="00734DA3">
        <w:rPr>
          <w:rFonts w:ascii="Verdana" w:eastAsia="Times New Roman" w:hAnsi="Verdana" w:cs="Times New Roman"/>
          <w:sz w:val="20"/>
          <w:szCs w:val="20"/>
        </w:rPr>
        <w:t>). The deduction will be allowed in the year in which TDS is paid. However in respect of TDS deducted in the month of March, if the payment is made before the due date for filing the return of income, there will be no such disallowance. For details see section 40(a).</w:t>
      </w:r>
    </w:p>
    <w:p w:rsidR="00734DA3" w:rsidRPr="00734DA3" w:rsidRDefault="00734DA3" w:rsidP="00734DA3">
      <w:pPr>
        <w:numPr>
          <w:ilvl w:val="1"/>
          <w:numId w:val="4"/>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 xml:space="preserve">An individual or a HUF, who was liable to tax audit in the immediately preceding financial year shall be liable to deduct income-tax u/ss. 194A, </w:t>
      </w:r>
      <w:proofErr w:type="gramStart"/>
      <w:r w:rsidRPr="00734DA3">
        <w:rPr>
          <w:rFonts w:ascii="Verdana" w:eastAsia="Times New Roman" w:hAnsi="Verdana" w:cs="Times New Roman"/>
          <w:sz w:val="20"/>
          <w:szCs w:val="20"/>
        </w:rPr>
        <w:t>194C(</w:t>
      </w:r>
      <w:proofErr w:type="gramEnd"/>
      <w:r w:rsidRPr="00734DA3">
        <w:rPr>
          <w:rFonts w:ascii="Verdana" w:eastAsia="Times New Roman" w:hAnsi="Verdana" w:cs="Times New Roman"/>
          <w:sz w:val="20"/>
          <w:szCs w:val="20"/>
        </w:rPr>
        <w:t>2), 194H, 194-I &amp; 194J. Payments made by way of fees which are exclusively for personal purposes will not attract provisions of sec. 194J.</w:t>
      </w:r>
    </w:p>
    <w:p w:rsidR="00734DA3" w:rsidRPr="00734DA3" w:rsidRDefault="00734DA3" w:rsidP="00734DA3">
      <w:pPr>
        <w:numPr>
          <w:ilvl w:val="1"/>
          <w:numId w:val="4"/>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Under Rule 31A where:</w:t>
      </w:r>
    </w:p>
    <w:p w:rsidR="00734DA3" w:rsidRPr="00734DA3" w:rsidRDefault="00734DA3" w:rsidP="00734DA3">
      <w:pPr>
        <w:numPr>
          <w:ilvl w:val="1"/>
          <w:numId w:val="5"/>
        </w:numPr>
        <w:spacing w:line="240" w:lineRule="auto"/>
        <w:rPr>
          <w:rFonts w:ascii="Verdana" w:eastAsia="Times New Roman" w:hAnsi="Verdana" w:cs="Times New Roman"/>
          <w:sz w:val="20"/>
          <w:szCs w:val="20"/>
        </w:rPr>
      </w:pPr>
      <w:r w:rsidRPr="00734DA3">
        <w:rPr>
          <w:rFonts w:ascii="Verdana" w:eastAsia="Times New Roman" w:hAnsi="Verdana" w:cs="Times New Roman"/>
          <w:sz w:val="20"/>
          <w:szCs w:val="20"/>
        </w:rPr>
        <w:t xml:space="preserve">the </w:t>
      </w:r>
      <w:proofErr w:type="spellStart"/>
      <w:r w:rsidRPr="00734DA3">
        <w:rPr>
          <w:rFonts w:ascii="Verdana" w:eastAsia="Times New Roman" w:hAnsi="Verdana" w:cs="Times New Roman"/>
          <w:sz w:val="20"/>
          <w:szCs w:val="20"/>
        </w:rPr>
        <w:t>deductor</w:t>
      </w:r>
      <w:proofErr w:type="spellEnd"/>
      <w:r w:rsidRPr="00734DA3">
        <w:rPr>
          <w:rFonts w:ascii="Verdana" w:eastAsia="Times New Roman" w:hAnsi="Verdana" w:cs="Times New Roman"/>
          <w:sz w:val="20"/>
          <w:szCs w:val="20"/>
        </w:rPr>
        <w:t xml:space="preserve"> is an office of Government; or</w:t>
      </w:r>
    </w:p>
    <w:p w:rsidR="00734DA3" w:rsidRPr="00734DA3" w:rsidRDefault="00734DA3" w:rsidP="00734DA3">
      <w:pPr>
        <w:numPr>
          <w:ilvl w:val="1"/>
          <w:numId w:val="5"/>
        </w:numPr>
        <w:spacing w:line="240" w:lineRule="auto"/>
        <w:rPr>
          <w:rFonts w:ascii="Verdana" w:eastAsia="Times New Roman" w:hAnsi="Verdana" w:cs="Times New Roman"/>
          <w:sz w:val="20"/>
          <w:szCs w:val="20"/>
        </w:rPr>
      </w:pPr>
      <w:r w:rsidRPr="00734DA3">
        <w:rPr>
          <w:rFonts w:ascii="Verdana" w:eastAsia="Times New Roman" w:hAnsi="Verdana" w:cs="Times New Roman"/>
          <w:sz w:val="20"/>
          <w:szCs w:val="20"/>
        </w:rPr>
        <w:t xml:space="preserve">the </w:t>
      </w:r>
      <w:proofErr w:type="spellStart"/>
      <w:r w:rsidRPr="00734DA3">
        <w:rPr>
          <w:rFonts w:ascii="Verdana" w:eastAsia="Times New Roman" w:hAnsi="Verdana" w:cs="Times New Roman"/>
          <w:sz w:val="20"/>
          <w:szCs w:val="20"/>
        </w:rPr>
        <w:t>deductor</w:t>
      </w:r>
      <w:proofErr w:type="spellEnd"/>
      <w:r w:rsidRPr="00734DA3">
        <w:rPr>
          <w:rFonts w:ascii="Verdana" w:eastAsia="Times New Roman" w:hAnsi="Verdana" w:cs="Times New Roman"/>
          <w:sz w:val="20"/>
          <w:szCs w:val="20"/>
        </w:rPr>
        <w:t xml:space="preserve"> is a company; or</w:t>
      </w:r>
    </w:p>
    <w:p w:rsidR="00734DA3" w:rsidRPr="00734DA3" w:rsidRDefault="00734DA3" w:rsidP="00734DA3">
      <w:pPr>
        <w:numPr>
          <w:ilvl w:val="1"/>
          <w:numId w:val="5"/>
        </w:numPr>
        <w:spacing w:line="240" w:lineRule="auto"/>
        <w:rPr>
          <w:rFonts w:ascii="Verdana" w:eastAsia="Times New Roman" w:hAnsi="Verdana" w:cs="Times New Roman"/>
          <w:sz w:val="20"/>
          <w:szCs w:val="20"/>
        </w:rPr>
      </w:pPr>
      <w:r w:rsidRPr="00734DA3">
        <w:rPr>
          <w:rFonts w:ascii="Verdana" w:eastAsia="Times New Roman" w:hAnsi="Verdana" w:cs="Times New Roman"/>
          <w:sz w:val="20"/>
          <w:szCs w:val="20"/>
        </w:rPr>
        <w:t xml:space="preserve">the </w:t>
      </w:r>
      <w:proofErr w:type="spellStart"/>
      <w:r w:rsidRPr="00734DA3">
        <w:rPr>
          <w:rFonts w:ascii="Verdana" w:eastAsia="Times New Roman" w:hAnsi="Verdana" w:cs="Times New Roman"/>
          <w:sz w:val="20"/>
          <w:szCs w:val="20"/>
        </w:rPr>
        <w:t>deductor</w:t>
      </w:r>
      <w:proofErr w:type="spellEnd"/>
      <w:r w:rsidRPr="00734DA3">
        <w:rPr>
          <w:rFonts w:ascii="Verdana" w:eastAsia="Times New Roman" w:hAnsi="Verdana" w:cs="Times New Roman"/>
          <w:sz w:val="20"/>
          <w:szCs w:val="20"/>
        </w:rPr>
        <w:t xml:space="preserve"> is a person required to get his accounts audited under section 44AB in the immediately preceding financial year; or</w:t>
      </w:r>
    </w:p>
    <w:p w:rsidR="00734DA3" w:rsidRPr="00734DA3" w:rsidRDefault="00734DA3" w:rsidP="00734DA3">
      <w:pPr>
        <w:numPr>
          <w:ilvl w:val="1"/>
          <w:numId w:val="5"/>
        </w:numPr>
        <w:spacing w:line="240" w:lineRule="auto"/>
        <w:rPr>
          <w:rFonts w:ascii="Verdana" w:eastAsia="Times New Roman" w:hAnsi="Verdana" w:cs="Times New Roman"/>
          <w:sz w:val="20"/>
          <w:szCs w:val="20"/>
        </w:rPr>
      </w:pPr>
      <w:r w:rsidRPr="00734DA3">
        <w:rPr>
          <w:rFonts w:ascii="Verdana" w:eastAsia="Times New Roman" w:hAnsi="Verdana" w:cs="Times New Roman"/>
          <w:sz w:val="20"/>
          <w:szCs w:val="20"/>
        </w:rPr>
        <w:t xml:space="preserve">the number of </w:t>
      </w:r>
      <w:proofErr w:type="spellStart"/>
      <w:r w:rsidRPr="00734DA3">
        <w:rPr>
          <w:rFonts w:ascii="Verdana" w:eastAsia="Times New Roman" w:hAnsi="Verdana" w:cs="Times New Roman"/>
          <w:sz w:val="20"/>
          <w:szCs w:val="20"/>
        </w:rPr>
        <w:t>deductees</w:t>
      </w:r>
      <w:proofErr w:type="spellEnd"/>
      <w:r w:rsidRPr="00734DA3">
        <w:rPr>
          <w:rFonts w:ascii="Verdana" w:eastAsia="Times New Roman" w:hAnsi="Verdana" w:cs="Times New Roman"/>
          <w:sz w:val="20"/>
          <w:szCs w:val="20"/>
        </w:rPr>
        <w:t>’ records in a quarterly statement for any quarter of the immediately preceding financial year is equal to or more than fifty,</w:t>
      </w:r>
    </w:p>
    <w:p w:rsidR="00734DA3" w:rsidRPr="00734DA3" w:rsidRDefault="00734DA3" w:rsidP="00734DA3">
      <w:pPr>
        <w:spacing w:after="100" w:line="240" w:lineRule="auto"/>
        <w:rPr>
          <w:rFonts w:ascii="Verdana" w:eastAsia="Times New Roman" w:hAnsi="Verdana" w:cs="Times New Roman"/>
          <w:sz w:val="18"/>
          <w:szCs w:val="18"/>
        </w:rPr>
      </w:pPr>
      <w:proofErr w:type="gramStart"/>
      <w:r w:rsidRPr="00734DA3">
        <w:rPr>
          <w:rFonts w:ascii="Verdana" w:eastAsia="Times New Roman" w:hAnsi="Verdana" w:cs="Times New Roman"/>
          <w:sz w:val="20"/>
          <w:szCs w:val="20"/>
        </w:rPr>
        <w:lastRenderedPageBreak/>
        <w:t>the</w:t>
      </w:r>
      <w:proofErr w:type="gramEnd"/>
      <w:r w:rsidRPr="00734DA3">
        <w:rPr>
          <w:rFonts w:ascii="Verdana" w:eastAsia="Times New Roman" w:hAnsi="Verdana" w:cs="Times New Roman"/>
          <w:sz w:val="20"/>
          <w:szCs w:val="20"/>
        </w:rPr>
        <w:t xml:space="preserve"> person responsible for the deducting tax at source, and the principal officer in the case of a company shall deliver or cause to be delivered such quarterly statements on computer media (3.5" / 1.44 MB floppy diskette or CD-ROM of 650 MB capacity) along with Form 27A in paper format. In the case of other </w:t>
      </w:r>
      <w:proofErr w:type="spellStart"/>
      <w:r w:rsidRPr="00734DA3">
        <w:rPr>
          <w:rFonts w:ascii="Verdana" w:eastAsia="Times New Roman" w:hAnsi="Verdana" w:cs="Times New Roman"/>
          <w:sz w:val="20"/>
          <w:szCs w:val="20"/>
        </w:rPr>
        <w:t>deductors</w:t>
      </w:r>
      <w:proofErr w:type="spellEnd"/>
      <w:r w:rsidRPr="00734DA3">
        <w:rPr>
          <w:rFonts w:ascii="Verdana" w:eastAsia="Times New Roman" w:hAnsi="Verdana" w:cs="Times New Roman"/>
          <w:sz w:val="20"/>
          <w:szCs w:val="20"/>
        </w:rPr>
        <w:t>, filing such returns on computer media is optional.</w:t>
      </w:r>
    </w:p>
    <w:p w:rsidR="00734DA3" w:rsidRPr="00734DA3" w:rsidRDefault="00734DA3" w:rsidP="00734DA3">
      <w:pPr>
        <w:numPr>
          <w:ilvl w:val="1"/>
          <w:numId w:val="6"/>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As per section 199, CBDT has been given the power to prescribe rules for the assessment year for which the credit of tax may be given and the manner in which such credit shall be given.</w:t>
      </w:r>
    </w:p>
    <w:p w:rsidR="00734DA3" w:rsidRPr="00734DA3" w:rsidRDefault="00734DA3" w:rsidP="00734DA3">
      <w:pPr>
        <w:numPr>
          <w:ilvl w:val="1"/>
          <w:numId w:val="6"/>
        </w:numPr>
        <w:spacing w:line="240" w:lineRule="auto"/>
        <w:ind w:left="720"/>
        <w:rPr>
          <w:rFonts w:ascii="Verdana" w:eastAsia="Times New Roman" w:hAnsi="Verdana" w:cs="Times New Roman"/>
          <w:sz w:val="20"/>
          <w:szCs w:val="20"/>
        </w:rPr>
      </w:pPr>
      <w:r w:rsidRPr="00734DA3">
        <w:rPr>
          <w:rFonts w:ascii="Verdana" w:eastAsia="Times New Roman" w:hAnsi="Verdana" w:cs="Times New Roman"/>
          <w:sz w:val="20"/>
          <w:szCs w:val="20"/>
        </w:rPr>
        <w:t>It is required from all persons deducting tax to quote PAN of payees in the TDS certificate and TDS return.</w:t>
      </w:r>
    </w:p>
    <w:p w:rsidR="00BA6A26" w:rsidRDefault="00BA6A26"/>
    <w:sectPr w:rsidR="00BA6A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F7F00"/>
    <w:multiLevelType w:val="multilevel"/>
    <w:tmpl w:val="DE6EB06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1056AF"/>
    <w:multiLevelType w:val="multilevel"/>
    <w:tmpl w:val="60120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9A00E0"/>
    <w:multiLevelType w:val="multilevel"/>
    <w:tmpl w:val="A468CCD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BD4BE7"/>
    <w:multiLevelType w:val="multilevel"/>
    <w:tmpl w:val="001CA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3B0A99"/>
    <w:multiLevelType w:val="multilevel"/>
    <w:tmpl w:val="7C0EC14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D67C03"/>
    <w:multiLevelType w:val="multilevel"/>
    <w:tmpl w:val="8FF4218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4DA3"/>
    <w:rsid w:val="00734DA3"/>
    <w:rsid w:val="00BA6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4DA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9691845">
      <w:bodyDiv w:val="1"/>
      <w:marLeft w:val="0"/>
      <w:marRight w:val="0"/>
      <w:marTop w:val="100"/>
      <w:marBottom w:val="100"/>
      <w:divBdr>
        <w:top w:val="none" w:sz="0" w:space="0" w:color="auto"/>
        <w:left w:val="none" w:sz="0" w:space="0" w:color="auto"/>
        <w:bottom w:val="none" w:sz="0" w:space="0" w:color="auto"/>
        <w:right w:val="none" w:sz="0" w:space="0" w:color="auto"/>
      </w:divBdr>
      <w:divsChild>
        <w:div w:id="866990458">
          <w:marLeft w:val="0"/>
          <w:marRight w:val="0"/>
          <w:marTop w:val="0"/>
          <w:marBottom w:val="0"/>
          <w:divBdr>
            <w:top w:val="none" w:sz="0" w:space="0" w:color="auto"/>
            <w:left w:val="none" w:sz="0" w:space="0" w:color="auto"/>
            <w:bottom w:val="none" w:sz="0" w:space="0" w:color="auto"/>
            <w:right w:val="none" w:sz="0" w:space="0" w:color="auto"/>
          </w:divBdr>
          <w:divsChild>
            <w:div w:id="1173226030">
              <w:marLeft w:val="0"/>
              <w:marRight w:val="0"/>
              <w:marTop w:val="100"/>
              <w:marBottom w:val="100"/>
              <w:divBdr>
                <w:top w:val="none" w:sz="0" w:space="0" w:color="auto"/>
                <w:left w:val="none" w:sz="0" w:space="0" w:color="auto"/>
                <w:bottom w:val="none" w:sz="0" w:space="0" w:color="auto"/>
                <w:right w:val="none" w:sz="0" w:space="0" w:color="auto"/>
              </w:divBdr>
              <w:divsChild>
                <w:div w:id="304313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673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2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2187</Words>
  <Characters>12466</Characters>
  <Application>Microsoft Office Word</Application>
  <DocSecurity>0</DocSecurity>
  <Lines>103</Lines>
  <Paragraphs>29</Paragraphs>
  <ScaleCrop>false</ScaleCrop>
  <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dc:creator>
  <cp:keywords/>
  <dc:description/>
  <cp:lastModifiedBy>RajKumar</cp:lastModifiedBy>
  <cp:revision>2</cp:revision>
  <dcterms:created xsi:type="dcterms:W3CDTF">2009-07-13T04:07:00Z</dcterms:created>
  <dcterms:modified xsi:type="dcterms:W3CDTF">2009-07-13T04:09:00Z</dcterms:modified>
</cp:coreProperties>
</file>