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9C4" w:rsidRDefault="003079C4" w:rsidP="003079C4">
      <w:pPr>
        <w:spacing w:line="240" w:lineRule="auto"/>
        <w:jc w:val="both"/>
        <w:rPr>
          <w:rFonts w:asciiTheme="majorHAnsi" w:eastAsia="Times New Roman" w:hAnsiTheme="majorHAnsi" w:cs="Times New Roman"/>
          <w:b/>
          <w:bCs/>
          <w:color w:val="000000"/>
          <w:sz w:val="24"/>
          <w:szCs w:val="24"/>
          <w:shd w:val="clear" w:color="auto" w:fill="E2EFDA"/>
        </w:rPr>
      </w:pPr>
      <w:r>
        <w:rPr>
          <w:rFonts w:asciiTheme="majorHAnsi" w:eastAsia="Times New Roman" w:hAnsiTheme="majorHAnsi" w:cs="Times New Roman"/>
          <w:b/>
          <w:bCs/>
          <w:color w:val="000000"/>
          <w:sz w:val="24"/>
          <w:szCs w:val="24"/>
          <w:shd w:val="clear" w:color="auto" w:fill="E2EFDA"/>
        </w:rPr>
        <w:t xml:space="preserve">Section 11: Input Tax Credit </w:t>
      </w:r>
      <w:r>
        <w:rPr>
          <w:rFonts w:asciiTheme="majorHAnsi" w:eastAsia="Times New Roman" w:hAnsiTheme="majorHAnsi" w:cs="Times New Roman"/>
          <w:bCs/>
          <w:color w:val="000000"/>
          <w:sz w:val="24"/>
          <w:szCs w:val="24"/>
          <w:shd w:val="clear" w:color="auto" w:fill="E2EFDA"/>
        </w:rPr>
        <w:t>[</w:t>
      </w:r>
      <w:r>
        <w:rPr>
          <w:rFonts w:asciiTheme="majorHAnsi" w:eastAsia="Times New Roman" w:hAnsiTheme="majorHAnsi" w:cs="Times New Roman"/>
          <w:b/>
          <w:bCs/>
          <w:color w:val="000000"/>
          <w:sz w:val="24"/>
          <w:szCs w:val="24"/>
          <w:shd w:val="clear" w:color="auto" w:fill="E2EFDA"/>
        </w:rPr>
        <w:t>ITC</w:t>
      </w:r>
      <w:r>
        <w:rPr>
          <w:rFonts w:asciiTheme="majorHAnsi" w:eastAsia="Times New Roman" w:hAnsiTheme="majorHAnsi" w:cs="Times New Roman"/>
          <w:bCs/>
          <w:color w:val="000000"/>
          <w:sz w:val="24"/>
          <w:szCs w:val="24"/>
          <w:shd w:val="clear" w:color="auto" w:fill="E2EFDA"/>
        </w:rPr>
        <w:t>] [Rule-15, 64(3)] [Form 201]</w:t>
      </w:r>
    </w:p>
    <w:p w:rsidR="003079C4" w:rsidRDefault="003079C4" w:rsidP="003079C4">
      <w:pPr>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Input Tax Credit is at the core of the scheme of taxation under GVAT Act. Input tax credit is available on the inputs of a dealer in full </w:t>
      </w:r>
      <w:r>
        <w:rPr>
          <w:rFonts w:asciiTheme="majorHAnsi" w:eastAsia="Times New Roman" w:hAnsiTheme="majorHAnsi" w:cs="Times New Roman"/>
          <w:bCs/>
          <w:color w:val="943634" w:themeColor="accent2" w:themeShade="BF"/>
          <w:sz w:val="24"/>
          <w:szCs w:val="24"/>
        </w:rPr>
        <w:t>immediately on receipt of tax invoice</w:t>
      </w:r>
      <w:r>
        <w:rPr>
          <w:rFonts w:asciiTheme="majorHAnsi" w:eastAsia="Times New Roman" w:hAnsiTheme="majorHAnsi" w:cs="Times New Roman"/>
          <w:color w:val="000000"/>
          <w:sz w:val="24"/>
          <w:szCs w:val="24"/>
        </w:rPr>
        <w:t xml:space="preserve">. The ITC is available of VAT &amp; Additional Tax paid on purchases, Purchase Tax u/s. 9 and Entry Tax. </w:t>
      </w:r>
    </w:p>
    <w:p w:rsidR="003079C4" w:rsidRDefault="003079C4" w:rsidP="003079C4">
      <w:pPr>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In case of manufacturers, it is the tax paid on purchase of raw material for manufacturing taxable goods. The term raw material includes processing materials, consumable stores and packing material but does not include fuels for the purpose of generation of electricity.</w:t>
      </w:r>
    </w:p>
    <w:p w:rsidR="003079C4" w:rsidRDefault="003079C4" w:rsidP="003079C4">
      <w:pPr>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For getting ITC, the prime condition is that the goods purchased should be intended for;</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sale within the state</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sale in the course of Inter State trade or commerce</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sale in the course of export</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sale to EOU or to a unit located in SEZ</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Branch Transfer or for sale on consignment basis</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use as raw material for manufacturing taxable goods or for packing of such manufactured finished goods.</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use as capital goods manufacturing taxable goods.</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being used in the execution of works contract.</w:t>
      </w:r>
    </w:p>
    <w:p w:rsidR="003079C4" w:rsidRDefault="003079C4" w:rsidP="003079C4">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For making other zero rated sale.</w:t>
      </w:r>
    </w:p>
    <w:p w:rsidR="003079C4" w:rsidRDefault="003079C4" w:rsidP="003079C4">
      <w:pPr>
        <w:rPr>
          <w:rFonts w:asciiTheme="majorHAnsi" w:hAnsiTheme="majorHAnsi"/>
          <w:color w:val="943634" w:themeColor="accent2" w:themeShade="BF"/>
          <w:u w:val="single"/>
        </w:rPr>
      </w:pPr>
      <w:r>
        <w:rPr>
          <w:rFonts w:asciiTheme="majorHAnsi" w:eastAsia="Times New Roman" w:hAnsiTheme="majorHAnsi" w:cs="Times New Roman"/>
          <w:bCs/>
          <w:color w:val="943634" w:themeColor="accent2" w:themeShade="BF"/>
          <w:sz w:val="24"/>
          <w:szCs w:val="24"/>
          <w:u w:val="single"/>
        </w:rPr>
        <w:t>ITC ON FUEL AND BRANCH/CONSIGNMENT TRANSFER TRANSACTIONS</w:t>
      </w:r>
    </w:p>
    <w:p w:rsidR="003079C4" w:rsidRDefault="003079C4" w:rsidP="003079C4">
      <w:pPr>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 xml:space="preserve">ITC of fuel used in motor vehicles or in generation of electrical energy is not admissible. However, ITC of fuel, if used in manufacture, is available after reduction of input tax credit @ 4% of the turnover. </w:t>
      </w:r>
    </w:p>
    <w:p w:rsidR="003079C4" w:rsidRDefault="003079C4" w:rsidP="003079C4">
      <w:pPr>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 xml:space="preserve">Similarly, ITC on goods dispatched by way of branch/consignment transfer outside the Gujarat State or of raw materials used in the manufacture of goods which are dispatched by way of branch/consignment transfer outside the Gujarat State is eligible after deducting </w:t>
      </w:r>
      <w:r>
        <w:rPr>
          <w:rFonts w:asciiTheme="majorHAnsi" w:eastAsia="Times New Roman" w:hAnsiTheme="majorHAnsi" w:cs="Times New Roman"/>
          <w:color w:val="943634" w:themeColor="accent2" w:themeShade="BF"/>
          <w:sz w:val="24"/>
          <w:szCs w:val="24"/>
        </w:rPr>
        <w:t>4% or applicable lower rate of tax</w:t>
      </w:r>
      <w:r>
        <w:rPr>
          <w:rFonts w:asciiTheme="majorHAnsi" w:eastAsia="Times New Roman" w:hAnsiTheme="majorHAnsi" w:cs="Times New Roman"/>
          <w:color w:val="000000"/>
          <w:sz w:val="24"/>
          <w:szCs w:val="24"/>
        </w:rPr>
        <w:t xml:space="preserve"> on taxable turnover of their purchases within the State.</w:t>
      </w:r>
    </w:p>
    <w:p w:rsidR="003079C4" w:rsidRDefault="003079C4" w:rsidP="003079C4">
      <w:pPr>
        <w:jc w:val="both"/>
        <w:rPr>
          <w:rFonts w:asciiTheme="majorHAnsi" w:eastAsia="Times New Roman" w:hAnsiTheme="majorHAnsi" w:cs="Times New Roman"/>
          <w:color w:val="943634" w:themeColor="accent2" w:themeShade="BF"/>
          <w:sz w:val="24"/>
          <w:szCs w:val="24"/>
          <w:u w:val="single"/>
        </w:rPr>
      </w:pPr>
      <w:r>
        <w:rPr>
          <w:rFonts w:asciiTheme="majorHAnsi" w:eastAsia="Times New Roman" w:hAnsiTheme="majorHAnsi" w:cs="Times New Roman"/>
          <w:color w:val="943634" w:themeColor="accent2" w:themeShade="BF"/>
          <w:sz w:val="24"/>
          <w:szCs w:val="24"/>
          <w:u w:val="single"/>
        </w:rPr>
        <w:t>ITC NOT ALLOWED ON PURCHASES</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From an unregistered dealer;</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From a registered dealer who has opted composition scheme for payment of VAT;</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Made prior to the date of registration;</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Made from outside the state/India;</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Of goods which are disposed off (such as, personal use) otherwise than by way of sale, resale or manufacture;</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Of exempted goods;</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lastRenderedPageBreak/>
        <w:t>Of the goods which are used, in the manufacture of exempted goods or in the packing of such goods;</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Of capital goods used in the manufacture of exempted goods or in generation of electricity;</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color w:val="000000"/>
          <w:sz w:val="24"/>
          <w:szCs w:val="24"/>
        </w:rPr>
        <w:t>Of vehicles - Its equipments, accessories and spares (except for vehicle dealers);</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color w:val="000000"/>
          <w:sz w:val="24"/>
          <w:szCs w:val="24"/>
        </w:rPr>
        <w:t>Of goods or property, not connected with business;</w:t>
      </w:r>
    </w:p>
    <w:p w:rsidR="003079C4" w:rsidRDefault="003079C4" w:rsidP="003079C4">
      <w:pPr>
        <w:pStyle w:val="ListParagraph"/>
        <w:numPr>
          <w:ilvl w:val="0"/>
          <w:numId w:val="2"/>
        </w:numPr>
        <w:jc w:val="both"/>
        <w:rPr>
          <w:rFonts w:asciiTheme="majorHAnsi" w:hAnsiTheme="majorHAnsi"/>
          <w:sz w:val="24"/>
          <w:szCs w:val="24"/>
        </w:rPr>
      </w:pPr>
      <w:r>
        <w:rPr>
          <w:rFonts w:asciiTheme="majorHAnsi" w:hAnsiTheme="majorHAnsi"/>
          <w:sz w:val="24"/>
          <w:szCs w:val="24"/>
        </w:rPr>
        <w:t>Of goods used as fuel in generation of electric energy or in motor vehicles;</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color w:val="000000"/>
          <w:sz w:val="24"/>
          <w:szCs w:val="24"/>
        </w:rPr>
        <w:t>Of Petrol, Diesel, crude oil &amp; lignite unless intended for resale;</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color w:val="000000"/>
          <w:sz w:val="24"/>
          <w:szCs w:val="24"/>
        </w:rPr>
        <w:t>Of capital goods for being transferred through use in the execution of works contract;</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color w:val="000000"/>
          <w:sz w:val="24"/>
          <w:szCs w:val="24"/>
        </w:rPr>
        <w:t xml:space="preserve">Of goods </w:t>
      </w:r>
      <w:r>
        <w:rPr>
          <w:rFonts w:asciiTheme="majorHAnsi" w:eastAsia="Times New Roman" w:hAnsiTheme="majorHAnsi" w:cs="Times New Roman"/>
          <w:sz w:val="24"/>
          <w:szCs w:val="24"/>
        </w:rPr>
        <w:t>for transferring the right to use for any purpose;</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sz w:val="24"/>
          <w:szCs w:val="24"/>
        </w:rPr>
        <w:t>Of the goods remaining unsold on closure of business;</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sz w:val="24"/>
          <w:szCs w:val="24"/>
        </w:rPr>
        <w:t>Where the original invoice does not show the amount of tax separately;</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sz w:val="24"/>
          <w:szCs w:val="24"/>
        </w:rPr>
        <w:t>Where the invoice seems to be bogus/fake bills or is not available with the claimant;</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color w:val="000000"/>
          <w:sz w:val="24"/>
          <w:szCs w:val="24"/>
        </w:rPr>
        <w:t>Made during the unregistered period (except for stock on date of Registration or purchases before one year of registration);</w:t>
      </w:r>
    </w:p>
    <w:p w:rsidR="003079C4" w:rsidRDefault="003079C4" w:rsidP="003079C4">
      <w:pPr>
        <w:pStyle w:val="ListParagraph"/>
        <w:numPr>
          <w:ilvl w:val="0"/>
          <w:numId w:val="2"/>
        </w:numPr>
        <w:jc w:val="both"/>
        <w:rPr>
          <w:rFonts w:asciiTheme="majorHAnsi" w:hAnsiTheme="majorHAnsi"/>
          <w:sz w:val="24"/>
          <w:szCs w:val="24"/>
        </w:rPr>
      </w:pPr>
      <w:r>
        <w:rPr>
          <w:rFonts w:asciiTheme="majorHAnsi" w:eastAsia="Times New Roman" w:hAnsiTheme="majorHAnsi" w:cs="Times New Roman"/>
          <w:color w:val="000000"/>
          <w:sz w:val="24"/>
          <w:szCs w:val="24"/>
        </w:rPr>
        <w:t>On account of cancellation/invalidity of composition scheme (except for stock on such date or purchases before one year of such date).</w:t>
      </w:r>
    </w:p>
    <w:p w:rsidR="003079C4" w:rsidRDefault="003079C4" w:rsidP="003079C4">
      <w:pPr>
        <w:pStyle w:val="ListParagraph"/>
        <w:numPr>
          <w:ilvl w:val="0"/>
          <w:numId w:val="3"/>
        </w:numPr>
        <w:ind w:left="360"/>
        <w:jc w:val="both"/>
        <w:rPr>
          <w:rFonts w:asciiTheme="majorHAnsi" w:hAnsiTheme="majorHAnsi"/>
          <w:sz w:val="24"/>
          <w:szCs w:val="24"/>
        </w:rPr>
      </w:pPr>
      <w:r>
        <w:rPr>
          <w:rFonts w:asciiTheme="majorHAnsi" w:hAnsiTheme="majorHAnsi"/>
          <w:sz w:val="24"/>
          <w:szCs w:val="24"/>
        </w:rPr>
        <w:t>Tax credit shall not exceed the tax actually paid on purchases by the dealer. However, if tax payable is shown in books or such tax is deferrable under any tax incentive scheme then the tax shall be deemed to have been paid to the government &amp; credit can be availed thereon.</w:t>
      </w:r>
    </w:p>
    <w:p w:rsidR="003079C4" w:rsidRDefault="003079C4" w:rsidP="003079C4">
      <w:pPr>
        <w:pStyle w:val="ListParagraph"/>
        <w:numPr>
          <w:ilvl w:val="0"/>
          <w:numId w:val="3"/>
        </w:numPr>
        <w:ind w:left="360"/>
        <w:jc w:val="both"/>
        <w:rPr>
          <w:rFonts w:asciiTheme="majorHAnsi" w:hAnsiTheme="majorHAnsi"/>
          <w:sz w:val="24"/>
          <w:szCs w:val="24"/>
        </w:rPr>
      </w:pPr>
      <w:r>
        <w:rPr>
          <w:rFonts w:asciiTheme="majorHAnsi" w:eastAsia="Times New Roman" w:hAnsiTheme="majorHAnsi" w:cs="Times New Roman"/>
          <w:color w:val="000000"/>
          <w:sz w:val="24"/>
          <w:szCs w:val="24"/>
        </w:rPr>
        <w:t xml:space="preserve">ITC is required to be reversed (fully or partly) when ITC availed goods are used for non-specified purposes. </w:t>
      </w:r>
    </w:p>
    <w:p w:rsidR="003079C4" w:rsidRDefault="003079C4" w:rsidP="003079C4">
      <w:pPr>
        <w:pStyle w:val="ListParagraph"/>
        <w:numPr>
          <w:ilvl w:val="0"/>
          <w:numId w:val="3"/>
        </w:numPr>
        <w:ind w:left="360"/>
        <w:jc w:val="both"/>
        <w:rPr>
          <w:rFonts w:asciiTheme="majorHAnsi" w:hAnsiTheme="majorHAnsi"/>
          <w:sz w:val="24"/>
          <w:szCs w:val="24"/>
        </w:rPr>
      </w:pPr>
      <w:r>
        <w:rPr>
          <w:rFonts w:asciiTheme="majorHAnsi" w:eastAsia="Times New Roman" w:hAnsiTheme="majorHAnsi" w:cs="Times New Roman"/>
          <w:color w:val="000000"/>
          <w:sz w:val="24"/>
          <w:szCs w:val="24"/>
        </w:rPr>
        <w:t>ITC is also required to be adjusted for Debit Note or Credit Note issued for any change in consideration, if tax is separately shown.</w:t>
      </w:r>
    </w:p>
    <w:p w:rsidR="003079C4" w:rsidRDefault="003079C4" w:rsidP="003079C4">
      <w:pPr>
        <w:pStyle w:val="ListParagraph"/>
        <w:numPr>
          <w:ilvl w:val="0"/>
          <w:numId w:val="3"/>
        </w:numPr>
        <w:ind w:left="360"/>
        <w:jc w:val="both"/>
        <w:rPr>
          <w:rFonts w:asciiTheme="majorHAnsi" w:hAnsiTheme="majorHAnsi"/>
          <w:sz w:val="24"/>
          <w:szCs w:val="24"/>
        </w:rPr>
      </w:pPr>
      <w:r>
        <w:rPr>
          <w:rFonts w:asciiTheme="majorHAnsi" w:eastAsia="Times New Roman" w:hAnsiTheme="majorHAnsi" w:cs="Times New Roman"/>
          <w:color w:val="000000"/>
          <w:sz w:val="24"/>
          <w:szCs w:val="24"/>
        </w:rPr>
        <w:t>ITC of Purchase Tax will be available in the month of liability shown. But Purchase Tax on Sugarcane will be available when the actual payment is made by the dealer.</w:t>
      </w:r>
    </w:p>
    <w:p w:rsidR="003079C4" w:rsidRDefault="003079C4" w:rsidP="003079C4">
      <w:pPr>
        <w:jc w:val="both"/>
        <w:rPr>
          <w:rFonts w:asciiTheme="majorHAnsi" w:hAnsiTheme="majorHAnsi"/>
          <w:sz w:val="24"/>
          <w:szCs w:val="24"/>
        </w:rPr>
      </w:pPr>
      <w:r>
        <w:rPr>
          <w:rFonts w:asciiTheme="majorHAnsi" w:eastAsia="Times New Roman" w:hAnsiTheme="majorHAnsi" w:cs="Times New Roman"/>
          <w:color w:val="943634" w:themeColor="accent2" w:themeShade="BF"/>
          <w:sz w:val="24"/>
          <w:szCs w:val="24"/>
          <w:u w:val="single"/>
        </w:rPr>
        <w:t>ITC ON CAPITAL GOODS</w:t>
      </w:r>
    </w:p>
    <w:p w:rsidR="003079C4" w:rsidRDefault="003079C4" w:rsidP="003079C4">
      <w:pPr>
        <w:jc w:val="both"/>
        <w:rPr>
          <w:rFonts w:asciiTheme="majorHAnsi" w:hAnsiTheme="majorHAnsi"/>
          <w:sz w:val="24"/>
          <w:szCs w:val="24"/>
        </w:rPr>
      </w:pPr>
      <w:r>
        <w:rPr>
          <w:rFonts w:asciiTheme="majorHAnsi" w:eastAsia="Times New Roman" w:hAnsiTheme="majorHAnsi" w:cs="Times New Roman"/>
          <w:color w:val="000000"/>
          <w:sz w:val="24"/>
          <w:szCs w:val="24"/>
        </w:rPr>
        <w:t xml:space="preserve">ITC on </w:t>
      </w:r>
      <w:hyperlink r:id="rId5" w:anchor="Definitions" w:history="1">
        <w:r>
          <w:rPr>
            <w:rStyle w:val="Hyperlink"/>
            <w:rFonts w:asciiTheme="majorHAnsi" w:eastAsia="Times New Roman" w:hAnsiTheme="majorHAnsi" w:cs="Times New Roman"/>
            <w:sz w:val="24"/>
            <w:szCs w:val="24"/>
          </w:rPr>
          <w:t>Capital Goods</w:t>
        </w:r>
      </w:hyperlink>
      <w:r>
        <w:rPr>
          <w:rFonts w:asciiTheme="majorHAnsi" w:eastAsia="Times New Roman" w:hAnsiTheme="majorHAnsi" w:cs="Times New Roman"/>
          <w:color w:val="000000"/>
          <w:sz w:val="24"/>
          <w:szCs w:val="24"/>
        </w:rPr>
        <w:t xml:space="preserve"> (not second hand) is also available. Further, it should not be used for manufacture of Exempted Goods (Other than zero rated sales) or for Electrical Power Generation including Captive Use. Further, the capital good on which ITC has been claimed should be used </w:t>
      </w:r>
      <w:r>
        <w:rPr>
          <w:rFonts w:asciiTheme="majorHAnsi" w:eastAsia="Times New Roman" w:hAnsiTheme="majorHAnsi" w:cs="Times New Roman"/>
          <w:color w:val="943634" w:themeColor="accent2" w:themeShade="BF"/>
          <w:sz w:val="24"/>
          <w:szCs w:val="24"/>
        </w:rPr>
        <w:t>for a continuous period of 5 years</w:t>
      </w:r>
      <w:r>
        <w:rPr>
          <w:rFonts w:asciiTheme="majorHAnsi" w:eastAsia="Times New Roman" w:hAnsiTheme="majorHAnsi" w:cs="Times New Roman"/>
          <w:color w:val="000000"/>
          <w:sz w:val="24"/>
          <w:szCs w:val="24"/>
        </w:rPr>
        <w:t>, or else proportionate reduction in ITC is required to be made. Besides, ITC is not admissible on capital goods used in the execution of works contract. ITC is available to traders as well as manufacturers.</w:t>
      </w:r>
    </w:p>
    <w:p w:rsidR="003079C4" w:rsidRDefault="003079C4" w:rsidP="003079C4">
      <w:pPr>
        <w:jc w:val="both"/>
        <w:rPr>
          <w:rFonts w:asciiTheme="majorHAnsi" w:hAnsiTheme="majorHAnsi"/>
          <w:sz w:val="24"/>
          <w:szCs w:val="24"/>
        </w:rPr>
      </w:pPr>
      <w:r>
        <w:rPr>
          <w:rFonts w:asciiTheme="majorHAnsi" w:hAnsiTheme="majorHAnsi"/>
          <w:sz w:val="24"/>
          <w:szCs w:val="24"/>
          <w:u w:val="single"/>
        </w:rPr>
        <w:t>Explanation</w:t>
      </w:r>
      <w:r>
        <w:rPr>
          <w:rFonts w:asciiTheme="majorHAnsi" w:hAnsiTheme="majorHAnsi"/>
          <w:sz w:val="24"/>
          <w:szCs w:val="24"/>
        </w:rPr>
        <w:t xml:space="preserve"> – Allowing credit reduces the cost of asset – depreciation diminishes – cost of product reduces – selling price becomes low, thereby avoids double taxation.</w:t>
      </w:r>
    </w:p>
    <w:p w:rsidR="003079C4" w:rsidRDefault="003079C4" w:rsidP="003079C4">
      <w:pPr>
        <w:jc w:val="both"/>
        <w:rPr>
          <w:rFonts w:asciiTheme="majorHAnsi" w:hAnsiTheme="majorHAnsi"/>
          <w:sz w:val="24"/>
          <w:szCs w:val="24"/>
        </w:rPr>
      </w:pPr>
      <w:r>
        <w:rPr>
          <w:rFonts w:asciiTheme="majorHAnsi" w:eastAsia="Times New Roman" w:hAnsiTheme="majorHAnsi" w:cs="Times New Roman"/>
          <w:color w:val="943634" w:themeColor="accent2" w:themeShade="BF"/>
          <w:sz w:val="24"/>
          <w:szCs w:val="24"/>
          <w:u w:val="single"/>
        </w:rPr>
        <w:lastRenderedPageBreak/>
        <w:t>ITC REVERSAL @ 2% FOR INTER STATE SALES</w:t>
      </w:r>
    </w:p>
    <w:p w:rsidR="003079C4" w:rsidRDefault="003079C4" w:rsidP="003079C4">
      <w:pPr>
        <w:tabs>
          <w:tab w:val="left" w:pos="2977"/>
        </w:tabs>
        <w:jc w:val="both"/>
        <w:rPr>
          <w:rFonts w:asciiTheme="majorHAnsi" w:hAnsiTheme="majorHAnsi"/>
          <w:sz w:val="24"/>
          <w:szCs w:val="24"/>
        </w:rPr>
      </w:pPr>
      <w:r>
        <w:rPr>
          <w:rFonts w:asciiTheme="majorHAnsi" w:hAnsiTheme="majorHAnsi"/>
          <w:sz w:val="24"/>
          <w:szCs w:val="24"/>
        </w:rPr>
        <w:t>In case of inter-state branch transfer of;</w:t>
      </w:r>
    </w:p>
    <w:p w:rsidR="003079C4" w:rsidRDefault="003079C4" w:rsidP="003079C4">
      <w:pPr>
        <w:pStyle w:val="ListParagraph"/>
        <w:numPr>
          <w:ilvl w:val="0"/>
          <w:numId w:val="4"/>
        </w:numPr>
        <w:tabs>
          <w:tab w:val="left" w:pos="2977"/>
        </w:tabs>
        <w:jc w:val="both"/>
        <w:rPr>
          <w:rFonts w:asciiTheme="majorHAnsi" w:hAnsiTheme="majorHAnsi"/>
          <w:sz w:val="24"/>
          <w:szCs w:val="24"/>
        </w:rPr>
      </w:pPr>
      <w:r>
        <w:rPr>
          <w:rFonts w:asciiTheme="majorHAnsi" w:hAnsiTheme="majorHAnsi"/>
          <w:sz w:val="24"/>
          <w:szCs w:val="24"/>
        </w:rPr>
        <w:t>goods on which credit was taken, or</w:t>
      </w:r>
    </w:p>
    <w:p w:rsidR="003079C4" w:rsidRDefault="003079C4" w:rsidP="003079C4">
      <w:pPr>
        <w:pStyle w:val="ListParagraph"/>
        <w:numPr>
          <w:ilvl w:val="0"/>
          <w:numId w:val="4"/>
        </w:numPr>
        <w:tabs>
          <w:tab w:val="left" w:pos="2977"/>
        </w:tabs>
        <w:jc w:val="both"/>
        <w:rPr>
          <w:rFonts w:asciiTheme="majorHAnsi" w:hAnsiTheme="majorHAnsi"/>
          <w:sz w:val="24"/>
          <w:szCs w:val="24"/>
        </w:rPr>
      </w:pPr>
      <w:proofErr w:type="gramStart"/>
      <w:r>
        <w:rPr>
          <w:rFonts w:asciiTheme="majorHAnsi" w:hAnsiTheme="majorHAnsi"/>
          <w:sz w:val="24"/>
          <w:szCs w:val="24"/>
        </w:rPr>
        <w:t>final</w:t>
      </w:r>
      <w:proofErr w:type="gramEnd"/>
      <w:r>
        <w:rPr>
          <w:rFonts w:asciiTheme="majorHAnsi" w:hAnsiTheme="majorHAnsi"/>
          <w:sz w:val="24"/>
          <w:szCs w:val="24"/>
        </w:rPr>
        <w:t xml:space="preserve"> products manufactured out of goods on which credit was taken.</w:t>
      </w:r>
    </w:p>
    <w:p w:rsidR="003079C4" w:rsidRDefault="003079C4" w:rsidP="003079C4">
      <w:pPr>
        <w:tabs>
          <w:tab w:val="left" w:pos="2977"/>
        </w:tabs>
        <w:jc w:val="both"/>
        <w:rPr>
          <w:rFonts w:asciiTheme="majorHAnsi" w:hAnsiTheme="majorHAnsi"/>
          <w:sz w:val="24"/>
          <w:szCs w:val="24"/>
        </w:rPr>
      </w:pPr>
      <w:r>
        <w:rPr>
          <w:rFonts w:asciiTheme="majorHAnsi" w:hAnsiTheme="majorHAnsi"/>
          <w:sz w:val="24"/>
          <w:szCs w:val="24"/>
        </w:rPr>
        <w:t>Then tax paid on such inputs shall be available as credit except to the extent of tax upto 2% which shall be retained by the Gujarat government.</w:t>
      </w:r>
    </w:p>
    <w:p w:rsidR="003079C4" w:rsidRDefault="003079C4" w:rsidP="003079C4">
      <w:pPr>
        <w:tabs>
          <w:tab w:val="left" w:pos="2977"/>
        </w:tabs>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 xml:space="preserve">However, </w:t>
      </w:r>
      <w:proofErr w:type="spellStart"/>
      <w:r>
        <w:rPr>
          <w:rFonts w:asciiTheme="majorHAnsi" w:eastAsia="Times New Roman" w:hAnsiTheme="majorHAnsi" w:cs="Times New Roman"/>
          <w:color w:val="000000"/>
          <w:sz w:val="24"/>
          <w:szCs w:val="24"/>
        </w:rPr>
        <w:t>w.e.f</w:t>
      </w:r>
      <w:proofErr w:type="spellEnd"/>
      <w:r>
        <w:rPr>
          <w:rFonts w:asciiTheme="majorHAnsi" w:eastAsia="Times New Roman" w:hAnsiTheme="majorHAnsi" w:cs="Times New Roman"/>
          <w:color w:val="000000"/>
          <w:sz w:val="24"/>
          <w:szCs w:val="24"/>
        </w:rPr>
        <w:t xml:space="preserve">. 01-10-2010, no such reversal will have to be made for following goods of schedule II; </w:t>
      </w:r>
      <w:hyperlink r:id="rId6" w:anchor="ScheduleII" w:history="1">
        <w:r>
          <w:rPr>
            <w:rStyle w:val="Hyperlink"/>
            <w:rFonts w:asciiTheme="majorHAnsi" w:eastAsia="Times New Roman" w:hAnsiTheme="majorHAnsi" w:cs="Times New Roman"/>
            <w:sz w:val="24"/>
            <w:szCs w:val="24"/>
          </w:rPr>
          <w:t>Entry 13</w:t>
        </w:r>
      </w:hyperlink>
      <w:r>
        <w:rPr>
          <w:rFonts w:asciiTheme="majorHAnsi" w:eastAsia="Times New Roman" w:hAnsiTheme="majorHAnsi" w:cs="Times New Roman"/>
          <w:color w:val="000000"/>
          <w:sz w:val="24"/>
          <w:szCs w:val="24"/>
        </w:rPr>
        <w:t xml:space="preserve">, </w:t>
      </w:r>
      <w:hyperlink r:id="rId7" w:anchor="ScheduleII" w:history="1">
        <w:r>
          <w:rPr>
            <w:rStyle w:val="Hyperlink"/>
            <w:rFonts w:asciiTheme="majorHAnsi" w:eastAsia="Times New Roman" w:hAnsiTheme="majorHAnsi" w:cs="Times New Roman"/>
            <w:sz w:val="24"/>
            <w:szCs w:val="24"/>
          </w:rPr>
          <w:t>Entry 24</w:t>
        </w:r>
      </w:hyperlink>
      <w:r>
        <w:rPr>
          <w:rFonts w:asciiTheme="majorHAnsi" w:eastAsia="Times New Roman" w:hAnsiTheme="majorHAnsi" w:cs="Times New Roman"/>
          <w:color w:val="000000"/>
          <w:sz w:val="24"/>
          <w:szCs w:val="24"/>
        </w:rPr>
        <w:t xml:space="preserve">, </w:t>
      </w:r>
      <w:hyperlink r:id="rId8" w:anchor="ScheduleII" w:history="1">
        <w:r>
          <w:rPr>
            <w:rStyle w:val="Hyperlink"/>
            <w:rFonts w:asciiTheme="majorHAnsi" w:eastAsia="Times New Roman" w:hAnsiTheme="majorHAnsi" w:cs="Times New Roman"/>
            <w:sz w:val="24"/>
            <w:szCs w:val="24"/>
          </w:rPr>
          <w:t>Entry 48(</w:t>
        </w:r>
        <w:proofErr w:type="spellStart"/>
        <w:r>
          <w:rPr>
            <w:rStyle w:val="Hyperlink"/>
            <w:rFonts w:asciiTheme="majorHAnsi" w:eastAsia="Times New Roman" w:hAnsiTheme="majorHAnsi" w:cs="Times New Roman"/>
            <w:sz w:val="24"/>
            <w:szCs w:val="24"/>
          </w:rPr>
          <w:t>i</w:t>
        </w:r>
        <w:proofErr w:type="spellEnd"/>
        <w:r>
          <w:rPr>
            <w:rStyle w:val="Hyperlink"/>
            <w:rFonts w:asciiTheme="majorHAnsi" w:eastAsia="Times New Roman" w:hAnsiTheme="majorHAnsi" w:cs="Times New Roman"/>
            <w:sz w:val="24"/>
            <w:szCs w:val="24"/>
          </w:rPr>
          <w:t>)</w:t>
        </w:r>
      </w:hyperlink>
      <w:r>
        <w:rPr>
          <w:rFonts w:asciiTheme="majorHAnsi" w:eastAsia="Times New Roman" w:hAnsiTheme="majorHAnsi" w:cs="Times New Roman"/>
          <w:color w:val="000000"/>
          <w:sz w:val="24"/>
          <w:szCs w:val="24"/>
        </w:rPr>
        <w:t xml:space="preserve">, </w:t>
      </w:r>
      <w:hyperlink r:id="rId9" w:anchor="ScheduleII" w:history="1">
        <w:r>
          <w:rPr>
            <w:rStyle w:val="Hyperlink"/>
            <w:rFonts w:asciiTheme="majorHAnsi" w:eastAsia="Times New Roman" w:hAnsiTheme="majorHAnsi" w:cs="Times New Roman"/>
            <w:sz w:val="24"/>
            <w:szCs w:val="24"/>
          </w:rPr>
          <w:t>Entry 54</w:t>
        </w:r>
      </w:hyperlink>
      <w:r>
        <w:rPr>
          <w:rFonts w:asciiTheme="majorHAnsi" w:eastAsia="Times New Roman" w:hAnsiTheme="majorHAnsi" w:cs="Times New Roman"/>
          <w:color w:val="000000"/>
          <w:sz w:val="24"/>
          <w:szCs w:val="24"/>
        </w:rPr>
        <w:t xml:space="preserve">, </w:t>
      </w:r>
      <w:hyperlink r:id="rId10" w:anchor="ScheduleII" w:history="1">
        <w:r>
          <w:rPr>
            <w:rStyle w:val="Hyperlink"/>
            <w:rFonts w:asciiTheme="majorHAnsi" w:eastAsia="Times New Roman" w:hAnsiTheme="majorHAnsi" w:cs="Times New Roman"/>
            <w:sz w:val="24"/>
            <w:szCs w:val="24"/>
          </w:rPr>
          <w:t>Entry 76</w:t>
        </w:r>
      </w:hyperlink>
      <w:r>
        <w:rPr>
          <w:rFonts w:asciiTheme="majorHAnsi" w:eastAsia="Times New Roman" w:hAnsiTheme="majorHAnsi" w:cs="Times New Roman"/>
          <w:color w:val="000000"/>
          <w:sz w:val="24"/>
          <w:szCs w:val="24"/>
        </w:rPr>
        <w:t>.</w:t>
      </w:r>
    </w:p>
    <w:p w:rsidR="003079C4" w:rsidRDefault="003079C4" w:rsidP="003079C4">
      <w:pPr>
        <w:jc w:val="both"/>
        <w:rPr>
          <w:rFonts w:asciiTheme="majorHAnsi" w:eastAsia="Times New Roman" w:hAnsiTheme="majorHAnsi" w:cs="Times New Roman"/>
          <w:color w:val="943634" w:themeColor="accent2" w:themeShade="BF"/>
          <w:sz w:val="24"/>
          <w:szCs w:val="24"/>
          <w:u w:val="single"/>
        </w:rPr>
      </w:pPr>
      <w:r>
        <w:rPr>
          <w:rFonts w:asciiTheme="majorHAnsi" w:eastAsia="Times New Roman" w:hAnsiTheme="majorHAnsi" w:cs="Times New Roman"/>
          <w:color w:val="943634" w:themeColor="accent2" w:themeShade="BF"/>
          <w:sz w:val="24"/>
          <w:szCs w:val="24"/>
          <w:u w:val="single"/>
        </w:rPr>
        <w:t>Notes</w:t>
      </w:r>
    </w:p>
    <w:p w:rsidR="003079C4" w:rsidRDefault="003079C4" w:rsidP="003079C4">
      <w:pPr>
        <w:tabs>
          <w:tab w:val="left" w:pos="720"/>
        </w:tabs>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 xml:space="preserve">ITC of all taxes (VAT, Purchase Tax, Addl. Tax, Entry Tax) is adjustable inter se without any sub groups or restriction on inter head set off. </w:t>
      </w:r>
    </w:p>
    <w:p w:rsidR="003079C4" w:rsidRDefault="003079C4" w:rsidP="003079C4">
      <w:pPr>
        <w:tabs>
          <w:tab w:val="left" w:pos="720"/>
        </w:tabs>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If ITC is greater than VAT payable, it can be adjusted against CST liability, and balance is to be carried forward in next tax period.</w:t>
      </w:r>
    </w:p>
    <w:p w:rsidR="003079C4" w:rsidRDefault="003079C4" w:rsidP="003079C4">
      <w:pPr>
        <w:tabs>
          <w:tab w:val="left" w:pos="720"/>
        </w:tabs>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Unadjusted ITC other than of capital goods shall be refunded within 2 years from the end of the year in which it became admissible.</w:t>
      </w:r>
    </w:p>
    <w:p w:rsidR="003079C4" w:rsidRDefault="003079C4" w:rsidP="003079C4">
      <w:pPr>
        <w:tabs>
          <w:tab w:val="left" w:pos="720"/>
        </w:tabs>
        <w:jc w:val="both"/>
        <w:rPr>
          <w:rFonts w:asciiTheme="majorHAnsi" w:eastAsia="Times New Roman" w:hAnsiTheme="majorHAnsi" w:cs="Times New Roman"/>
          <w:color w:val="000000"/>
          <w:sz w:val="24"/>
          <w:szCs w:val="24"/>
        </w:rPr>
      </w:pPr>
      <w:r>
        <w:rPr>
          <w:rFonts w:asciiTheme="majorHAnsi" w:eastAsia="Times New Roman" w:hAnsiTheme="majorHAnsi" w:cs="Times New Roman"/>
          <w:color w:val="000000"/>
          <w:sz w:val="24"/>
          <w:szCs w:val="24"/>
        </w:rPr>
        <w:t>ITC for export of goods (such as zero rated sales) shall be refunded within 3 months from end of the month in which goods are exported.</w:t>
      </w:r>
    </w:p>
    <w:p w:rsidR="003079C4" w:rsidRDefault="003079C4" w:rsidP="003079C4">
      <w:pPr>
        <w:jc w:val="both"/>
        <w:rPr>
          <w:rFonts w:asciiTheme="majorHAnsi" w:eastAsia="Times New Roman" w:hAnsiTheme="majorHAnsi" w:cs="Times New Roman"/>
          <w:color w:val="943634" w:themeColor="accent2" w:themeShade="BF"/>
          <w:sz w:val="24"/>
          <w:szCs w:val="24"/>
          <w:u w:val="single"/>
        </w:rPr>
      </w:pPr>
      <w:r>
        <w:rPr>
          <w:rFonts w:asciiTheme="majorHAnsi" w:eastAsia="Times New Roman" w:hAnsiTheme="majorHAnsi" w:cs="Times New Roman"/>
          <w:color w:val="943634" w:themeColor="accent2" w:themeShade="BF"/>
          <w:sz w:val="24"/>
          <w:szCs w:val="24"/>
          <w:u w:val="single"/>
        </w:rPr>
        <w:t>COMPUTATION OF VAT LIABILITY</w:t>
      </w:r>
    </w:p>
    <w:tbl>
      <w:tblPr>
        <w:tblStyle w:val="TableGrid"/>
        <w:tblW w:w="9092" w:type="dxa"/>
        <w:tblInd w:w="0" w:type="dxa"/>
        <w:tblLook w:val="04A0"/>
      </w:tblPr>
      <w:tblGrid>
        <w:gridCol w:w="918"/>
        <w:gridCol w:w="6604"/>
        <w:gridCol w:w="1570"/>
      </w:tblGrid>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I</w:t>
            </w: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sz w:val="24"/>
                <w:szCs w:val="24"/>
              </w:rPr>
            </w:pPr>
            <w:r>
              <w:rPr>
                <w:rFonts w:asciiTheme="majorHAnsi" w:eastAsia="Times New Roman" w:hAnsiTheme="majorHAnsi" w:cs="Times New Roman"/>
                <w:sz w:val="24"/>
                <w:szCs w:val="24"/>
              </w:rPr>
              <w:t>VAT payable on sales for the period</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XXX</w:t>
            </w: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079C4" w:rsidRDefault="003079C4">
            <w:pPr>
              <w:jc w:val="cente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sz w:val="24"/>
                <w:szCs w:val="24"/>
              </w:rPr>
            </w:pPr>
            <w:r>
              <w:rPr>
                <w:rFonts w:asciiTheme="majorHAnsi" w:eastAsia="Times New Roman" w:hAnsiTheme="majorHAnsi" w:cs="Times New Roman"/>
                <w:sz w:val="24"/>
                <w:szCs w:val="24"/>
              </w:rPr>
              <w:t>Add: CST payable on inter-state sales made during the period</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XXX</w:t>
            </w: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079C4" w:rsidRDefault="003079C4">
            <w:pPr>
              <w:jc w:val="cente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color w:val="943634" w:themeColor="accent2" w:themeShade="BF"/>
                <w:sz w:val="24"/>
                <w:szCs w:val="24"/>
              </w:rPr>
            </w:pPr>
            <w:r>
              <w:rPr>
                <w:rFonts w:asciiTheme="majorHAnsi" w:eastAsia="Times New Roman" w:hAnsiTheme="majorHAnsi" w:cs="Times New Roman"/>
                <w:color w:val="943634" w:themeColor="accent2" w:themeShade="BF"/>
                <w:sz w:val="24"/>
                <w:szCs w:val="24"/>
              </w:rPr>
              <w:t>Total sum required to be paid during the period</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A</w:t>
            </w: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II</w:t>
            </w: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sz w:val="24"/>
                <w:szCs w:val="24"/>
              </w:rPr>
            </w:pPr>
            <w:r>
              <w:rPr>
                <w:rFonts w:asciiTheme="majorHAnsi" w:eastAsia="Times New Roman" w:hAnsiTheme="majorHAnsi" w:cs="Times New Roman"/>
                <w:sz w:val="24"/>
                <w:szCs w:val="24"/>
              </w:rPr>
              <w:t>Input tax credit Balance (opening)</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XXX</w:t>
            </w: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9C4" w:rsidRDefault="003079C4">
            <w:pP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sz w:val="24"/>
                <w:szCs w:val="24"/>
              </w:rPr>
            </w:pPr>
            <w:r>
              <w:rPr>
                <w:rFonts w:asciiTheme="majorHAnsi" w:eastAsia="Times New Roman" w:hAnsiTheme="majorHAnsi" w:cs="Times New Roman"/>
                <w:sz w:val="24"/>
                <w:szCs w:val="24"/>
              </w:rPr>
              <w:t>Add: ITC available during the period</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XXX</w:t>
            </w: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9C4" w:rsidRDefault="003079C4">
            <w:pP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sz w:val="24"/>
                <w:szCs w:val="24"/>
              </w:rPr>
            </w:pPr>
            <w:r>
              <w:rPr>
                <w:rFonts w:asciiTheme="majorHAnsi" w:eastAsia="Times New Roman" w:hAnsiTheme="majorHAnsi" w:cs="Times New Roman"/>
                <w:sz w:val="24"/>
                <w:szCs w:val="24"/>
              </w:rPr>
              <w:t>Less: ITC reversed during the period</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XXX</w:t>
            </w: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9C4" w:rsidRDefault="003079C4">
            <w:pP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color w:val="943634" w:themeColor="accent2" w:themeShade="BF"/>
                <w:sz w:val="24"/>
                <w:szCs w:val="24"/>
              </w:rPr>
            </w:pPr>
            <w:r>
              <w:rPr>
                <w:rFonts w:asciiTheme="majorHAnsi" w:eastAsia="Times New Roman" w:hAnsiTheme="majorHAnsi" w:cs="Times New Roman"/>
                <w:color w:val="943634" w:themeColor="accent2" w:themeShade="BF"/>
                <w:sz w:val="24"/>
                <w:szCs w:val="24"/>
              </w:rPr>
              <w:t>Total Input Tax Credit</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B</w:t>
            </w:r>
          </w:p>
        </w:tc>
      </w:tr>
      <w:tr w:rsidR="003079C4" w:rsidTr="003079C4">
        <w:tc>
          <w:tcPr>
            <w:tcW w:w="918" w:type="dxa"/>
            <w:tcBorders>
              <w:top w:val="single" w:sz="4" w:space="0" w:color="auto"/>
              <w:left w:val="nil"/>
              <w:bottom w:val="single" w:sz="4" w:space="0" w:color="auto"/>
              <w:right w:val="nil"/>
            </w:tcBorders>
          </w:tcPr>
          <w:p w:rsidR="003079C4" w:rsidRDefault="003079C4">
            <w:pPr>
              <w:rPr>
                <w:rFonts w:asciiTheme="majorHAnsi" w:eastAsia="Times New Roman" w:hAnsiTheme="majorHAnsi" w:cs="Times New Roman"/>
                <w:sz w:val="24"/>
                <w:szCs w:val="24"/>
              </w:rPr>
            </w:pPr>
          </w:p>
        </w:tc>
        <w:tc>
          <w:tcPr>
            <w:tcW w:w="6604" w:type="dxa"/>
            <w:tcBorders>
              <w:top w:val="single" w:sz="4" w:space="0" w:color="auto"/>
              <w:left w:val="nil"/>
              <w:bottom w:val="single" w:sz="4" w:space="0" w:color="auto"/>
              <w:right w:val="nil"/>
            </w:tcBorders>
          </w:tcPr>
          <w:p w:rsidR="003079C4" w:rsidRDefault="003079C4">
            <w:pPr>
              <w:rPr>
                <w:rFonts w:asciiTheme="majorHAnsi" w:eastAsia="Times New Roman" w:hAnsiTheme="majorHAnsi" w:cs="Times New Roman"/>
                <w:sz w:val="24"/>
                <w:szCs w:val="24"/>
              </w:rPr>
            </w:pPr>
          </w:p>
        </w:tc>
        <w:tc>
          <w:tcPr>
            <w:tcW w:w="1570" w:type="dxa"/>
            <w:tcBorders>
              <w:top w:val="single" w:sz="4" w:space="0" w:color="auto"/>
              <w:left w:val="nil"/>
              <w:bottom w:val="single" w:sz="4" w:space="0" w:color="auto"/>
              <w:right w:val="nil"/>
            </w:tcBorders>
            <w:vAlign w:val="center"/>
          </w:tcPr>
          <w:p w:rsidR="003079C4" w:rsidRDefault="003079C4">
            <w:pPr>
              <w:jc w:val="center"/>
              <w:rPr>
                <w:rFonts w:asciiTheme="majorHAnsi" w:eastAsia="Times New Roman" w:hAnsiTheme="majorHAnsi" w:cs="Times New Roman"/>
                <w:sz w:val="24"/>
                <w:szCs w:val="24"/>
              </w:rPr>
            </w:pP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9C4" w:rsidRDefault="003079C4">
            <w:pP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color w:val="943634" w:themeColor="accent2" w:themeShade="BF"/>
                <w:sz w:val="24"/>
                <w:szCs w:val="24"/>
                <w:u w:val="single"/>
              </w:rPr>
            </w:pPr>
            <w:r>
              <w:rPr>
                <w:rFonts w:asciiTheme="majorHAnsi" w:eastAsia="Times New Roman" w:hAnsiTheme="majorHAnsi" w:cs="Times New Roman"/>
                <w:color w:val="943634" w:themeColor="accent2" w:themeShade="BF"/>
                <w:sz w:val="24"/>
                <w:szCs w:val="24"/>
                <w:u w:val="single"/>
              </w:rPr>
              <w:t>Result</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079C4" w:rsidRDefault="003079C4">
            <w:pPr>
              <w:jc w:val="center"/>
              <w:rPr>
                <w:rFonts w:asciiTheme="majorHAnsi" w:eastAsia="Times New Roman" w:hAnsiTheme="majorHAnsi" w:cs="Times New Roman"/>
                <w:sz w:val="24"/>
                <w:szCs w:val="24"/>
              </w:rPr>
            </w:pP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9C4" w:rsidRDefault="003079C4">
            <w:pP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sz w:val="24"/>
                <w:szCs w:val="24"/>
              </w:rPr>
            </w:pPr>
            <w:r>
              <w:rPr>
                <w:rFonts w:asciiTheme="majorHAnsi" w:eastAsia="Times New Roman" w:hAnsiTheme="majorHAnsi" w:cs="Times New Roman"/>
                <w:sz w:val="24"/>
                <w:szCs w:val="24"/>
              </w:rPr>
              <w:t>VAT payable</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A-B</w:t>
            </w:r>
          </w:p>
        </w:tc>
      </w:tr>
      <w:tr w:rsidR="003079C4" w:rsidTr="003079C4">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9C4" w:rsidRDefault="003079C4">
            <w:pPr>
              <w:rPr>
                <w:rFonts w:asciiTheme="majorHAnsi" w:eastAsia="Times New Roman" w:hAnsiTheme="majorHAnsi" w:cs="Times New Roman"/>
                <w:sz w:val="24"/>
                <w:szCs w:val="24"/>
              </w:rPr>
            </w:pPr>
          </w:p>
        </w:tc>
        <w:tc>
          <w:tcPr>
            <w:tcW w:w="6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9C4" w:rsidRDefault="003079C4">
            <w:pPr>
              <w:rPr>
                <w:rFonts w:asciiTheme="majorHAnsi" w:eastAsia="Times New Roman" w:hAnsiTheme="majorHAnsi" w:cs="Times New Roman"/>
                <w:sz w:val="24"/>
                <w:szCs w:val="24"/>
              </w:rPr>
            </w:pPr>
            <w:r>
              <w:rPr>
                <w:rFonts w:asciiTheme="majorHAnsi" w:eastAsia="Times New Roman" w:hAnsiTheme="majorHAnsi" w:cs="Times New Roman"/>
                <w:sz w:val="24"/>
                <w:szCs w:val="24"/>
              </w:rPr>
              <w:t>Balance of ITC to be carried forward</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79C4" w:rsidRDefault="003079C4">
            <w:pPr>
              <w:jc w:val="center"/>
              <w:rPr>
                <w:rFonts w:asciiTheme="majorHAnsi" w:eastAsia="Times New Roman" w:hAnsiTheme="majorHAnsi" w:cs="Times New Roman"/>
                <w:sz w:val="24"/>
                <w:szCs w:val="24"/>
              </w:rPr>
            </w:pPr>
            <w:r>
              <w:rPr>
                <w:rFonts w:asciiTheme="majorHAnsi" w:eastAsia="Times New Roman" w:hAnsiTheme="majorHAnsi" w:cs="Times New Roman"/>
                <w:sz w:val="24"/>
                <w:szCs w:val="24"/>
              </w:rPr>
              <w:t>B-A</w:t>
            </w:r>
          </w:p>
        </w:tc>
      </w:tr>
    </w:tbl>
    <w:p w:rsidR="00041E48" w:rsidRDefault="00041E48"/>
    <w:sectPr w:rsidR="00041E48" w:rsidSect="00041E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D34D2"/>
    <w:multiLevelType w:val="hybridMultilevel"/>
    <w:tmpl w:val="70FCFBA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A285A73"/>
    <w:multiLevelType w:val="hybridMultilevel"/>
    <w:tmpl w:val="8386164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68E083B"/>
    <w:multiLevelType w:val="hybridMultilevel"/>
    <w:tmpl w:val="A4F0149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90E5753"/>
    <w:multiLevelType w:val="hybridMultilevel"/>
    <w:tmpl w:val="C96007F8"/>
    <w:lvl w:ilvl="0" w:tplc="17D491FA">
      <w:start w:val="1"/>
      <w:numFmt w:val="lowerLetter"/>
      <w:lvlText w:val="%1)"/>
      <w:lvlJc w:val="left"/>
      <w:pPr>
        <w:ind w:left="720" w:hanging="360"/>
      </w:pPr>
      <w:rPr>
        <w:rFonts w:asciiTheme="majorHAnsi" w:hAnsiTheme="majorHAnsi" w:cs="Times New Roman" w:hint="default"/>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3079C4"/>
    <w:rsid w:val="00041E48"/>
    <w:rsid w:val="003079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9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79C4"/>
    <w:rPr>
      <w:color w:val="0000FF" w:themeColor="hyperlink"/>
      <w:u w:val="single"/>
    </w:rPr>
  </w:style>
  <w:style w:type="paragraph" w:styleId="ListParagraph">
    <w:name w:val="List Paragraph"/>
    <w:basedOn w:val="Normal"/>
    <w:uiPriority w:val="34"/>
    <w:qFormat/>
    <w:rsid w:val="003079C4"/>
    <w:pPr>
      <w:ind w:left="720"/>
      <w:contextualSpacing/>
    </w:pPr>
  </w:style>
  <w:style w:type="table" w:styleId="TableGrid">
    <w:name w:val="Table Grid"/>
    <w:basedOn w:val="TableNormal"/>
    <w:uiPriority w:val="59"/>
    <w:rsid w:val="003079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20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bc\Documents\CA%20Shashank\Family.docx" TargetMode="External"/><Relationship Id="rId3" Type="http://schemas.openxmlformats.org/officeDocument/2006/relationships/settings" Target="settings.xml"/><Relationship Id="rId7" Type="http://schemas.openxmlformats.org/officeDocument/2006/relationships/hyperlink" Target="file:///C:\Users\abc\Documents\CA%20Shashank\Family.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bc\Documents\CA%20Shashank\Family.docx" TargetMode="External"/><Relationship Id="rId11" Type="http://schemas.openxmlformats.org/officeDocument/2006/relationships/fontTable" Target="fontTable.xml"/><Relationship Id="rId5" Type="http://schemas.openxmlformats.org/officeDocument/2006/relationships/hyperlink" Target="file:///C:\Users\abc\Documents\CA%20Shashank\Family.docx" TargetMode="External"/><Relationship Id="rId10" Type="http://schemas.openxmlformats.org/officeDocument/2006/relationships/hyperlink" Target="file:///C:\Users\abc\Documents\CA%20Shashank\Family.docx" TargetMode="External"/><Relationship Id="rId4" Type="http://schemas.openxmlformats.org/officeDocument/2006/relationships/webSettings" Target="webSettings.xml"/><Relationship Id="rId9" Type="http://schemas.openxmlformats.org/officeDocument/2006/relationships/hyperlink" Target="file:///C:\Users\abc\Documents\CA%20Shashank\Family.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2014-05-30T08:29:00Z</dcterms:created>
  <dcterms:modified xsi:type="dcterms:W3CDTF">2014-05-30T08:29:00Z</dcterms:modified>
</cp:coreProperties>
</file>