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6CB" w:rsidRDefault="003946CB" w:rsidP="003946CB">
      <w:pPr>
        <w:pStyle w:val="bodytext"/>
        <w:shd w:val="clear" w:color="auto" w:fill="FFFFFF"/>
        <w:rPr>
          <w:rFonts w:ascii="Arial" w:hAnsi="Arial" w:cs="Arial"/>
          <w:b/>
          <w:bCs/>
          <w:color w:val="CC0000"/>
          <w:sz w:val="27"/>
          <w:szCs w:val="27"/>
          <w:u w:val="single"/>
        </w:rPr>
      </w:pPr>
    </w:p>
    <w:p w:rsidR="003946CB" w:rsidRPr="003946CB" w:rsidRDefault="003946CB" w:rsidP="003946CB">
      <w:pPr>
        <w:pStyle w:val="bodytext"/>
        <w:shd w:val="clear" w:color="auto" w:fill="A6A6A6" w:themeFill="background1" w:themeFillShade="A6"/>
        <w:jc w:val="center"/>
        <w:rPr>
          <w:rFonts w:ascii="Arial" w:hAnsi="Arial" w:cs="Arial"/>
          <w:b/>
          <w:bCs/>
          <w:color w:val="CC0000"/>
          <w:sz w:val="28"/>
          <w:szCs w:val="28"/>
        </w:rPr>
      </w:pPr>
      <w:r w:rsidRPr="003946CB">
        <w:rPr>
          <w:rFonts w:ascii="Arial" w:hAnsi="Arial" w:cs="Arial"/>
          <w:b/>
          <w:bCs/>
          <w:color w:val="CC0000"/>
          <w:sz w:val="28"/>
          <w:szCs w:val="28"/>
        </w:rPr>
        <w:t>Basic Concepts of Central Sales Tax</w:t>
      </w:r>
    </w:p>
    <w:p w:rsidR="003946CB" w:rsidRPr="003946CB" w:rsidRDefault="003946CB" w:rsidP="003946CB">
      <w:pPr>
        <w:pStyle w:val="bodytext"/>
        <w:shd w:val="clear" w:color="auto" w:fill="FFFFFF"/>
        <w:rPr>
          <w:rFonts w:ascii="Arial" w:hAnsi="Arial" w:cs="Arial"/>
          <w:sz w:val="27"/>
          <w:szCs w:val="27"/>
        </w:rPr>
      </w:pPr>
      <w:r w:rsidRPr="003946CB">
        <w:rPr>
          <w:rFonts w:ascii="Arial" w:hAnsi="Arial" w:cs="Arial"/>
          <w:b/>
          <w:bCs/>
          <w:sz w:val="27"/>
          <w:szCs w:val="27"/>
          <w:u w:val="single"/>
        </w:rPr>
        <w:t>Basic aspects of CST, Inter state sales, stock transfer</w:t>
      </w:r>
    </w:p>
    <w:tbl>
      <w:tblPr>
        <w:tblW w:w="0" w:type="auto"/>
        <w:tblInd w:w="360" w:type="dxa"/>
        <w:shd w:val="clear" w:color="auto" w:fill="FFFFFF"/>
        <w:tblCellMar>
          <w:left w:w="0" w:type="dxa"/>
          <w:right w:w="0" w:type="dxa"/>
        </w:tblCellMar>
        <w:tblLook w:val="04A0"/>
      </w:tblPr>
      <w:tblGrid>
        <w:gridCol w:w="2494"/>
        <w:gridCol w:w="6722"/>
      </w:tblGrid>
      <w:tr w:rsidR="003946CB" w:rsidRPr="003946CB" w:rsidTr="003946C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Tax on sales by Union and State Governments</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 tax on Inter State sale is levied by Union Government under Entry 92A of List I (Union List), while sales tax on intra-State sale (sale within State) (now termed as Vat) is levied by State Government under Entry 54 of List II (State List)  of Seventh Schedule to constitution of India.</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Categories of sales</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Sales can be broadly classified in three categories. (</w:t>
            </w:r>
            <w:r w:rsidRPr="003946CB">
              <w:rPr>
                <w:rFonts w:ascii="Arial" w:eastAsia="Times New Roman" w:hAnsi="Arial" w:cs="Arial"/>
                <w:i/>
                <w:iCs/>
                <w:sz w:val="20"/>
                <w:szCs w:val="20"/>
              </w:rPr>
              <w:t>a</w:t>
            </w:r>
            <w:r w:rsidRPr="003946CB">
              <w:rPr>
                <w:rFonts w:ascii="Arial" w:eastAsia="Times New Roman" w:hAnsi="Arial" w:cs="Arial"/>
                <w:sz w:val="20"/>
                <w:szCs w:val="20"/>
              </w:rPr>
              <w:t>) Inter-State Sale (</w:t>
            </w:r>
            <w:r w:rsidRPr="003946CB">
              <w:rPr>
                <w:rFonts w:ascii="Arial" w:eastAsia="Times New Roman" w:hAnsi="Arial" w:cs="Arial"/>
                <w:i/>
                <w:iCs/>
                <w:sz w:val="20"/>
                <w:szCs w:val="20"/>
              </w:rPr>
              <w:t>b</w:t>
            </w:r>
            <w:r w:rsidRPr="003946CB">
              <w:rPr>
                <w:rFonts w:ascii="Arial" w:eastAsia="Times New Roman" w:hAnsi="Arial" w:cs="Arial"/>
                <w:sz w:val="20"/>
                <w:szCs w:val="20"/>
              </w:rPr>
              <w:t>) Sale during import/export (</w:t>
            </w:r>
            <w:r w:rsidRPr="003946CB">
              <w:rPr>
                <w:rFonts w:ascii="Arial" w:eastAsia="Times New Roman" w:hAnsi="Arial" w:cs="Arial"/>
                <w:i/>
                <w:iCs/>
                <w:sz w:val="20"/>
                <w:szCs w:val="20"/>
              </w:rPr>
              <w:t>c</w:t>
            </w:r>
            <w:r w:rsidRPr="003946CB">
              <w:rPr>
                <w:rFonts w:ascii="Arial" w:eastAsia="Times New Roman" w:hAnsi="Arial" w:cs="Arial"/>
                <w:sz w:val="20"/>
                <w:szCs w:val="20"/>
              </w:rPr>
              <w:t>) Intra-State (i.e. within the State) sale. State Government can impose sales tax only on sale within the State.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State cannot discriminate between local goods and goods from outside State</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State cannot discriminate between goods manufactured/produced within the State and goods brought from outside the State i.e.</w:t>
            </w:r>
            <w:r w:rsidRPr="003946CB">
              <w:rPr>
                <w:rFonts w:ascii="Arial" w:eastAsia="Times New Roman" w:hAnsi="Arial" w:cs="Arial"/>
                <w:sz w:val="20"/>
              </w:rPr>
              <w:t> </w:t>
            </w:r>
            <w:r w:rsidRPr="003946CB">
              <w:rPr>
                <w:rFonts w:ascii="Arial" w:eastAsia="Times New Roman" w:hAnsi="Arial" w:cs="Arial"/>
                <w:sz w:val="20"/>
                <w:szCs w:val="20"/>
              </w:rPr>
              <w:t>tax on local goods and goods from other States must be same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Rate of CST</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CST is payable on inter-State sales @ 2%, if C form is obtained. No CST if form H or I is obtained from purchaser. Otherwise, CST rate is same as applicable for sale within the State.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Revenue of CST goes to State Government</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Even if CST is levied by Union Government, the revenue goes to State Government. State from which movement of goods commences gets revenue. CST Act is administered by State Government.</w:t>
            </w:r>
          </w:p>
        </w:tc>
      </w:tr>
    </w:tbl>
    <w:p w:rsidR="003946CB" w:rsidRPr="003946CB" w:rsidRDefault="003946CB" w:rsidP="003946CB">
      <w:pPr>
        <w:spacing w:before="100" w:beforeAutospacing="1" w:after="100" w:afterAutospacing="1" w:line="240" w:lineRule="auto"/>
        <w:rPr>
          <w:rFonts w:ascii="Arial" w:eastAsia="Times New Roman" w:hAnsi="Arial" w:cs="Arial"/>
          <w:color w:val="000000"/>
          <w:sz w:val="27"/>
          <w:szCs w:val="27"/>
          <w:shd w:val="clear" w:color="auto" w:fill="FFFFFF"/>
        </w:rPr>
      </w:pPr>
      <w:r w:rsidRPr="003946CB">
        <w:rPr>
          <w:rFonts w:ascii="Arial" w:eastAsia="Times New Roman" w:hAnsi="Arial" w:cs="Arial"/>
          <w:color w:val="000000"/>
          <w:sz w:val="27"/>
          <w:szCs w:val="27"/>
          <w:shd w:val="clear" w:color="auto" w:fill="FFFFFF"/>
        </w:rPr>
        <w:t> </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3946CB">
        <w:rPr>
          <w:rFonts w:ascii="Times New Roman" w:eastAsia="Times New Roman" w:hAnsi="Times New Roman" w:cs="Times New Roman"/>
          <w:b/>
          <w:bCs/>
          <w:color w:val="000000"/>
          <w:sz w:val="24"/>
          <w:szCs w:val="24"/>
          <w:shd w:val="clear" w:color="auto" w:fill="FFFFFF"/>
        </w:rPr>
        <w:t>Inter state sale, intra-state sale and stock transfer</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3946CB">
        <w:rPr>
          <w:rFonts w:ascii="Times New Roman" w:eastAsia="Times New Roman" w:hAnsi="Times New Roman" w:cs="Times New Roman"/>
          <w:color w:val="000000"/>
          <w:sz w:val="24"/>
          <w:szCs w:val="24"/>
          <w:shd w:val="clear" w:color="auto" w:fill="FFFFFF"/>
        </w:rPr>
        <w:t> </w:t>
      </w:r>
    </w:p>
    <w:tbl>
      <w:tblPr>
        <w:tblW w:w="0" w:type="auto"/>
        <w:tblInd w:w="360" w:type="dxa"/>
        <w:shd w:val="clear" w:color="auto" w:fill="FFFFFF"/>
        <w:tblCellMar>
          <w:left w:w="0" w:type="dxa"/>
          <w:right w:w="0" w:type="dxa"/>
        </w:tblCellMar>
        <w:tblLook w:val="04A0"/>
      </w:tblPr>
      <w:tblGrid>
        <w:gridCol w:w="3596"/>
        <w:gridCol w:w="5620"/>
      </w:tblGrid>
      <w:tr w:rsidR="003946CB" w:rsidRPr="003946CB" w:rsidTr="003946C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Types of Inter-state sale</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Inter State can be either direct u/s 3(a) or by transfer of documents u/s 3(b) of CST Act.</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Sale should occasion movement of goods u/s 3(a)</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In case of inter state sale u/s 3(a), sale is inter state if it occasions movement of goods from one State to other.</w:t>
            </w:r>
            <w:r w:rsidRPr="003946CB">
              <w:rPr>
                <w:rFonts w:ascii="Arial" w:eastAsia="Times New Roman" w:hAnsi="Arial" w:cs="Arial"/>
                <w:sz w:val="20"/>
              </w:rPr>
              <w:t> </w:t>
            </w:r>
            <w:r w:rsidRPr="003946CB">
              <w:rPr>
                <w:rFonts w:ascii="Arial" w:eastAsia="Times New Roman" w:hAnsi="Arial" w:cs="Arial"/>
                <w:sz w:val="20"/>
                <w:szCs w:val="20"/>
              </w:rPr>
              <w:t>There should be express or implied stipulation for movement of goods outside the State.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Movement of goods can be under agreement to sale u/s3(a)</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 is inter state even if goods move from one State to another under ‘agreement to sale’. The agreement may be express or even implied.</w:t>
            </w:r>
            <w:r w:rsidRPr="003946CB">
              <w:rPr>
                <w:rFonts w:ascii="Arial" w:eastAsia="Times New Roman" w:hAnsi="Arial" w:cs="Arial"/>
                <w:sz w:val="20"/>
              </w:rPr>
              <w:t> </w:t>
            </w:r>
            <w:r w:rsidRPr="003946CB">
              <w:rPr>
                <w:rFonts w:ascii="Arial" w:eastAsia="Times New Roman" w:hAnsi="Arial" w:cs="Arial"/>
                <w:sz w:val="20"/>
                <w:szCs w:val="20"/>
              </w:rPr>
              <w:t>Movement of goods should be inter-linked with sale or agreement to sale.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Property in goods can pass in either State u/s 3(a)</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In inter-state sale, property in goods can pass to buyer in either State. Sale can be inter-state even if buyer takes delivery of goods within the State, if he is required to take the goods outside the State.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Buyer and seller can be in same State u/s 3(a)</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 can be inter state even if both buyer and seller are in same State if goods are moving out of State on account of sale.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Sale by transfer of documents u/s 3(b)</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Inter Stale sale can be by transfer of documents of title during movement of goods from one State to another u/s 3(b) of CST Act. Sale can be inter-state even if buyer and seller are in same State.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 xml:space="preserve">Meaning of ‘during movement of </w:t>
            </w:r>
            <w:r w:rsidRPr="003946CB">
              <w:rPr>
                <w:rFonts w:ascii="Arial" w:eastAsia="Times New Roman" w:hAnsi="Arial" w:cs="Arial"/>
                <w:b/>
                <w:bCs/>
                <w:sz w:val="20"/>
                <w:szCs w:val="20"/>
              </w:rPr>
              <w:lastRenderedPageBreak/>
              <w:t>goods’ for purpose of section 3(b)</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lastRenderedPageBreak/>
              <w:t xml:space="preserve">The movement of goods commences as soon as goods are </w:t>
            </w:r>
            <w:r w:rsidRPr="003946CB">
              <w:rPr>
                <w:rFonts w:ascii="Arial" w:eastAsia="Times New Roman" w:hAnsi="Arial" w:cs="Arial"/>
                <w:sz w:val="20"/>
                <w:szCs w:val="20"/>
              </w:rPr>
              <w:lastRenderedPageBreak/>
              <w:t>handed over to transporter. The ‘movement’ is deemed to be continuing till delivery of goods is taken at other end.</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lastRenderedPageBreak/>
              <w:t>Exemption to subsequent sale during movement of goods u/s 3(b)</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E-I/E-II transactions are required to establish sale during movement. If done, all subsequent sales are exempt from sales tax/Vat.</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Stock transfer/Branch transfer of goods</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In stock/branch transfer, goods move from one State to another, but there is no ‘sale’. Goods are sent to branch or depot or consignment agent in other State. Stock transfer/branch transfer is not subject to tax since there is no ‘sale’.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Stock transfer can be only of standard goods where buyer is not known</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Arial" w:eastAsia="Times New Roman" w:hAnsi="Arial" w:cs="Arial"/>
                <w:sz w:val="20"/>
                <w:szCs w:val="20"/>
              </w:rPr>
            </w:pPr>
            <w:r w:rsidRPr="003946CB">
              <w:rPr>
                <w:rFonts w:ascii="Arial" w:eastAsia="Times New Roman" w:hAnsi="Arial" w:cs="Arial"/>
                <w:sz w:val="20"/>
                <w:szCs w:val="20"/>
              </w:rPr>
              <w:t>Stock transfer can be only of standard goods. Stock transfer of tailor made goods for a specific customer is a bogus stock transfer. It can be held as inter-state sale and sales tax may be payable.</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If buyer is identifiable before goods are dispatched, it is ‘Inter State’ sale and not a ‘stock transfer’.</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Form F for stock transfer/branch transfer of goods</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Form F is required to be submitted to establish stock transfer. Sales Tax Officer can make enquiry regarding truth of contents in form F.</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Double taxation of stock transfer/branch transfer held as inter state sale</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If dealer claims dispatches as stock transfer but Sales Tax Authorities treat it as ‘sale’, there is double taxation. In such case, CST Appellate Authority can grant relief.</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Sale subsequent to stock transfer/branch transfer</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After stock transfer, sale in that other State is first sale and State sales tax (Vat) will be payable.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Sale inside the State</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If a sale is inside one State, it is outside all other States.</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Sale in case of ascertained/unascertained goods</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In case of specific or ascertained goods, sale within State takes place at the time of contract. In case of unascertained or future goods, sale takes place when goods are appropriated to contract in the State.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Sale inside the State is a ‘residuary sale’</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If sale is inter-state as defined in section 3 of CST Act, it can never be ‘intra state’ sale. Thus, inter-state sale is a residuary sale.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Sale not export if no specific destination</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 when there is no specific foreign destination is local sale. It is not export sale. Sale to ship which is within territorial waters is ‘local sale’.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Sale within territorial waters of India is local sale</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 within territorial waters of India i.e. within 12 nautical miles from the base line on the coast of India the is ‘local sale’. It is not inter-state sale.</w:t>
            </w:r>
          </w:p>
        </w:tc>
      </w:tr>
    </w:tbl>
    <w:p w:rsidR="00000000" w:rsidRDefault="001D6D2E"/>
    <w:p w:rsidR="003946CB" w:rsidRPr="003946CB" w:rsidRDefault="003946CB" w:rsidP="003946CB">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3946CB">
        <w:rPr>
          <w:rFonts w:ascii="Times New Roman" w:eastAsia="Times New Roman" w:hAnsi="Times New Roman" w:cs="Times New Roman"/>
          <w:b/>
          <w:bCs/>
          <w:color w:val="000000"/>
          <w:sz w:val="24"/>
          <w:szCs w:val="24"/>
          <w:shd w:val="clear" w:color="auto" w:fill="FFFFFF"/>
        </w:rPr>
        <w:t>Goods</w:t>
      </w:r>
    </w:p>
    <w:p w:rsidR="003946CB" w:rsidRPr="003946CB" w:rsidRDefault="003946CB" w:rsidP="003946CB">
      <w:pPr>
        <w:spacing w:before="100" w:beforeAutospacing="1" w:after="100" w:afterAutospacing="1" w:line="240" w:lineRule="auto"/>
        <w:rPr>
          <w:rFonts w:ascii="Arial" w:eastAsia="Times New Roman" w:hAnsi="Arial" w:cs="Arial"/>
          <w:color w:val="000000"/>
          <w:sz w:val="27"/>
          <w:szCs w:val="27"/>
          <w:shd w:val="clear" w:color="auto" w:fill="FFFFFF"/>
        </w:rPr>
      </w:pPr>
      <w:r w:rsidRPr="003946CB">
        <w:rPr>
          <w:rFonts w:ascii="Arial" w:eastAsia="Times New Roman" w:hAnsi="Arial" w:cs="Arial"/>
          <w:b/>
          <w:bCs/>
          <w:sz w:val="27"/>
          <w:szCs w:val="27"/>
          <w:shd w:val="clear" w:color="auto" w:fill="FFFFFF"/>
        </w:rPr>
        <w:t> </w:t>
      </w:r>
    </w:p>
    <w:tbl>
      <w:tblPr>
        <w:tblW w:w="0" w:type="auto"/>
        <w:tblInd w:w="360" w:type="dxa"/>
        <w:shd w:val="clear" w:color="auto" w:fill="FFFFFF"/>
        <w:tblCellMar>
          <w:left w:w="0" w:type="dxa"/>
          <w:right w:w="0" w:type="dxa"/>
        </w:tblCellMar>
        <w:tblLook w:val="04A0"/>
      </w:tblPr>
      <w:tblGrid>
        <w:gridCol w:w="2423"/>
        <w:gridCol w:w="6793"/>
      </w:tblGrid>
      <w:tr w:rsidR="003946CB" w:rsidRPr="003946CB" w:rsidTr="003946C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CST is on ‘goods’</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Arial" w:eastAsia="Times New Roman" w:hAnsi="Arial" w:cs="Arial"/>
                <w:sz w:val="20"/>
                <w:szCs w:val="20"/>
              </w:rPr>
            </w:pPr>
            <w:r w:rsidRPr="003946CB">
              <w:rPr>
                <w:rFonts w:ascii="Arial" w:eastAsia="Times New Roman" w:hAnsi="Arial" w:cs="Arial"/>
                <w:sz w:val="20"/>
                <w:szCs w:val="20"/>
              </w:rPr>
              <w:t>Goods include all kinds of movable property, but not newspapers, actionable claims, stocks, shares and securities.</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Electricity is goods. Newspapers are ‘goods’ but sales tax cannot be imposed in view of specific exclusion from definition of ‘goods’</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Intangible goods</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Arial" w:eastAsia="Times New Roman" w:hAnsi="Arial" w:cs="Arial"/>
                <w:sz w:val="20"/>
                <w:szCs w:val="20"/>
              </w:rPr>
            </w:pPr>
            <w:r w:rsidRPr="003946CB">
              <w:rPr>
                <w:rFonts w:ascii="Arial" w:eastAsia="Times New Roman" w:hAnsi="Arial" w:cs="Arial"/>
                <w:sz w:val="20"/>
                <w:szCs w:val="20"/>
              </w:rPr>
              <w:t>Intangible or incorporal articles are ‘goods’ e.g. patent, copyright.</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lastRenderedPageBreak/>
              <w:t>DEPB and Advance Authorisation are ‘goods’ and are taxable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lastRenderedPageBreak/>
              <w:t>What are not goods</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Plant and machinery erected at site is not goods..</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Software is goods</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Software (branded as well as unbranded) is goods -</w:t>
            </w:r>
            <w:r w:rsidRPr="003946CB">
              <w:rPr>
                <w:rFonts w:ascii="Arial" w:eastAsia="Times New Roman" w:hAnsi="Arial" w:cs="Arial"/>
                <w:sz w:val="20"/>
              </w:rPr>
              <w:t> </w:t>
            </w:r>
            <w:r w:rsidRPr="003946CB">
              <w:rPr>
                <w:rFonts w:ascii="Arial" w:eastAsia="Times New Roman" w:hAnsi="Arial" w:cs="Arial"/>
                <w:i/>
                <w:iCs/>
                <w:sz w:val="20"/>
                <w:szCs w:val="20"/>
              </w:rPr>
              <w:t>Tata Consultancy Services</w:t>
            </w:r>
            <w:r w:rsidRPr="003946CB">
              <w:rPr>
                <w:rFonts w:ascii="Arial" w:eastAsia="Times New Roman" w:hAnsi="Arial" w:cs="Arial"/>
                <w:sz w:val="20"/>
              </w:rPr>
              <w:t> </w:t>
            </w:r>
            <w:r w:rsidRPr="003946CB">
              <w:rPr>
                <w:rFonts w:ascii="Arial" w:eastAsia="Times New Roman" w:hAnsi="Arial" w:cs="Arial"/>
                <w:sz w:val="20"/>
                <w:szCs w:val="20"/>
              </w:rPr>
              <w:t>v.</w:t>
            </w:r>
            <w:r w:rsidRPr="003946CB">
              <w:rPr>
                <w:rFonts w:ascii="Arial" w:eastAsia="Times New Roman" w:hAnsi="Arial" w:cs="Arial"/>
                <w:sz w:val="20"/>
              </w:rPr>
              <w:t> </w:t>
            </w:r>
            <w:r w:rsidRPr="003946CB">
              <w:rPr>
                <w:rFonts w:ascii="Arial" w:eastAsia="Times New Roman" w:hAnsi="Arial" w:cs="Arial"/>
                <w:i/>
                <w:iCs/>
                <w:sz w:val="20"/>
                <w:szCs w:val="20"/>
              </w:rPr>
              <w:t>State of Andhra Pradesh</w:t>
            </w:r>
            <w:r w:rsidRPr="003946CB">
              <w:rPr>
                <w:rFonts w:ascii="Arial" w:eastAsia="Times New Roman" w:hAnsi="Arial" w:cs="Arial"/>
                <w:sz w:val="20"/>
              </w:rPr>
              <w:t> </w:t>
            </w:r>
            <w:r w:rsidRPr="003946CB">
              <w:rPr>
                <w:rFonts w:ascii="Arial" w:eastAsia="Times New Roman" w:hAnsi="Arial" w:cs="Arial"/>
                <w:sz w:val="20"/>
                <w:szCs w:val="20"/>
              </w:rPr>
              <w:t>(SC 5 member Constitution bench) *</w:t>
            </w:r>
            <w:r w:rsidRPr="003946CB">
              <w:rPr>
                <w:rFonts w:ascii="Arial" w:eastAsia="Times New Roman" w:hAnsi="Arial" w:cs="Arial"/>
                <w:sz w:val="20"/>
              </w:rPr>
              <w:t> </w:t>
            </w:r>
            <w:r w:rsidRPr="003946CB">
              <w:rPr>
                <w:rFonts w:ascii="Times New Roman" w:eastAsia="Times New Roman" w:hAnsi="Times New Roman" w:cs="Times New Roman"/>
                <w:i/>
                <w:iCs/>
                <w:sz w:val="24"/>
                <w:szCs w:val="24"/>
              </w:rPr>
              <w:t>Bharat Sanchar Nigam Ltd</w:t>
            </w:r>
            <w:r w:rsidRPr="003946CB">
              <w:rPr>
                <w:rFonts w:ascii="Times New Roman" w:eastAsia="Times New Roman" w:hAnsi="Times New Roman" w:cs="Times New Roman"/>
                <w:sz w:val="24"/>
                <w:szCs w:val="24"/>
              </w:rPr>
              <w:t>. v. </w:t>
            </w:r>
            <w:r w:rsidRPr="003946CB">
              <w:rPr>
                <w:rFonts w:ascii="Times New Roman" w:eastAsia="Times New Roman" w:hAnsi="Times New Roman" w:cs="Times New Roman"/>
                <w:i/>
                <w:iCs/>
                <w:sz w:val="24"/>
                <w:szCs w:val="24"/>
              </w:rPr>
              <w:t>UOI</w:t>
            </w:r>
            <w:r w:rsidRPr="003946CB">
              <w:rPr>
                <w:rFonts w:ascii="Times New Roman" w:eastAsia="Times New Roman" w:hAnsi="Times New Roman" w:cs="Times New Roman"/>
                <w:sz w:val="24"/>
                <w:szCs w:val="24"/>
              </w:rPr>
              <w:t> (SC 3 member bench).</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Lottery tickets is actionable claim, though it is goods</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Lottery ticket is ‘actionable claim’ and not taxable.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Sale of SIM card</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Simple sale of SIM card can be taxed, but not when supplied as incidental to service.</w:t>
            </w:r>
          </w:p>
        </w:tc>
      </w:tr>
    </w:tbl>
    <w:p w:rsidR="003946CB" w:rsidRPr="003946CB" w:rsidRDefault="003946CB" w:rsidP="003946CB">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3946CB">
        <w:rPr>
          <w:rFonts w:ascii="Times New Roman" w:eastAsia="Times New Roman" w:hAnsi="Times New Roman" w:cs="Times New Roman"/>
          <w:color w:val="000000"/>
          <w:sz w:val="24"/>
          <w:szCs w:val="24"/>
          <w:shd w:val="clear" w:color="auto" w:fill="FFFFFF"/>
        </w:rPr>
        <w:t> </w:t>
      </w:r>
      <w:r w:rsidRPr="003946CB">
        <w:rPr>
          <w:rFonts w:ascii="Times New Roman" w:eastAsia="Times New Roman" w:hAnsi="Times New Roman" w:cs="Times New Roman"/>
          <w:b/>
          <w:bCs/>
          <w:color w:val="000000"/>
          <w:sz w:val="24"/>
          <w:szCs w:val="24"/>
          <w:shd w:val="clear" w:color="auto" w:fill="FFFFFF"/>
        </w:rPr>
        <w:t>Dealer</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3946CB">
        <w:rPr>
          <w:rFonts w:ascii="Times New Roman" w:eastAsia="Times New Roman" w:hAnsi="Times New Roman" w:cs="Times New Roman"/>
          <w:b/>
          <w:bCs/>
          <w:color w:val="000000"/>
          <w:sz w:val="24"/>
          <w:szCs w:val="24"/>
          <w:shd w:val="clear" w:color="auto" w:fill="FFFFFF"/>
        </w:rPr>
        <w:t> </w:t>
      </w:r>
    </w:p>
    <w:tbl>
      <w:tblPr>
        <w:tblW w:w="0" w:type="auto"/>
        <w:tblInd w:w="360" w:type="dxa"/>
        <w:shd w:val="clear" w:color="auto" w:fill="FFFFFF"/>
        <w:tblCellMar>
          <w:left w:w="0" w:type="dxa"/>
          <w:right w:w="0" w:type="dxa"/>
        </w:tblCellMar>
        <w:tblLook w:val="04A0"/>
      </w:tblPr>
      <w:tblGrid>
        <w:gridCol w:w="2111"/>
        <w:gridCol w:w="7105"/>
      </w:tblGrid>
      <w:tr w:rsidR="003946CB" w:rsidRPr="003946CB" w:rsidTr="003946C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Dealer liable to CST</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“Dealer” means any person who carries on (whether regularly or otherwise) the business of buying, selling, supplying or distribution of goods, directly or indirectly, for cash, or for deferred payment, or for valuable consideration</w:t>
            </w:r>
            <w:r w:rsidRPr="003946CB">
              <w:rPr>
                <w:rFonts w:ascii="Arial" w:eastAsia="Times New Roman" w:hAnsi="Arial" w:cs="Arial"/>
                <w:sz w:val="20"/>
              </w:rPr>
              <w:t> </w:t>
            </w:r>
            <w:r w:rsidRPr="003946CB">
              <w:rPr>
                <w:rFonts w:ascii="Arial" w:eastAsia="Times New Roman" w:hAnsi="Arial" w:cs="Arial"/>
                <w:sz w:val="20"/>
                <w:szCs w:val="20"/>
              </w:rPr>
              <w:t>Definition of ‘dealer’ is wide, but only those who ‘effect’ sale are liable to register and pay CST.</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Government is dealer</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Government is ‘dealer’ if it carries on business. Railways are ‘dealers’. Insurance company is also ‘dealer’.</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Bank, club, auctioneer as dealer</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Arial" w:eastAsia="Times New Roman" w:hAnsi="Arial" w:cs="Arial"/>
                <w:sz w:val="20"/>
                <w:szCs w:val="20"/>
              </w:rPr>
            </w:pPr>
            <w:r w:rsidRPr="003946CB">
              <w:rPr>
                <w:rFonts w:ascii="Arial" w:eastAsia="Times New Roman" w:hAnsi="Arial" w:cs="Arial"/>
                <w:sz w:val="20"/>
                <w:szCs w:val="20"/>
              </w:rPr>
              <w:t>Bank can be dealer in respect of sale of pledged goods,</w:t>
            </w:r>
            <w:r w:rsidRPr="003946CB">
              <w:rPr>
                <w:rFonts w:ascii="Arial" w:eastAsia="Times New Roman" w:hAnsi="Arial" w:cs="Arial"/>
                <w:sz w:val="20"/>
              </w:rPr>
              <w:t> </w:t>
            </w:r>
            <w:r w:rsidRPr="003946CB">
              <w:rPr>
                <w:rFonts w:ascii="Arial" w:eastAsia="Times New Roman" w:hAnsi="Arial" w:cs="Arial"/>
                <w:sz w:val="20"/>
                <w:szCs w:val="20"/>
              </w:rPr>
              <w:t>if definition of ‘dealer’ includes bank. Sale of pledged goods takes place in the course of business.</w:t>
            </w:r>
          </w:p>
          <w:p w:rsidR="003946CB" w:rsidRPr="003946CB" w:rsidRDefault="003946CB" w:rsidP="003946CB">
            <w:pPr>
              <w:spacing w:before="100" w:beforeAutospacing="1" w:after="100" w:afterAutospacing="1" w:line="240" w:lineRule="auto"/>
              <w:rPr>
                <w:rFonts w:ascii="Arial" w:eastAsia="Times New Roman" w:hAnsi="Arial" w:cs="Arial"/>
                <w:sz w:val="20"/>
                <w:szCs w:val="20"/>
              </w:rPr>
            </w:pPr>
            <w:r w:rsidRPr="003946CB">
              <w:rPr>
                <w:rFonts w:ascii="Arial" w:eastAsia="Times New Roman" w:hAnsi="Arial" w:cs="Arial"/>
                <w:sz w:val="20"/>
                <w:szCs w:val="20"/>
              </w:rPr>
              <w:t>A ‘club’ can also be ‘dealer’.</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An auctioneer is not a dealer, if he does not transfer the property in the goods to the successful bidder.</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Profit motive not required</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Profit motive is not material for ‘Business’. Adventure is also ‘business’.</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Adventure is also business</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Business normally implies something done on regular basis. However, since business includes ‘</w:t>
            </w:r>
            <w:r w:rsidRPr="003946CB">
              <w:rPr>
                <w:rFonts w:ascii="Arial" w:eastAsia="Times New Roman" w:hAnsi="Arial" w:cs="Arial"/>
                <w:i/>
                <w:iCs/>
                <w:sz w:val="20"/>
                <w:szCs w:val="20"/>
              </w:rPr>
              <w:t>Adventure</w:t>
            </w:r>
            <w:r w:rsidRPr="003946CB">
              <w:rPr>
                <w:rFonts w:ascii="Arial" w:eastAsia="Times New Roman" w:hAnsi="Arial" w:cs="Arial"/>
                <w:sz w:val="20"/>
                <w:szCs w:val="20"/>
              </w:rPr>
              <w:t>’, occasional transactions may also be covered. Adventure implies some ‘speculation’.</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Ancillary, incidental business taxable</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Arial" w:eastAsia="Times New Roman" w:hAnsi="Arial" w:cs="Arial"/>
                <w:sz w:val="20"/>
                <w:szCs w:val="20"/>
              </w:rPr>
            </w:pPr>
            <w:r w:rsidRPr="003946CB">
              <w:rPr>
                <w:rFonts w:ascii="Arial" w:eastAsia="Times New Roman" w:hAnsi="Arial" w:cs="Arial"/>
                <w:sz w:val="20"/>
                <w:szCs w:val="20"/>
              </w:rPr>
              <w:t>Ancillary, incidental and casual business is also taxable, but main activity should be ‘ to carry on business’.</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Incidental or ancillary business like. sale of used car, sale of scrap, sale of old machinery, sale of old furniture etc. is taxable, though normally the dealer may not be in business of selling cars, furniture or machinery.</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Sale of business is not business and cannot be taxed</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 of business is not business and cannot be taxed.</w:t>
            </w:r>
          </w:p>
        </w:tc>
      </w:tr>
    </w:tbl>
    <w:p w:rsidR="003946CB" w:rsidRPr="003946CB" w:rsidRDefault="003946CB" w:rsidP="003946CB">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3946CB">
        <w:rPr>
          <w:rFonts w:ascii="Times New Roman" w:eastAsia="Times New Roman" w:hAnsi="Times New Roman" w:cs="Times New Roman"/>
          <w:color w:val="000000"/>
          <w:sz w:val="24"/>
          <w:szCs w:val="24"/>
          <w:shd w:val="clear" w:color="auto" w:fill="FFFFFF"/>
        </w:rPr>
        <w:t> </w:t>
      </w:r>
      <w:r w:rsidRPr="003946CB">
        <w:rPr>
          <w:rFonts w:ascii="Times New Roman" w:eastAsia="Times New Roman" w:hAnsi="Times New Roman" w:cs="Times New Roman"/>
          <w:b/>
          <w:bCs/>
          <w:color w:val="000000"/>
          <w:sz w:val="24"/>
          <w:szCs w:val="24"/>
          <w:shd w:val="clear" w:color="auto" w:fill="FFFFFF"/>
        </w:rPr>
        <w:t>Sale and deemed sale subjected to CST</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3946CB">
        <w:rPr>
          <w:rFonts w:ascii="Times New Roman" w:eastAsia="Times New Roman" w:hAnsi="Times New Roman" w:cs="Times New Roman"/>
          <w:b/>
          <w:bCs/>
          <w:color w:val="000000"/>
          <w:sz w:val="24"/>
          <w:szCs w:val="24"/>
          <w:shd w:val="clear" w:color="auto" w:fill="FFFFFF"/>
        </w:rPr>
        <w:t> </w:t>
      </w:r>
    </w:p>
    <w:tbl>
      <w:tblPr>
        <w:tblW w:w="0" w:type="auto"/>
        <w:tblInd w:w="360" w:type="dxa"/>
        <w:shd w:val="clear" w:color="auto" w:fill="FFFFFF"/>
        <w:tblCellMar>
          <w:left w:w="0" w:type="dxa"/>
          <w:right w:w="0" w:type="dxa"/>
        </w:tblCellMar>
        <w:tblLook w:val="04A0"/>
      </w:tblPr>
      <w:tblGrid>
        <w:gridCol w:w="2167"/>
        <w:gridCol w:w="7049"/>
      </w:tblGrid>
      <w:tr w:rsidR="003946CB" w:rsidRPr="003946CB" w:rsidTr="003946C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Sale can be actual or deemed sale</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 can be actual (conventional) sale or deemed sale. Conventional sale takes place when there is complete transfer of property in goods from buyer to seller for valuable money consideration.</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What is not ‘sale’</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 xml:space="preserve">Charge, mortgage, hypothecation, pledge, simple job work, branch transfer </w:t>
            </w:r>
            <w:r w:rsidRPr="003946CB">
              <w:rPr>
                <w:rFonts w:ascii="Arial" w:eastAsia="Times New Roman" w:hAnsi="Arial" w:cs="Arial"/>
                <w:sz w:val="20"/>
                <w:szCs w:val="20"/>
              </w:rPr>
              <w:lastRenderedPageBreak/>
              <w:t>and barter is not sale.</w:t>
            </w:r>
            <w:r w:rsidRPr="003946CB">
              <w:rPr>
                <w:rFonts w:ascii="Arial" w:eastAsia="Times New Roman" w:hAnsi="Arial" w:cs="Arial"/>
                <w:sz w:val="20"/>
              </w:rPr>
              <w:t> </w:t>
            </w:r>
            <w:r w:rsidRPr="003946CB">
              <w:rPr>
                <w:rFonts w:ascii="Arial" w:eastAsia="Times New Roman" w:hAnsi="Arial" w:cs="Arial"/>
                <w:sz w:val="20"/>
                <w:szCs w:val="20"/>
              </w:rPr>
              <w:t>Supply to Agent is not ‘sale’.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lastRenderedPageBreak/>
              <w:t>Supply of goods to works contractor</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Supply of material to contractor in case of works contract can be ‘sale’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Deemed sale under Constitution</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Concept of deemed sale has been introduced by 46th amendment to Constitution, by inserting Article 366(29A) in 1983.</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Types of deemed sale</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Compulsory sale, hire purchase, leasing, hire (transfer of right to use), sale of food articles, sale by unincorporated association and goods involved in works contract are ‘deemed sales’.</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Transfer of right to use goods</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Goods [e.g. furniture, utensils, machinery, mattresses etc.] given on hire is ‘transfer of right to use for consideration’ if full possession and control is given to hirer. In such case, sales tax (Vat) is payable. If complete possession and control is not handed over, service tax would be payable.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Sale in canteen</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 in canteen is taxable.</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Definition of ‘works contract’</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Arial" w:eastAsia="Times New Roman" w:hAnsi="Arial" w:cs="Arial"/>
                <w:sz w:val="20"/>
                <w:szCs w:val="20"/>
              </w:rPr>
            </w:pPr>
            <w:r w:rsidRPr="003946CB">
              <w:rPr>
                <w:rFonts w:ascii="Arial" w:eastAsia="Times New Roman" w:hAnsi="Arial" w:cs="Arial"/>
                <w:sz w:val="20"/>
                <w:szCs w:val="20"/>
              </w:rPr>
              <w:t>‘Works contract’ means a contract for carrying out any work which includes assembling, construction, building, altering, manufacturing, processing, fabricating, erection, installation, fitting out, improvement, repair or commissioning of any movable or immovable property.</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Building contract is ‘works contract’. Painting or printing is also a ‘works contract’.</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Tax is on ‘goods involved in works contract’</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Sales tax (Vat) is on goods involved in works contract and not on works contract as such.</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Passing of property in goods in works contract</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In works contract, property in goods should pass on the principle of accretion, accession or blending when the works contract is getting executed. If property in goods pass after execution of works contract, it is ‘sale’ and not ‘transfer of property in goods involved in execution of works contract’.</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Photography</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Photographic work is not ‘sale of goods’. It is contract for skill and labour. It seems Vat can be imposed on value of goods involved in such work (no consumables as property in such consumables is not transferred to customer).</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Valuation in case of works contract</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In case of works contract, sales tax/vat can be levied only on value of goods involved and not on entire value of contract. Composition scheme to levy tax on flat basis on entire value of contract is permissible, but it is optional.</w:t>
            </w:r>
          </w:p>
        </w:tc>
      </w:tr>
      <w:tr w:rsidR="003946CB" w:rsidRPr="003946CB" w:rsidTr="003946CB">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Inter state sale in case of deemed sale</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There can be inter-state sale of goods in works contract, leasing, transfer of right to goods and C form can be issued/received.</w:t>
            </w:r>
          </w:p>
        </w:tc>
      </w:tr>
    </w:tbl>
    <w:p w:rsidR="003946CB" w:rsidRPr="003946CB" w:rsidRDefault="003946CB" w:rsidP="003946CB">
      <w:pPr>
        <w:spacing w:before="100" w:beforeAutospacing="1" w:after="100" w:afterAutospacing="1" w:line="240" w:lineRule="auto"/>
        <w:rPr>
          <w:rFonts w:ascii="Times New Roman" w:eastAsia="Times New Roman" w:hAnsi="Times New Roman" w:cs="Times New Roman"/>
          <w:color w:val="000000"/>
          <w:sz w:val="24"/>
          <w:szCs w:val="24"/>
          <w:shd w:val="clear" w:color="auto" w:fill="FFFFFF"/>
        </w:rPr>
      </w:pPr>
      <w:r w:rsidRPr="003946CB">
        <w:rPr>
          <w:rFonts w:ascii="Times New Roman" w:eastAsia="Times New Roman" w:hAnsi="Times New Roman" w:cs="Times New Roman"/>
          <w:color w:val="000000"/>
          <w:sz w:val="24"/>
          <w:szCs w:val="24"/>
          <w:shd w:val="clear" w:color="auto" w:fill="FFFFFF"/>
        </w:rPr>
        <w:t> </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4"/>
          <w:szCs w:val="24"/>
        </w:rPr>
      </w:pPr>
      <w:r w:rsidRPr="003946CB">
        <w:rPr>
          <w:rFonts w:ascii="Times New Roman" w:eastAsia="Times New Roman" w:hAnsi="Times New Roman" w:cs="Times New Roman"/>
          <w:b/>
          <w:bCs/>
          <w:sz w:val="24"/>
          <w:szCs w:val="24"/>
        </w:rPr>
        <w:t>Quantification of CST payable</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4"/>
          <w:szCs w:val="24"/>
        </w:rPr>
      </w:pPr>
      <w:r w:rsidRPr="003946CB">
        <w:rPr>
          <w:rFonts w:ascii="Times New Roman" w:eastAsia="Times New Roman" w:hAnsi="Times New Roman" w:cs="Times New Roman"/>
          <w:sz w:val="24"/>
          <w:szCs w:val="24"/>
        </w:rPr>
        <w:t> </w:t>
      </w:r>
    </w:p>
    <w:tbl>
      <w:tblPr>
        <w:tblW w:w="0" w:type="auto"/>
        <w:tblInd w:w="360" w:type="dxa"/>
        <w:tblCellMar>
          <w:left w:w="0" w:type="dxa"/>
          <w:right w:w="0" w:type="dxa"/>
        </w:tblCellMar>
        <w:tblLook w:val="04A0"/>
      </w:tblPr>
      <w:tblGrid>
        <w:gridCol w:w="2277"/>
        <w:gridCol w:w="6939"/>
      </w:tblGrid>
      <w:tr w:rsidR="003946CB" w:rsidRPr="003946CB" w:rsidTr="003946CB">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Rate of CST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Arial" w:eastAsia="Times New Roman" w:hAnsi="Arial" w:cs="Arial"/>
                <w:sz w:val="20"/>
                <w:szCs w:val="20"/>
              </w:rPr>
            </w:pPr>
            <w:r w:rsidRPr="003946CB">
              <w:rPr>
                <w:rFonts w:ascii="Arial" w:eastAsia="Times New Roman" w:hAnsi="Arial" w:cs="Arial"/>
                <w:sz w:val="20"/>
                <w:szCs w:val="20"/>
              </w:rPr>
              <w:t>CST rate for sale to registered dealers is 2% (effective from 1-6-2008) or local sales tax rate, whichever is lower, if the purchasing dealer issues C form to selling dealer. If the buyer is not registered, sales tax payable is same as applicable for sale within the State.</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 to Government will be treated as sale to unregistered buyer.</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Turnover for purpose of CST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‘Turnover’ for purpose of levy of CST is equal to ‘Aggregate Sale price’ in respect of sale of goods</w:t>
            </w:r>
            <w:r w:rsidRPr="003946CB">
              <w:rPr>
                <w:rFonts w:ascii="Arial" w:eastAsia="Times New Roman" w:hAnsi="Arial" w:cs="Arial"/>
                <w:sz w:val="20"/>
              </w:rPr>
              <w:t> </w:t>
            </w:r>
            <w:r w:rsidRPr="003946CB">
              <w:rPr>
                <w:rFonts w:ascii="Arial" w:eastAsia="Times New Roman" w:hAnsi="Arial" w:cs="Arial"/>
                <w:i/>
                <w:iCs/>
                <w:sz w:val="20"/>
                <w:szCs w:val="20"/>
              </w:rPr>
              <w:t>prescribed period</w:t>
            </w:r>
            <w:r w:rsidRPr="003946CB">
              <w:rPr>
                <w:rFonts w:ascii="Arial" w:eastAsia="Times New Roman" w:hAnsi="Arial" w:cs="Arial"/>
                <w:sz w:val="20"/>
                <w:szCs w:val="20"/>
              </w:rPr>
              <w:t>, minus CST payable.</w:t>
            </w:r>
            <w:r w:rsidRPr="003946CB">
              <w:rPr>
                <w:rFonts w:ascii="Arial" w:eastAsia="Times New Roman" w:hAnsi="Arial" w:cs="Arial"/>
                <w:sz w:val="20"/>
              </w:rPr>
              <w:t> </w:t>
            </w:r>
            <w:r w:rsidRPr="003946CB">
              <w:rPr>
                <w:rFonts w:ascii="Arial" w:eastAsia="Times New Roman" w:hAnsi="Arial" w:cs="Arial"/>
                <w:sz w:val="20"/>
                <w:szCs w:val="20"/>
              </w:rPr>
              <w:t>‘</w:t>
            </w:r>
            <w:r w:rsidRPr="003946CB">
              <w:rPr>
                <w:rFonts w:ascii="Arial" w:eastAsia="Times New Roman" w:hAnsi="Arial" w:cs="Arial"/>
                <w:i/>
                <w:iCs/>
                <w:sz w:val="20"/>
                <w:szCs w:val="20"/>
              </w:rPr>
              <w:t>Prescribed period</w:t>
            </w:r>
            <w:r w:rsidRPr="003946CB">
              <w:rPr>
                <w:rFonts w:ascii="Arial" w:eastAsia="Times New Roman" w:hAnsi="Arial" w:cs="Arial"/>
                <w:sz w:val="20"/>
                <w:szCs w:val="20"/>
              </w:rPr>
              <w:t xml:space="preserve">’ is the period in respect of which a dealer is liable to submit returns </w:t>
            </w:r>
            <w:r w:rsidRPr="003946CB">
              <w:rPr>
                <w:rFonts w:ascii="Arial" w:eastAsia="Times New Roman" w:hAnsi="Arial" w:cs="Arial"/>
                <w:sz w:val="20"/>
                <w:szCs w:val="20"/>
              </w:rPr>
              <w:lastRenderedPageBreak/>
              <w:t>under the General Sales Tax law of the appropriate State.</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lastRenderedPageBreak/>
              <w:t>Sale price for CST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 Price’ means the amount payable to a dealer as consideration for the sale of any goods, less any sum allowed as cash discount according to the practice prevailing in the trade, but inclusive of any sum charged for anything done by the dealer in respect of the goods at the time of or before the delivery thereof, other than cost of freight or delivery or the cost of installation, in cases where such cost is separately charged.</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Inclusions in sale price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CST is payable on excise duty, cesses on goods, packing material,</w:t>
            </w:r>
            <w:r w:rsidRPr="003946CB">
              <w:rPr>
                <w:rFonts w:ascii="Arial" w:eastAsia="Times New Roman" w:hAnsi="Arial" w:cs="Arial"/>
                <w:sz w:val="20"/>
              </w:rPr>
              <w:t> </w:t>
            </w:r>
            <w:r w:rsidRPr="003946CB">
              <w:rPr>
                <w:rFonts w:ascii="Arial" w:eastAsia="Times New Roman" w:hAnsi="Arial" w:cs="Arial"/>
                <w:i/>
                <w:iCs/>
                <w:sz w:val="20"/>
                <w:szCs w:val="20"/>
              </w:rPr>
              <w:t>dharamda</w:t>
            </w:r>
            <w:r w:rsidRPr="003946CB">
              <w:rPr>
                <w:rFonts w:ascii="Arial" w:eastAsia="Times New Roman" w:hAnsi="Arial" w:cs="Arial"/>
                <w:sz w:val="20"/>
                <w:szCs w:val="20"/>
              </w:rPr>
              <w:t>, design changes in respect of goods, and goods returned beyond 6 months.</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Exclusion of outward freight from sale price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CST is not payable on outward freight (if charged separately) and outward insurance if property in goods passes to buyer at the time of despatch.</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Exclusions fro sale price for CST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CST is not payable on installation and commissioning and goods rejected. Trade and cash discounts are excluded for purpose of calculating CST. Subsidy paid by Government, export incentives and deposits for returnable containers are not part of ‘turnover’.</w:t>
            </w:r>
            <w:r w:rsidRPr="003946CB">
              <w:rPr>
                <w:rFonts w:ascii="Arial" w:eastAsia="Times New Roman" w:hAnsi="Arial" w:cs="Arial"/>
                <w:sz w:val="20"/>
              </w:rPr>
              <w:t> </w:t>
            </w:r>
            <w:r w:rsidRPr="003946CB">
              <w:rPr>
                <w:rFonts w:ascii="Arial" w:eastAsia="Times New Roman" w:hAnsi="Arial" w:cs="Arial"/>
                <w:sz w:val="20"/>
                <w:szCs w:val="20"/>
              </w:rPr>
              <w:t>Cost of installation and commissioning is not includible if shown separately in invoice.</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Goods returned and rejected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CST is not payable if goods are returned within 6 months. This time limit does not apply to rejection of goods since in that case there is no ‘sale’</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Service tax and sales tax</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Service tax and sales tax are mutually exclusive.</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Goods eligible for registration by Dealer for concessional rate of CST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ind w:left="720" w:hanging="360"/>
              <w:rPr>
                <w:rFonts w:ascii="Arial" w:eastAsia="Times New Roman" w:hAnsi="Arial" w:cs="Arial"/>
                <w:sz w:val="20"/>
                <w:szCs w:val="20"/>
              </w:rPr>
            </w:pPr>
            <w:r w:rsidRPr="003946CB">
              <w:rPr>
                <w:rFonts w:ascii="Symbol" w:eastAsia="Times New Roman" w:hAnsi="Symbol" w:cs="Arial"/>
                <w:sz w:val="20"/>
                <w:szCs w:val="20"/>
              </w:rPr>
              <w:t></w:t>
            </w:r>
            <w:r w:rsidRPr="003946CB">
              <w:rPr>
                <w:rFonts w:ascii="Times New Roman" w:eastAsia="Times New Roman" w:hAnsi="Times New Roman" w:cs="Times New Roman"/>
                <w:sz w:val="14"/>
                <w:szCs w:val="14"/>
              </w:rPr>
              <w:t>        </w:t>
            </w:r>
            <w:r w:rsidRPr="003946CB">
              <w:rPr>
                <w:rFonts w:ascii="Times New Roman" w:eastAsia="Times New Roman" w:hAnsi="Times New Roman" w:cs="Times New Roman"/>
                <w:sz w:val="14"/>
              </w:rPr>
              <w:t> </w:t>
            </w:r>
            <w:r w:rsidRPr="003946CB">
              <w:rPr>
                <w:rFonts w:ascii="Arial" w:eastAsia="Times New Roman" w:hAnsi="Arial" w:cs="Arial"/>
                <w:sz w:val="20"/>
                <w:szCs w:val="20"/>
              </w:rPr>
              <w:t>Only those goods for which a dealer</w:t>
            </w:r>
            <w:r w:rsidRPr="003946CB">
              <w:rPr>
                <w:rFonts w:ascii="Arial" w:eastAsia="Times New Roman" w:hAnsi="Arial" w:cs="Arial"/>
                <w:sz w:val="20"/>
              </w:rPr>
              <w:t> </w:t>
            </w:r>
            <w:r w:rsidRPr="003946CB">
              <w:rPr>
                <w:rFonts w:ascii="Arial" w:eastAsia="Times New Roman" w:hAnsi="Arial" w:cs="Arial"/>
                <w:i/>
                <w:iCs/>
                <w:sz w:val="20"/>
                <w:szCs w:val="20"/>
              </w:rPr>
              <w:t>is eligible</w:t>
            </w:r>
            <w:r w:rsidRPr="003946CB">
              <w:rPr>
                <w:rFonts w:ascii="Arial" w:eastAsia="Times New Roman" w:hAnsi="Arial" w:cs="Arial"/>
                <w:sz w:val="20"/>
              </w:rPr>
              <w:t> </w:t>
            </w:r>
            <w:r w:rsidRPr="003946CB">
              <w:rPr>
                <w:rFonts w:ascii="Arial" w:eastAsia="Times New Roman" w:hAnsi="Arial" w:cs="Arial"/>
                <w:sz w:val="20"/>
                <w:szCs w:val="20"/>
              </w:rPr>
              <w:t>and which are</w:t>
            </w:r>
            <w:r w:rsidRPr="003946CB">
              <w:rPr>
                <w:rFonts w:ascii="Arial" w:eastAsia="Times New Roman" w:hAnsi="Arial" w:cs="Arial"/>
                <w:sz w:val="20"/>
              </w:rPr>
              <w:t> </w:t>
            </w:r>
            <w:r w:rsidRPr="003946CB">
              <w:rPr>
                <w:rFonts w:ascii="Arial" w:eastAsia="Times New Roman" w:hAnsi="Arial" w:cs="Arial"/>
                <w:i/>
                <w:iCs/>
                <w:sz w:val="20"/>
                <w:szCs w:val="20"/>
              </w:rPr>
              <w:t>contained in his Registration Certificate</w:t>
            </w:r>
            <w:r w:rsidRPr="003946CB">
              <w:rPr>
                <w:rFonts w:ascii="Arial" w:eastAsia="Times New Roman" w:hAnsi="Arial" w:cs="Arial"/>
                <w:sz w:val="20"/>
              </w:rPr>
              <w:t> </w:t>
            </w:r>
            <w:r w:rsidRPr="003946CB">
              <w:rPr>
                <w:rFonts w:ascii="Arial" w:eastAsia="Times New Roman" w:hAnsi="Arial" w:cs="Arial"/>
                <w:sz w:val="20"/>
                <w:szCs w:val="20"/>
              </w:rPr>
              <w:t>are eligible for concessional rate. Purchasing dealer has to issue ‘C’ form to avail concessional rate.</w:t>
            </w:r>
          </w:p>
          <w:p w:rsidR="003946CB" w:rsidRPr="003946CB" w:rsidRDefault="003946CB" w:rsidP="003946CB">
            <w:pPr>
              <w:spacing w:before="100" w:beforeAutospacing="1" w:after="100" w:afterAutospacing="1" w:line="240" w:lineRule="auto"/>
              <w:ind w:left="720" w:hanging="360"/>
              <w:rPr>
                <w:rFonts w:ascii="Arial" w:eastAsia="Times New Roman" w:hAnsi="Arial" w:cs="Arial"/>
                <w:sz w:val="20"/>
                <w:szCs w:val="20"/>
              </w:rPr>
            </w:pPr>
            <w:r w:rsidRPr="003946CB">
              <w:rPr>
                <w:rFonts w:ascii="Symbol" w:eastAsia="Times New Roman" w:hAnsi="Symbol" w:cs="Arial"/>
                <w:sz w:val="20"/>
                <w:szCs w:val="20"/>
              </w:rPr>
              <w:t></w:t>
            </w:r>
            <w:r w:rsidRPr="003946CB">
              <w:rPr>
                <w:rFonts w:ascii="Times New Roman" w:eastAsia="Times New Roman" w:hAnsi="Times New Roman" w:cs="Times New Roman"/>
                <w:sz w:val="14"/>
                <w:szCs w:val="14"/>
              </w:rPr>
              <w:t>        </w:t>
            </w:r>
            <w:r w:rsidRPr="003946CB">
              <w:rPr>
                <w:rFonts w:ascii="Times New Roman" w:eastAsia="Times New Roman" w:hAnsi="Times New Roman" w:cs="Times New Roman"/>
                <w:sz w:val="14"/>
              </w:rPr>
              <w:t> </w:t>
            </w:r>
            <w:r w:rsidRPr="003946CB">
              <w:rPr>
                <w:rFonts w:ascii="Arial" w:eastAsia="Times New Roman" w:hAnsi="Arial" w:cs="Arial"/>
                <w:sz w:val="20"/>
                <w:szCs w:val="20"/>
              </w:rPr>
              <w:t>Goods (i) intended for resale, (ii) for use in manufacture</w:t>
            </w:r>
            <w:r w:rsidRPr="003946CB">
              <w:rPr>
                <w:rFonts w:ascii="Arial" w:eastAsia="Times New Roman" w:hAnsi="Arial" w:cs="Arial"/>
                <w:sz w:val="20"/>
              </w:rPr>
              <w:t> </w:t>
            </w:r>
            <w:r w:rsidRPr="003946CB">
              <w:rPr>
                <w:rFonts w:ascii="Arial" w:eastAsia="Times New Roman" w:hAnsi="Arial" w:cs="Arial"/>
                <w:i/>
                <w:iCs/>
                <w:sz w:val="20"/>
                <w:szCs w:val="20"/>
              </w:rPr>
              <w:t>or</w:t>
            </w:r>
            <w:r w:rsidRPr="003946CB">
              <w:rPr>
                <w:rFonts w:ascii="Arial" w:eastAsia="Times New Roman" w:hAnsi="Arial" w:cs="Arial"/>
                <w:sz w:val="20"/>
              </w:rPr>
              <w:t> </w:t>
            </w:r>
            <w:r w:rsidRPr="003946CB">
              <w:rPr>
                <w:rFonts w:ascii="Arial" w:eastAsia="Times New Roman" w:hAnsi="Arial" w:cs="Arial"/>
                <w:sz w:val="20"/>
                <w:szCs w:val="20"/>
              </w:rPr>
              <w:t>in processing for sale (iii) for use in telecommunications network (iv) for use in mining (v) for use in power generation/distribution, or (vi) containers and packing materials are only eligible for concessional rate. - - ‘For use’ means ‘intended for use’.</w:t>
            </w:r>
          </w:p>
          <w:p w:rsidR="003946CB" w:rsidRPr="003946CB" w:rsidRDefault="003946CB" w:rsidP="003946CB">
            <w:pPr>
              <w:spacing w:before="100" w:beforeAutospacing="1" w:after="100" w:afterAutospacing="1" w:line="240" w:lineRule="auto"/>
              <w:ind w:left="720" w:hanging="360"/>
              <w:rPr>
                <w:rFonts w:ascii="Arial" w:eastAsia="Times New Roman" w:hAnsi="Arial" w:cs="Arial"/>
                <w:sz w:val="20"/>
                <w:szCs w:val="20"/>
              </w:rPr>
            </w:pPr>
            <w:r w:rsidRPr="003946CB">
              <w:rPr>
                <w:rFonts w:ascii="Symbol" w:eastAsia="Times New Roman" w:hAnsi="Symbol" w:cs="Arial"/>
                <w:sz w:val="20"/>
                <w:szCs w:val="20"/>
              </w:rPr>
              <w:t></w:t>
            </w:r>
            <w:r w:rsidRPr="003946CB">
              <w:rPr>
                <w:rFonts w:ascii="Times New Roman" w:eastAsia="Times New Roman" w:hAnsi="Times New Roman" w:cs="Times New Roman"/>
                <w:sz w:val="14"/>
                <w:szCs w:val="14"/>
              </w:rPr>
              <w:t>        </w:t>
            </w:r>
            <w:r w:rsidRPr="003946CB">
              <w:rPr>
                <w:rFonts w:ascii="Times New Roman" w:eastAsia="Times New Roman" w:hAnsi="Times New Roman" w:cs="Times New Roman"/>
                <w:sz w:val="14"/>
              </w:rPr>
              <w:t> </w:t>
            </w:r>
            <w:r w:rsidRPr="003946CB">
              <w:rPr>
                <w:rFonts w:ascii="Arial" w:eastAsia="Times New Roman" w:hAnsi="Arial" w:cs="Arial"/>
                <w:sz w:val="20"/>
                <w:szCs w:val="20"/>
              </w:rPr>
              <w:t>Newspapers can purchase their raw material at concessional rate even if they are not required to pay sales tax/Vat on newspaper.</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 </w:t>
            </w:r>
          </w:p>
        </w:tc>
      </w:tr>
    </w:tbl>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4"/>
          <w:szCs w:val="24"/>
        </w:rPr>
      </w:pPr>
      <w:r w:rsidRPr="003946CB">
        <w:rPr>
          <w:rFonts w:ascii="Times New Roman" w:eastAsia="Times New Roman" w:hAnsi="Times New Roman" w:cs="Times New Roman"/>
          <w:sz w:val="24"/>
          <w:szCs w:val="24"/>
        </w:rPr>
        <w:t> </w:t>
      </w:r>
      <w:r w:rsidRPr="003946CB">
        <w:rPr>
          <w:rFonts w:ascii="Times New Roman" w:eastAsia="Times New Roman" w:hAnsi="Times New Roman" w:cs="Times New Roman"/>
          <w:b/>
          <w:bCs/>
          <w:sz w:val="24"/>
          <w:szCs w:val="24"/>
        </w:rPr>
        <w:t>Exemptions from CST</w:t>
      </w:r>
    </w:p>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4"/>
          <w:szCs w:val="24"/>
        </w:rPr>
      </w:pPr>
      <w:r w:rsidRPr="003946CB">
        <w:rPr>
          <w:rFonts w:ascii="Times New Roman" w:eastAsia="Times New Roman" w:hAnsi="Times New Roman" w:cs="Times New Roman"/>
          <w:sz w:val="24"/>
          <w:szCs w:val="24"/>
        </w:rPr>
        <w:t> </w:t>
      </w:r>
    </w:p>
    <w:tbl>
      <w:tblPr>
        <w:tblW w:w="0" w:type="auto"/>
        <w:tblInd w:w="360" w:type="dxa"/>
        <w:tblCellMar>
          <w:left w:w="0" w:type="dxa"/>
          <w:right w:w="0" w:type="dxa"/>
        </w:tblCellMar>
        <w:tblLook w:val="04A0"/>
      </w:tblPr>
      <w:tblGrid>
        <w:gridCol w:w="2182"/>
        <w:gridCol w:w="7034"/>
      </w:tblGrid>
      <w:tr w:rsidR="003946CB" w:rsidRPr="003946CB" w:rsidTr="003946CB">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Subsequent sale by transfer of documents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CST is not payable in case of subsequent sale by transfer of documents during movement of goods from one State to other, if E-I/E-II declarations are given. All purchasers have to issue C form to earlier seller. E-I form is to be given by first seller to first buyer and E-II form by all subsequent sellers to their buyers.</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CST exempt if local sale exempt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CST is exempt if sale within the State is exempt. Sales tax may be payable on packing even if goods are exempt, if there was separate sale of packing material.</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t>Exemption by issuing a notification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State Government can exempt CST partially or fully by issuing a Notification, but State Government cannot waive condition of issue of C form.</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b/>
                <w:bCs/>
                <w:sz w:val="20"/>
                <w:szCs w:val="20"/>
              </w:rPr>
              <w:lastRenderedPageBreak/>
              <w:t>Sale to SEZ/UN/foreign mission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0"/>
                <w:szCs w:val="20"/>
              </w:rPr>
            </w:pPr>
            <w:r w:rsidRPr="003946CB">
              <w:rPr>
                <w:rFonts w:ascii="Arial" w:eastAsia="Times New Roman" w:hAnsi="Arial" w:cs="Arial"/>
                <w:sz w:val="20"/>
                <w:szCs w:val="20"/>
              </w:rPr>
              <w:t>Sale to Special Economic Zone (SEZ) (if they give I form) and to foreign missions/UN (if they give J form) are exempt</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4"/>
                <w:szCs w:val="24"/>
              </w:rPr>
            </w:pPr>
            <w:r w:rsidRPr="003946CB">
              <w:rPr>
                <w:rFonts w:ascii="Arial" w:eastAsia="Times New Roman" w:hAnsi="Arial" w:cs="Arial"/>
                <w:b/>
                <w:bCs/>
                <w:sz w:val="24"/>
                <w:szCs w:val="24"/>
              </w:rPr>
              <w:t>Sale in course of Export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ind w:left="720" w:hanging="360"/>
              <w:rPr>
                <w:rFonts w:ascii="Arial" w:eastAsia="Times New Roman" w:hAnsi="Arial" w:cs="Arial"/>
                <w:sz w:val="20"/>
                <w:szCs w:val="20"/>
              </w:rPr>
            </w:pPr>
            <w:r w:rsidRPr="003946CB">
              <w:rPr>
                <w:rFonts w:ascii="Symbol" w:eastAsia="Times New Roman" w:hAnsi="Symbol" w:cs="Arial"/>
                <w:sz w:val="20"/>
                <w:szCs w:val="20"/>
              </w:rPr>
              <w:t></w:t>
            </w:r>
            <w:r w:rsidRPr="003946CB">
              <w:rPr>
                <w:rFonts w:ascii="Times New Roman" w:eastAsia="Times New Roman" w:hAnsi="Times New Roman" w:cs="Times New Roman"/>
                <w:sz w:val="14"/>
                <w:szCs w:val="14"/>
              </w:rPr>
              <w:t>        </w:t>
            </w:r>
            <w:r w:rsidRPr="003946CB">
              <w:rPr>
                <w:rFonts w:ascii="Times New Roman" w:eastAsia="Times New Roman" w:hAnsi="Times New Roman" w:cs="Times New Roman"/>
                <w:sz w:val="14"/>
              </w:rPr>
              <w:t> </w:t>
            </w:r>
            <w:r w:rsidRPr="003946CB">
              <w:rPr>
                <w:rFonts w:ascii="Arial" w:eastAsia="Times New Roman" w:hAnsi="Arial" w:cs="Arial"/>
                <w:sz w:val="20"/>
                <w:szCs w:val="20"/>
              </w:rPr>
              <w:t>No tax can be levied by State Government on sale in the course of export.</w:t>
            </w:r>
            <w:r w:rsidRPr="003946CB">
              <w:rPr>
                <w:rFonts w:ascii="Arial" w:eastAsia="Times New Roman" w:hAnsi="Arial" w:cs="Arial"/>
                <w:sz w:val="20"/>
              </w:rPr>
              <w:t> </w:t>
            </w:r>
            <w:r w:rsidRPr="003946CB">
              <w:rPr>
                <w:rFonts w:ascii="Arial" w:eastAsia="Times New Roman" w:hAnsi="Arial" w:cs="Arial"/>
                <w:sz w:val="20"/>
                <w:szCs w:val="20"/>
              </w:rPr>
              <w:t>Even when exports are arranged with the help of an agent, sale will be sale in course of export, if the goods are not sold to agent any time.</w:t>
            </w:r>
          </w:p>
          <w:p w:rsidR="003946CB" w:rsidRPr="003946CB" w:rsidRDefault="003946CB" w:rsidP="003946CB">
            <w:pPr>
              <w:spacing w:before="100" w:beforeAutospacing="1" w:after="100" w:afterAutospacing="1" w:line="240" w:lineRule="auto"/>
              <w:ind w:left="720" w:hanging="360"/>
              <w:rPr>
                <w:rFonts w:ascii="Arial" w:eastAsia="Times New Roman" w:hAnsi="Arial" w:cs="Arial"/>
                <w:sz w:val="20"/>
                <w:szCs w:val="20"/>
              </w:rPr>
            </w:pPr>
            <w:r w:rsidRPr="003946CB">
              <w:rPr>
                <w:rFonts w:ascii="Symbol" w:eastAsia="Times New Roman" w:hAnsi="Symbol" w:cs="Arial"/>
                <w:sz w:val="20"/>
                <w:szCs w:val="20"/>
              </w:rPr>
              <w:t></w:t>
            </w:r>
            <w:r w:rsidRPr="003946CB">
              <w:rPr>
                <w:rFonts w:ascii="Times New Roman" w:eastAsia="Times New Roman" w:hAnsi="Times New Roman" w:cs="Times New Roman"/>
                <w:sz w:val="14"/>
                <w:szCs w:val="14"/>
              </w:rPr>
              <w:t>        </w:t>
            </w:r>
            <w:r w:rsidRPr="003946CB">
              <w:rPr>
                <w:rFonts w:ascii="Times New Roman" w:eastAsia="Times New Roman" w:hAnsi="Times New Roman" w:cs="Times New Roman"/>
                <w:sz w:val="14"/>
              </w:rPr>
              <w:t> </w:t>
            </w:r>
            <w:r w:rsidRPr="003946CB">
              <w:rPr>
                <w:rFonts w:ascii="Arial" w:eastAsia="Times New Roman" w:hAnsi="Arial" w:cs="Arial"/>
                <w:sz w:val="20"/>
                <w:szCs w:val="20"/>
              </w:rPr>
              <w:t>Export sale can be direct or by transfer of documents after goods cross customs frontier of India.</w:t>
            </w:r>
          </w:p>
          <w:p w:rsidR="003946CB" w:rsidRPr="003946CB" w:rsidRDefault="003946CB" w:rsidP="003946CB">
            <w:pPr>
              <w:spacing w:before="100" w:beforeAutospacing="1" w:after="100" w:afterAutospacing="1" w:line="240" w:lineRule="auto"/>
              <w:ind w:left="720" w:hanging="360"/>
              <w:rPr>
                <w:rFonts w:ascii="Arial" w:eastAsia="Times New Roman" w:hAnsi="Arial" w:cs="Arial"/>
                <w:sz w:val="20"/>
                <w:szCs w:val="20"/>
              </w:rPr>
            </w:pPr>
            <w:r w:rsidRPr="003946CB">
              <w:rPr>
                <w:rFonts w:ascii="Symbol" w:eastAsia="Times New Roman" w:hAnsi="Symbol" w:cs="Arial"/>
                <w:sz w:val="20"/>
                <w:szCs w:val="20"/>
              </w:rPr>
              <w:t></w:t>
            </w:r>
            <w:r w:rsidRPr="003946CB">
              <w:rPr>
                <w:rFonts w:ascii="Times New Roman" w:eastAsia="Times New Roman" w:hAnsi="Times New Roman" w:cs="Times New Roman"/>
                <w:sz w:val="14"/>
                <w:szCs w:val="14"/>
              </w:rPr>
              <w:t>        </w:t>
            </w:r>
            <w:r w:rsidRPr="003946CB">
              <w:rPr>
                <w:rFonts w:ascii="Times New Roman" w:eastAsia="Times New Roman" w:hAnsi="Times New Roman" w:cs="Times New Roman"/>
                <w:sz w:val="14"/>
              </w:rPr>
              <w:t> </w:t>
            </w:r>
            <w:r w:rsidRPr="003946CB">
              <w:rPr>
                <w:rFonts w:ascii="Arial" w:eastAsia="Times New Roman" w:hAnsi="Arial" w:cs="Arial"/>
                <w:sz w:val="20"/>
                <w:szCs w:val="20"/>
              </w:rPr>
              <w:t>Purchase of aviation turbine fuel by Indian carriers and foreign aircrafts flying abroad is not ‘in course of export’, as there is no foreign destination.</w:t>
            </w:r>
          </w:p>
          <w:p w:rsidR="003946CB" w:rsidRPr="003946CB" w:rsidRDefault="003946CB" w:rsidP="003946CB">
            <w:pPr>
              <w:spacing w:before="100" w:beforeAutospacing="1" w:after="100" w:afterAutospacing="1" w:line="240" w:lineRule="auto"/>
              <w:ind w:left="720" w:hanging="360"/>
              <w:rPr>
                <w:rFonts w:ascii="Arial" w:eastAsia="Times New Roman" w:hAnsi="Arial" w:cs="Arial"/>
                <w:sz w:val="20"/>
                <w:szCs w:val="20"/>
              </w:rPr>
            </w:pPr>
            <w:r w:rsidRPr="003946CB">
              <w:rPr>
                <w:rFonts w:ascii="Symbol" w:eastAsia="Times New Roman" w:hAnsi="Symbol" w:cs="Arial"/>
                <w:sz w:val="20"/>
                <w:szCs w:val="20"/>
              </w:rPr>
              <w:t></w:t>
            </w:r>
            <w:r w:rsidRPr="003946CB">
              <w:rPr>
                <w:rFonts w:ascii="Times New Roman" w:eastAsia="Times New Roman" w:hAnsi="Times New Roman" w:cs="Times New Roman"/>
                <w:sz w:val="14"/>
                <w:szCs w:val="14"/>
              </w:rPr>
              <w:t>        </w:t>
            </w:r>
            <w:r w:rsidRPr="003946CB">
              <w:rPr>
                <w:rFonts w:ascii="Times New Roman" w:eastAsia="Times New Roman" w:hAnsi="Times New Roman" w:cs="Times New Roman"/>
                <w:sz w:val="14"/>
              </w:rPr>
              <w:t> </w:t>
            </w:r>
            <w:r w:rsidRPr="003946CB">
              <w:rPr>
                <w:rFonts w:ascii="Arial" w:eastAsia="Times New Roman" w:hAnsi="Arial" w:cs="Arial"/>
                <w:sz w:val="20"/>
                <w:szCs w:val="20"/>
              </w:rPr>
              <w:t>Sale to any destination outside territorial waters is ‘export’.</w:t>
            </w:r>
          </w:p>
          <w:p w:rsidR="003946CB" w:rsidRPr="003946CB" w:rsidRDefault="003946CB" w:rsidP="003946CB">
            <w:pPr>
              <w:spacing w:before="100" w:beforeAutospacing="1" w:after="100" w:afterAutospacing="1" w:line="240" w:lineRule="auto"/>
              <w:ind w:left="720" w:hanging="360"/>
              <w:rPr>
                <w:rFonts w:ascii="Arial" w:eastAsia="Times New Roman" w:hAnsi="Arial" w:cs="Arial"/>
                <w:sz w:val="20"/>
                <w:szCs w:val="20"/>
              </w:rPr>
            </w:pPr>
            <w:r w:rsidRPr="003946CB">
              <w:rPr>
                <w:rFonts w:ascii="Symbol" w:eastAsia="Times New Roman" w:hAnsi="Symbol" w:cs="Arial"/>
                <w:sz w:val="20"/>
                <w:szCs w:val="20"/>
              </w:rPr>
              <w:t></w:t>
            </w:r>
            <w:r w:rsidRPr="003946CB">
              <w:rPr>
                <w:rFonts w:ascii="Times New Roman" w:eastAsia="Times New Roman" w:hAnsi="Times New Roman" w:cs="Times New Roman"/>
                <w:sz w:val="14"/>
                <w:szCs w:val="14"/>
              </w:rPr>
              <w:t>        </w:t>
            </w:r>
            <w:r w:rsidRPr="003946CB">
              <w:rPr>
                <w:rFonts w:ascii="Times New Roman" w:eastAsia="Times New Roman" w:hAnsi="Times New Roman" w:cs="Times New Roman"/>
                <w:sz w:val="14"/>
              </w:rPr>
              <w:t> </w:t>
            </w:r>
            <w:r w:rsidRPr="003946CB">
              <w:rPr>
                <w:rFonts w:ascii="Arial" w:eastAsia="Times New Roman" w:hAnsi="Arial" w:cs="Arial"/>
                <w:sz w:val="20"/>
                <w:szCs w:val="20"/>
              </w:rPr>
              <w:t>Penultimate sale i.e. sale prior to actual export is exempt if exporter issues H form to supplier. There should be pre-arrangement of sale. Same goods which are purchased should be exported. Some processing can be done, so long as ‘same goods’ are sold.</w:t>
            </w:r>
          </w:p>
          <w:p w:rsidR="003946CB" w:rsidRPr="003946CB" w:rsidRDefault="003946CB" w:rsidP="003946CB">
            <w:pPr>
              <w:spacing w:before="100" w:beforeAutospacing="1" w:after="100" w:afterAutospacing="1" w:line="240" w:lineRule="auto"/>
              <w:ind w:left="720" w:hanging="360"/>
              <w:rPr>
                <w:rFonts w:ascii="Times New Roman" w:eastAsia="Times New Roman" w:hAnsi="Times New Roman" w:cs="Times New Roman"/>
                <w:sz w:val="20"/>
                <w:szCs w:val="20"/>
              </w:rPr>
            </w:pPr>
            <w:r w:rsidRPr="003946CB">
              <w:rPr>
                <w:rFonts w:ascii="Symbol" w:eastAsia="Times New Roman" w:hAnsi="Symbol" w:cs="Arial"/>
                <w:sz w:val="20"/>
                <w:szCs w:val="20"/>
              </w:rPr>
              <w:t></w:t>
            </w:r>
            <w:r w:rsidRPr="003946CB">
              <w:rPr>
                <w:rFonts w:ascii="Times New Roman" w:eastAsia="Times New Roman" w:hAnsi="Times New Roman" w:cs="Times New Roman"/>
                <w:sz w:val="14"/>
                <w:szCs w:val="14"/>
              </w:rPr>
              <w:t>        </w:t>
            </w:r>
            <w:r w:rsidRPr="003946CB">
              <w:rPr>
                <w:rFonts w:ascii="Times New Roman" w:eastAsia="Times New Roman" w:hAnsi="Times New Roman" w:cs="Times New Roman"/>
                <w:sz w:val="14"/>
              </w:rPr>
              <w:t> </w:t>
            </w:r>
            <w:r w:rsidRPr="003946CB">
              <w:rPr>
                <w:rFonts w:ascii="Arial" w:eastAsia="Times New Roman" w:hAnsi="Arial" w:cs="Arial"/>
                <w:sz w:val="20"/>
                <w:szCs w:val="20"/>
              </w:rPr>
              <w:t>Packing material can be purchased for export by issuing H form.</w:t>
            </w:r>
          </w:p>
        </w:tc>
      </w:tr>
      <w:tr w:rsidR="003946CB" w:rsidRPr="003946CB" w:rsidTr="003946C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rPr>
                <w:rFonts w:ascii="Times New Roman" w:eastAsia="Times New Roman" w:hAnsi="Times New Roman" w:cs="Times New Roman"/>
                <w:sz w:val="24"/>
                <w:szCs w:val="24"/>
              </w:rPr>
            </w:pPr>
            <w:r w:rsidRPr="003946CB">
              <w:rPr>
                <w:rFonts w:ascii="Arial" w:eastAsia="Times New Roman" w:hAnsi="Arial" w:cs="Arial"/>
                <w:b/>
                <w:bCs/>
                <w:sz w:val="24"/>
                <w:szCs w:val="24"/>
              </w:rPr>
              <w:t>Sale in the course of Import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946CB" w:rsidRPr="003946CB" w:rsidRDefault="003946CB" w:rsidP="003946CB">
            <w:pPr>
              <w:spacing w:before="100" w:beforeAutospacing="1" w:after="100" w:afterAutospacing="1" w:line="240" w:lineRule="auto"/>
              <w:ind w:left="720" w:hanging="360"/>
              <w:rPr>
                <w:rFonts w:ascii="Arial" w:eastAsia="Times New Roman" w:hAnsi="Arial" w:cs="Arial"/>
                <w:color w:val="000000"/>
                <w:sz w:val="20"/>
                <w:szCs w:val="20"/>
                <w:shd w:val="clear" w:color="auto" w:fill="FFFFFF"/>
              </w:rPr>
            </w:pPr>
            <w:r w:rsidRPr="003946CB">
              <w:rPr>
                <w:rFonts w:ascii="Symbol" w:eastAsia="Times New Roman" w:hAnsi="Symbol" w:cs="Arial"/>
                <w:sz w:val="20"/>
                <w:szCs w:val="20"/>
                <w:shd w:val="clear" w:color="auto" w:fill="FFFFFF"/>
              </w:rPr>
              <w:t></w:t>
            </w:r>
            <w:r w:rsidRPr="003946CB">
              <w:rPr>
                <w:rFonts w:ascii="Times New Roman" w:eastAsia="Times New Roman" w:hAnsi="Times New Roman" w:cs="Times New Roman"/>
                <w:sz w:val="14"/>
                <w:szCs w:val="14"/>
                <w:shd w:val="clear" w:color="auto" w:fill="FFFFFF"/>
              </w:rPr>
              <w:t>        </w:t>
            </w:r>
            <w:r w:rsidRPr="003946CB">
              <w:rPr>
                <w:rFonts w:ascii="Times New Roman" w:eastAsia="Times New Roman" w:hAnsi="Times New Roman" w:cs="Times New Roman"/>
                <w:sz w:val="14"/>
              </w:rPr>
              <w:t> </w:t>
            </w:r>
            <w:r w:rsidRPr="003946CB">
              <w:rPr>
                <w:rFonts w:ascii="Arial" w:eastAsia="Times New Roman" w:hAnsi="Arial" w:cs="Arial"/>
                <w:sz w:val="20"/>
                <w:szCs w:val="20"/>
                <w:shd w:val="clear" w:color="auto" w:fill="FFFFFF"/>
              </w:rPr>
              <w:t>State Government cannot levy tax on sale in the course of import. Sale by Agent in India can be ‘in course of import’ only if two sales (i.e. sale by foreign supplier to Indian Agent and by Indian Agent to buyer in India) are integrated or inter-linked so as to form one transaction.</w:t>
            </w:r>
          </w:p>
          <w:p w:rsidR="003946CB" w:rsidRPr="003946CB" w:rsidRDefault="003946CB" w:rsidP="003946CB">
            <w:pPr>
              <w:spacing w:before="100" w:beforeAutospacing="1" w:after="100" w:afterAutospacing="1" w:line="240" w:lineRule="auto"/>
              <w:ind w:left="720" w:hanging="360"/>
              <w:rPr>
                <w:rFonts w:ascii="Arial" w:eastAsia="Times New Roman" w:hAnsi="Arial" w:cs="Arial"/>
                <w:color w:val="000000"/>
                <w:sz w:val="20"/>
                <w:szCs w:val="20"/>
                <w:shd w:val="clear" w:color="auto" w:fill="FFFFFF"/>
              </w:rPr>
            </w:pPr>
            <w:r w:rsidRPr="003946CB">
              <w:rPr>
                <w:rFonts w:ascii="Symbol" w:eastAsia="Times New Roman" w:hAnsi="Symbol" w:cs="Arial"/>
                <w:sz w:val="20"/>
                <w:szCs w:val="20"/>
                <w:shd w:val="clear" w:color="auto" w:fill="FFFFFF"/>
              </w:rPr>
              <w:t></w:t>
            </w:r>
            <w:r w:rsidRPr="003946CB">
              <w:rPr>
                <w:rFonts w:ascii="Times New Roman" w:eastAsia="Times New Roman" w:hAnsi="Times New Roman" w:cs="Times New Roman"/>
                <w:sz w:val="14"/>
                <w:szCs w:val="14"/>
                <w:shd w:val="clear" w:color="auto" w:fill="FFFFFF"/>
              </w:rPr>
              <w:t>        </w:t>
            </w:r>
            <w:r w:rsidRPr="003946CB">
              <w:rPr>
                <w:rFonts w:ascii="Times New Roman" w:eastAsia="Times New Roman" w:hAnsi="Times New Roman" w:cs="Times New Roman"/>
                <w:sz w:val="14"/>
              </w:rPr>
              <w:t> </w:t>
            </w:r>
            <w:r w:rsidRPr="003946CB">
              <w:rPr>
                <w:rFonts w:ascii="Arial" w:eastAsia="Times New Roman" w:hAnsi="Arial" w:cs="Arial"/>
                <w:sz w:val="20"/>
                <w:szCs w:val="20"/>
                <w:shd w:val="clear" w:color="auto" w:fill="FFFFFF"/>
              </w:rPr>
              <w:t>Sale in the course of import by transfer of documents is also exempt, if it is before goods cross customs frontiers of India. The ultimate buyer in India should clear goods from customs. This is termed as ‘high seas sale’.</w:t>
            </w:r>
          </w:p>
          <w:p w:rsidR="003946CB" w:rsidRPr="003946CB" w:rsidRDefault="003946CB" w:rsidP="003946CB">
            <w:pPr>
              <w:spacing w:before="100" w:beforeAutospacing="1" w:after="100" w:afterAutospacing="1" w:line="240" w:lineRule="auto"/>
              <w:ind w:left="720" w:hanging="360"/>
              <w:rPr>
                <w:rFonts w:ascii="Arial" w:eastAsia="Times New Roman" w:hAnsi="Arial" w:cs="Arial"/>
                <w:color w:val="000000"/>
                <w:sz w:val="20"/>
                <w:szCs w:val="20"/>
                <w:shd w:val="clear" w:color="auto" w:fill="FFFFFF"/>
              </w:rPr>
            </w:pPr>
            <w:r w:rsidRPr="003946CB">
              <w:rPr>
                <w:rFonts w:ascii="Symbol" w:eastAsia="Times New Roman" w:hAnsi="Symbol" w:cs="Arial"/>
                <w:sz w:val="20"/>
                <w:szCs w:val="20"/>
                <w:shd w:val="clear" w:color="auto" w:fill="FFFFFF"/>
              </w:rPr>
              <w:t></w:t>
            </w:r>
            <w:r w:rsidRPr="003946CB">
              <w:rPr>
                <w:rFonts w:ascii="Times New Roman" w:eastAsia="Times New Roman" w:hAnsi="Times New Roman" w:cs="Times New Roman"/>
                <w:sz w:val="14"/>
                <w:szCs w:val="14"/>
                <w:shd w:val="clear" w:color="auto" w:fill="FFFFFF"/>
              </w:rPr>
              <w:t>        </w:t>
            </w:r>
            <w:r w:rsidRPr="003946CB">
              <w:rPr>
                <w:rFonts w:ascii="Times New Roman" w:eastAsia="Times New Roman" w:hAnsi="Times New Roman" w:cs="Times New Roman"/>
                <w:sz w:val="14"/>
              </w:rPr>
              <w:t> </w:t>
            </w:r>
            <w:r w:rsidRPr="003946CB">
              <w:rPr>
                <w:rFonts w:ascii="Arial" w:eastAsia="Times New Roman" w:hAnsi="Arial" w:cs="Arial"/>
                <w:sz w:val="20"/>
                <w:szCs w:val="20"/>
                <w:shd w:val="clear" w:color="auto" w:fill="FFFFFF"/>
              </w:rPr>
              <w:t>Sale by Agent in India after import of goods is exempt only if there is privity of contract between ultimate buyer and exporter.</w:t>
            </w:r>
          </w:p>
          <w:p w:rsidR="003946CB" w:rsidRPr="003946CB" w:rsidRDefault="003946CB" w:rsidP="003946CB">
            <w:pPr>
              <w:spacing w:before="100" w:beforeAutospacing="1" w:after="100" w:afterAutospacing="1" w:line="240" w:lineRule="auto"/>
              <w:ind w:left="720" w:hanging="360"/>
              <w:rPr>
                <w:rFonts w:ascii="Arial" w:eastAsia="Times New Roman" w:hAnsi="Arial" w:cs="Arial"/>
                <w:color w:val="000000"/>
                <w:sz w:val="20"/>
                <w:szCs w:val="20"/>
                <w:shd w:val="clear" w:color="auto" w:fill="FFFFFF"/>
              </w:rPr>
            </w:pPr>
            <w:r w:rsidRPr="003946CB">
              <w:rPr>
                <w:rFonts w:ascii="Symbol" w:eastAsia="Times New Roman" w:hAnsi="Symbol" w:cs="Arial"/>
                <w:sz w:val="20"/>
                <w:szCs w:val="20"/>
                <w:shd w:val="clear" w:color="auto" w:fill="FFFFFF"/>
              </w:rPr>
              <w:t></w:t>
            </w:r>
            <w:r w:rsidRPr="003946CB">
              <w:rPr>
                <w:rFonts w:ascii="Times New Roman" w:eastAsia="Times New Roman" w:hAnsi="Times New Roman" w:cs="Times New Roman"/>
                <w:sz w:val="14"/>
                <w:szCs w:val="14"/>
                <w:shd w:val="clear" w:color="auto" w:fill="FFFFFF"/>
              </w:rPr>
              <w:t>        </w:t>
            </w:r>
            <w:r w:rsidRPr="003946CB">
              <w:rPr>
                <w:rFonts w:ascii="Times New Roman" w:eastAsia="Times New Roman" w:hAnsi="Times New Roman" w:cs="Times New Roman"/>
                <w:sz w:val="14"/>
              </w:rPr>
              <w:t> </w:t>
            </w:r>
            <w:r w:rsidRPr="003946CB">
              <w:rPr>
                <w:rFonts w:ascii="Arial" w:eastAsia="Times New Roman" w:hAnsi="Arial" w:cs="Arial"/>
                <w:sz w:val="20"/>
                <w:szCs w:val="20"/>
                <w:shd w:val="clear" w:color="auto" w:fill="FFFFFF"/>
              </w:rPr>
              <w:t>Sale of goods in customs bonded warehouse is ‘sale during import’.</w:t>
            </w:r>
          </w:p>
          <w:p w:rsidR="003946CB" w:rsidRPr="003946CB" w:rsidRDefault="003946CB" w:rsidP="003946CB">
            <w:pPr>
              <w:spacing w:before="100" w:beforeAutospacing="1" w:after="100" w:afterAutospacing="1" w:line="240" w:lineRule="auto"/>
              <w:ind w:left="720" w:hanging="360"/>
              <w:rPr>
                <w:rFonts w:ascii="Arial" w:eastAsia="Times New Roman" w:hAnsi="Arial" w:cs="Arial"/>
                <w:color w:val="000000"/>
                <w:sz w:val="20"/>
                <w:szCs w:val="20"/>
                <w:shd w:val="clear" w:color="auto" w:fill="FFFFFF"/>
              </w:rPr>
            </w:pPr>
            <w:r w:rsidRPr="003946CB">
              <w:rPr>
                <w:rFonts w:ascii="Symbol" w:eastAsia="Times New Roman" w:hAnsi="Symbol" w:cs="Arial"/>
                <w:sz w:val="20"/>
                <w:szCs w:val="20"/>
                <w:shd w:val="clear" w:color="auto" w:fill="FFFFFF"/>
              </w:rPr>
              <w:t></w:t>
            </w:r>
            <w:r w:rsidRPr="003946CB">
              <w:rPr>
                <w:rFonts w:ascii="Times New Roman" w:eastAsia="Times New Roman" w:hAnsi="Times New Roman" w:cs="Times New Roman"/>
                <w:sz w:val="14"/>
                <w:szCs w:val="14"/>
                <w:shd w:val="clear" w:color="auto" w:fill="FFFFFF"/>
              </w:rPr>
              <w:t>        </w:t>
            </w:r>
            <w:r w:rsidRPr="003946CB">
              <w:rPr>
                <w:rFonts w:ascii="Times New Roman" w:eastAsia="Times New Roman" w:hAnsi="Times New Roman" w:cs="Times New Roman"/>
                <w:sz w:val="14"/>
              </w:rPr>
              <w:t> </w:t>
            </w:r>
            <w:r w:rsidRPr="003946CB">
              <w:rPr>
                <w:rFonts w:ascii="Arial" w:eastAsia="Times New Roman" w:hAnsi="Arial" w:cs="Arial"/>
                <w:sz w:val="20"/>
                <w:szCs w:val="20"/>
                <w:shd w:val="clear" w:color="auto" w:fill="FFFFFF"/>
              </w:rPr>
              <w:t>Sale after import is a distinct sale and sales tax/Vat will be payable.</w:t>
            </w:r>
          </w:p>
          <w:p w:rsidR="003946CB" w:rsidRPr="003946CB" w:rsidRDefault="003946CB" w:rsidP="003946CB">
            <w:pPr>
              <w:spacing w:after="0" w:line="240" w:lineRule="auto"/>
              <w:rPr>
                <w:rFonts w:ascii="Times New Roman" w:eastAsia="Times New Roman" w:hAnsi="Times New Roman" w:cs="Times New Roman"/>
                <w:sz w:val="20"/>
                <w:szCs w:val="20"/>
              </w:rPr>
            </w:pPr>
          </w:p>
        </w:tc>
      </w:tr>
    </w:tbl>
    <w:p w:rsidR="003946CB" w:rsidRDefault="003946CB"/>
    <w:p w:rsidR="003946CB" w:rsidRDefault="003946CB"/>
    <w:sectPr w:rsidR="003946CB">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D2E" w:rsidRDefault="001D6D2E" w:rsidP="003946CB">
      <w:pPr>
        <w:spacing w:after="0" w:line="240" w:lineRule="auto"/>
      </w:pPr>
      <w:r>
        <w:separator/>
      </w:r>
    </w:p>
  </w:endnote>
  <w:endnote w:type="continuationSeparator" w:id="1">
    <w:p w:rsidR="001D6D2E" w:rsidRDefault="001D6D2E" w:rsidP="003946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D2E" w:rsidRDefault="001D6D2E" w:rsidP="003946CB">
      <w:pPr>
        <w:spacing w:after="0" w:line="240" w:lineRule="auto"/>
      </w:pPr>
      <w:r>
        <w:separator/>
      </w:r>
    </w:p>
  </w:footnote>
  <w:footnote w:type="continuationSeparator" w:id="1">
    <w:p w:rsidR="001D6D2E" w:rsidRDefault="001D6D2E" w:rsidP="003946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6CB" w:rsidRDefault="003946CB">
    <w:pPr>
      <w:pStyle w:val="Header"/>
    </w:pPr>
  </w:p>
  <w:p w:rsidR="003946CB" w:rsidRDefault="003946C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946CB"/>
    <w:rsid w:val="001D6D2E"/>
    <w:rsid w:val="003946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head">
    <w:name w:val="left-head"/>
    <w:basedOn w:val="Normal"/>
    <w:rsid w:val="003946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946CB"/>
  </w:style>
  <w:style w:type="paragraph" w:customStyle="1" w:styleId="bodytext">
    <w:name w:val="bodytext"/>
    <w:basedOn w:val="Normal"/>
    <w:rsid w:val="003946C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946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946CB"/>
  </w:style>
  <w:style w:type="paragraph" w:styleId="Footer">
    <w:name w:val="footer"/>
    <w:basedOn w:val="Normal"/>
    <w:link w:val="FooterChar"/>
    <w:uiPriority w:val="99"/>
    <w:semiHidden/>
    <w:unhideWhenUsed/>
    <w:rsid w:val="003946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46CB"/>
  </w:style>
  <w:style w:type="paragraph" w:customStyle="1" w:styleId="tb">
    <w:name w:val="tb"/>
    <w:basedOn w:val="Normal"/>
    <w:rsid w:val="003946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634391">
      <w:bodyDiv w:val="1"/>
      <w:marLeft w:val="0"/>
      <w:marRight w:val="0"/>
      <w:marTop w:val="0"/>
      <w:marBottom w:val="0"/>
      <w:divBdr>
        <w:top w:val="none" w:sz="0" w:space="0" w:color="auto"/>
        <w:left w:val="none" w:sz="0" w:space="0" w:color="auto"/>
        <w:bottom w:val="none" w:sz="0" w:space="0" w:color="auto"/>
        <w:right w:val="none" w:sz="0" w:space="0" w:color="auto"/>
      </w:divBdr>
    </w:div>
    <w:div w:id="317196355">
      <w:bodyDiv w:val="1"/>
      <w:marLeft w:val="0"/>
      <w:marRight w:val="0"/>
      <w:marTop w:val="0"/>
      <w:marBottom w:val="0"/>
      <w:divBdr>
        <w:top w:val="none" w:sz="0" w:space="0" w:color="auto"/>
        <w:left w:val="none" w:sz="0" w:space="0" w:color="auto"/>
        <w:bottom w:val="none" w:sz="0" w:space="0" w:color="auto"/>
        <w:right w:val="none" w:sz="0" w:space="0" w:color="auto"/>
      </w:divBdr>
    </w:div>
    <w:div w:id="981541449">
      <w:bodyDiv w:val="1"/>
      <w:marLeft w:val="0"/>
      <w:marRight w:val="0"/>
      <w:marTop w:val="0"/>
      <w:marBottom w:val="0"/>
      <w:divBdr>
        <w:top w:val="none" w:sz="0" w:space="0" w:color="auto"/>
        <w:left w:val="none" w:sz="0" w:space="0" w:color="auto"/>
        <w:bottom w:val="none" w:sz="0" w:space="0" w:color="auto"/>
        <w:right w:val="none" w:sz="0" w:space="0" w:color="auto"/>
      </w:divBdr>
    </w:div>
    <w:div w:id="195763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2441</Words>
  <Characters>13914</Characters>
  <Application>Microsoft Office Word</Application>
  <DocSecurity>0</DocSecurity>
  <Lines>115</Lines>
  <Paragraphs>32</Paragraphs>
  <ScaleCrop>false</ScaleCrop>
  <Company/>
  <LinksUpToDate>false</LinksUpToDate>
  <CharactersWithSpaces>16323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Sateesh</dc:creator>
  <cp:keywords/>
  <dc:description/>
  <cp:lastModifiedBy>Sateesh</cp:lastModifiedBy>
  <cp:revision>2</cp:revision>
  <dcterms:created xsi:type="dcterms:W3CDTF">2012-01-19T06:21:00Z</dcterms:created>
  <dcterms:modified xsi:type="dcterms:W3CDTF">2012-01-19T06:28:00Z</dcterms:modified>
</cp:coreProperties>
</file>